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C16AE3">
      <w:pPr>
        <w:pStyle w:val="2"/>
        <w:pBdr>
          <w:top w:val="none" w:color="auto" w:sz="0" w:space="0"/>
          <w:left w:val="none" w:color="auto" w:sz="0" w:space="0"/>
          <w:bottom w:val="none" w:color="auto" w:sz="0" w:space="0"/>
          <w:right w:val="none" w:color="auto" w:sz="0" w:space="0"/>
        </w:pBdr>
        <w:shd w:val="clear" w:color="auto" w:fill="FFFFFF"/>
        <w:spacing w:before="0" w:beforeAutospacing="0" w:after="209" w:afterAutospacing="0" w:line="20" w:lineRule="atLeast"/>
        <w:ind w:left="0" w:right="0" w:firstLine="0"/>
        <w:outlineLvl w:val="0"/>
        <w:rPr>
          <w:rFonts w:ascii="System-ui" w:hAnsi="System-ui"/>
          <w:b w:val="0"/>
          <w:bCs w:val="0"/>
          <w:i w:val="0"/>
          <w:iCs w:val="0"/>
          <w:caps w:val="0"/>
          <w:smallCaps w:val="0"/>
          <w:vanish w:val="0"/>
          <w:color w:val="auto"/>
          <w:spacing w:val="8"/>
          <w:kern w:val="36"/>
          <w:sz w:val="33"/>
          <w:szCs w:val="33"/>
        </w:rPr>
      </w:pPr>
      <w:bookmarkStart w:id="0" w:name="_GoBack"/>
      <w:bookmarkEnd w:id="0"/>
      <w:r>
        <w:rPr>
          <w:rFonts w:ascii="System-ui" w:hAnsi="System-ui"/>
          <w:b w:val="0"/>
          <w:bCs w:val="0"/>
          <w:i w:val="0"/>
          <w:iCs w:val="0"/>
          <w:caps w:val="0"/>
          <w:smallCaps w:val="0"/>
          <w:vanish w:val="0"/>
          <w:color w:val="auto"/>
          <w:spacing w:val="8"/>
          <w:kern w:val="36"/>
          <w:sz w:val="33"/>
          <w:szCs w:val="33"/>
        </w:rPr>
        <w:t>税费政策指引 | 集成电路和工业母机研发费用120%加计扣除政策</w:t>
      </w:r>
    </w:p>
    <w:p w14:paraId="327022C1">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7"/>
          <w:sz w:val="26"/>
          <w:szCs w:val="26"/>
        </w:rPr>
      </w:pPr>
    </w:p>
    <w:p w14:paraId="1C58CD13">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7"/>
          <w:sz w:val="26"/>
          <w:szCs w:val="26"/>
        </w:rPr>
      </w:pPr>
    </w:p>
    <w:p w14:paraId="385A6FCA">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vanish w:val="0"/>
          <w:color w:val="333333"/>
          <w:spacing w:val="22"/>
          <w:sz w:val="21"/>
          <w:szCs w:val="21"/>
        </w:rPr>
      </w:pPr>
      <w:r>
        <w:rPr>
          <w:vanish w:val="0"/>
          <w:color w:val="333333"/>
          <w:spacing w:val="7"/>
          <w:sz w:val="26"/>
          <w:szCs w:val="26"/>
        </w:rPr>
        <w:t>为使社会各界更加全面知悉科技创新税费优惠政策、更加便捷查询了解政策，更加准确适用享受政策，推动政策红利精准高效直达各类创新主体，</w:t>
      </w:r>
      <w:r>
        <w:rPr>
          <w:rFonts w:hint="eastAsia"/>
          <w:vanish w:val="0"/>
          <w:color w:val="333333"/>
          <w:spacing w:val="7"/>
          <w:sz w:val="26"/>
          <w:szCs w:val="26"/>
          <w:lang w:eastAsia="zh-CN"/>
        </w:rPr>
        <w:t>财政部与</w:t>
      </w:r>
      <w:r>
        <w:rPr>
          <w:vanish w:val="0"/>
          <w:color w:val="333333"/>
          <w:spacing w:val="7"/>
          <w:sz w:val="26"/>
          <w:szCs w:val="26"/>
        </w:rPr>
        <w:t>科技部、海关总署、税务总局联合编写了《我国支持科技创新主要税费优惠政策指引》。今天，中国财政微信公众号带您了解：</w:t>
      </w:r>
      <w:r>
        <w:rPr>
          <w:vanish w:val="0"/>
          <w:color w:val="007AAA"/>
          <w:spacing w:val="7"/>
          <w:sz w:val="26"/>
          <w:szCs w:val="26"/>
        </w:rPr>
        <w:t>重点产业发展的集成电路和工业母机研发费用120%加计扣除政策</w:t>
      </w:r>
    </w:p>
    <w:p w14:paraId="59138115">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集成电路和工业母机研发费用120%加计扣除政策</w:t>
      </w:r>
    </w:p>
    <w:p w14:paraId="298B948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【政策类型】</w:t>
      </w:r>
      <w:r>
        <w:rPr>
          <w:rFonts w:hint="eastAsia" w:ascii="宋体" w:eastAsia="宋体"/>
          <w:vanish w:val="0"/>
          <w:spacing w:val="7"/>
        </w:rPr>
        <w:t>行业性政策</w:t>
      </w:r>
    </w:p>
    <w:p w14:paraId="79315C0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【涉及税种】</w:t>
      </w:r>
      <w:r>
        <w:rPr>
          <w:rFonts w:hint="eastAsia" w:ascii="宋体" w:eastAsia="宋体"/>
          <w:vanish w:val="0"/>
          <w:spacing w:val="7"/>
        </w:rPr>
        <w:t>企业所得税</w:t>
      </w:r>
    </w:p>
    <w:p w14:paraId="71E0909A">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【优惠内容】</w:t>
      </w:r>
    </w:p>
    <w:p w14:paraId="4FA66AF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集成电路企业和工业母机企业开展研发活动中实际发生的研发费用，未形成无形资产计入当期损益的，在按规定据实扣除的基础上，在2023年1月1日至2027年12月31日期间，再按照实际发生额的120%在税前扣除；形成无形资产的，在上述期间按照无形资产成本的220%在税前摊销。</w:t>
      </w:r>
    </w:p>
    <w:p w14:paraId="7748738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【享受主体】</w:t>
      </w:r>
      <w:r>
        <w:rPr>
          <w:rFonts w:hint="eastAsia" w:ascii="宋体" w:eastAsia="宋体"/>
          <w:vanish w:val="0"/>
          <w:spacing w:val="7"/>
        </w:rPr>
        <w:t>集成电路企业和工业母机企业</w:t>
      </w:r>
    </w:p>
    <w:p w14:paraId="65657C3E">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【申请条件】</w:t>
      </w:r>
    </w:p>
    <w:p w14:paraId="0CEEC0E0">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1.享受主体。</w:t>
      </w:r>
    </w:p>
    <w:p w14:paraId="2C813C83">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集成电路企业是指国家鼓励的集成电路生产、设计、装备、材料、封装、测试企业。具体按以下条件确定：</w:t>
      </w:r>
    </w:p>
    <w:p w14:paraId="64849139">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（1）国家鼓励的集成电路生产企业是指符合《财政部 税务总局 发展改革委 工业和信息化部关于促进集成电路产业和软件产业高质量发展企业所得税政策的公告》（财政部 税务总局 发展改革委 工业和信息化部公告2020年第45号）第一条规定的生产企业或项目归属企业，企业清单由国家发展改革委、工业和信息化部会同财政部、税务总局等部门制定。</w:t>
      </w:r>
    </w:p>
    <w:p w14:paraId="38E2D75A">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（2）国家鼓励的集成电路设计企业是指符合《财政部 税务总局 发展改革委 工业和信息化部关于促进集成电路产业和软件产业高质量发展企业所得税政策的公告》（财政部 税务总局 发展改革委 工业和信息化部公告2020年第45号）第四条规定的重点集成电路设计企业，企业清单由国家发展改革委、工业和信息化部会同财政部、税务总局等部门制定。</w:t>
      </w:r>
    </w:p>
    <w:p w14:paraId="354442B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（3）国家鼓励的集成电路装备、材料、封装、测试企业是指符合《中华人民共和国工业和信息化部 国家发展改革委 财政部 国家税务总局公告（2021年第9号）》规定条件的企业。如有更新，从其规定。</w:t>
      </w:r>
    </w:p>
    <w:p w14:paraId="7B063B26">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工业母机企业是指生产销售符合《财政部 税务总局 国家发展改革委 工业和信息化部关于提高集成电路和工业母机企业研究费用加计扣除比例的公告》（财政部税务总局国家发展改革委工业和信息化部公告2023年第44号）附件《先进工业母机产品基本标准》产品的企业，具体适用条件和企业清单由工业和信息化部会同国家发展改革委、财政部、税务总局等部门制定。</w:t>
      </w:r>
    </w:p>
    <w:p w14:paraId="11D9B8F4">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2.口径管理要求。</w:t>
      </w:r>
    </w:p>
    <w:p w14:paraId="6BD96E4F">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企业享受研发费用加计扣除政策的其他政策口径和管理要求，按照《财政部 国家税务总局 科技部关于完善研究开发费用税前加计扣除政策的通知》（财税〔2015〕119号）、《财政部 税务总局 科技部关于企业委托境外研究开发费用税前加计扣除有关政策问题的通知》（财税〔2018〕64号）等文件相关规定执行。</w:t>
      </w:r>
    </w:p>
    <w:p w14:paraId="76AA18A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【申报时点】</w:t>
      </w:r>
    </w:p>
    <w:p w14:paraId="2E45F63E">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第二、第三季度企业所得税预缴申报；年度企业所得税汇算清缴申报。</w:t>
      </w:r>
    </w:p>
    <w:p w14:paraId="362E7747">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【申报方式】</w:t>
      </w:r>
    </w:p>
    <w:p w14:paraId="76DC77D2">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符合条件的企业自行申报。企业在办理企业所得税预缴申报和年度纳税申报时，通过填报申报表相关行次即可享受优惠。</w:t>
      </w:r>
    </w:p>
    <w:p w14:paraId="4394A8F8">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Style w:val="8"/>
          <w:rFonts w:hint="eastAsia" w:ascii="宋体" w:eastAsia="宋体"/>
          <w:vanish w:val="0"/>
          <w:spacing w:val="7"/>
        </w:rPr>
        <w:t>【办理材料】</w:t>
      </w:r>
      <w:r>
        <w:rPr>
          <w:rFonts w:hint="eastAsia" w:ascii="宋体" w:eastAsia="宋体"/>
          <w:vanish w:val="0"/>
          <w:spacing w:val="7"/>
        </w:rPr>
        <w:t>自行判别、申报享受、相关资料留存备查</w:t>
      </w:r>
    </w:p>
    <w:p w14:paraId="15E43250">
      <w:pPr>
        <w:pStyle w:val="5"/>
        <w:pBdr>
          <w:top w:val="none" w:color="auto" w:sz="0" w:space="0"/>
          <w:left w:val="none" w:color="auto" w:sz="0" w:space="0"/>
          <w:bottom w:val="none" w:color="auto" w:sz="0" w:space="0"/>
          <w:right w:val="none" w:color="auto" w:sz="0" w:space="0"/>
        </w:pBdr>
        <w:spacing w:before="0" w:beforeAutospacing="0" w:after="149" w:afterAutospacing="0" w:line="420" w:lineRule="atLeast"/>
        <w:ind w:left="0" w:right="0" w:firstLine="494"/>
        <w:rPr>
          <w:vanish w:val="0"/>
        </w:rPr>
      </w:pPr>
      <w:r>
        <w:rPr>
          <w:rFonts w:hint="eastAsia" w:ascii="宋体" w:eastAsia="宋体"/>
          <w:vanish w:val="0"/>
          <w:spacing w:val="7"/>
        </w:rPr>
        <w:t>【</w:t>
      </w:r>
      <w:r>
        <w:rPr>
          <w:rStyle w:val="8"/>
          <w:rFonts w:hint="eastAsia" w:ascii="宋体" w:eastAsia="宋体"/>
          <w:vanish w:val="0"/>
          <w:spacing w:val="7"/>
        </w:rPr>
        <w:t>政策依据</w:t>
      </w:r>
      <w:r>
        <w:rPr>
          <w:rFonts w:hint="eastAsia" w:ascii="宋体" w:eastAsia="宋体"/>
          <w:vanish w:val="0"/>
          <w:spacing w:val="7"/>
        </w:rPr>
        <w:t>】（见表5-4）</w:t>
      </w:r>
    </w:p>
    <w:p w14:paraId="51870239">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1"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1"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igZGkb0BAAB6AwAADgAAAAAAAAABACAAAAAiAQAAZHJzL2Uyb0RvYy54bWxQSwUG&#10;AAAAAAYABgBZAQAAUQUAAAAA&#10;">
                <v:fill on="f" focussize="0,0"/>
                <v:stroke on="f"/>
                <v:imagedata o:title=""/>
                <o:lock v:ext="edit" aspectratio="t"/>
                <w10:wrap type="none"/>
                <w10:anchorlock/>
              </v:rect>
            </w:pict>
          </mc:Fallback>
        </mc:AlternateContent>
      </w:r>
    </w:p>
    <w:p w14:paraId="2D75D17E">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5" name="图片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5"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CSRZFb0BAAB6AwAADgAAAAAAAAABACAAAAAiAQAAZHJzL2Uyb0RvYy54bWxQSwUG&#10;AAAAAAYABgBZAQAAUQUAAAAA&#10;">
                <v:fill on="f" focussize="0,0"/>
                <v:stroke on="f"/>
                <v:imagedata o:title=""/>
                <o:lock v:ext="edit" aspectratio="t"/>
                <w10:wrap type="none"/>
                <w10:anchorlock/>
              </v:rect>
            </w:pict>
          </mc:Fallback>
        </mc:AlternateContent>
      </w:r>
    </w:p>
    <w:p w14:paraId="4AFC8BE5">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mc:AlternateContent>
          <mc:Choice Requires="wps">
            <w:drawing>
              <wp:inline distT="0" distB="0" distL="85090" distR="85090">
                <wp:extent cx="231140" cy="231140"/>
                <wp:effectExtent l="0" t="0" r="0" b="0"/>
                <wp:docPr id="9" name="图片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9"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zUUJQr0BAAB6AwAADgAAAAAAAAABACAAAAAiAQAAZHJzL2Uyb0RvYy54bWxQSwUG&#10;AAAAAAYABgBZAQAAUQUAAAAA&#10;">
                <v:fill on="f" focussize="0,0"/>
                <v:stroke on="f"/>
                <v:imagedata o:title=""/>
                <o:lock v:ext="edit" aspectratio="t"/>
                <w10:wrap type="none"/>
                <w10:anchorlock/>
              </v:rect>
            </w:pict>
          </mc:Fallback>
        </mc:AlternateContent>
      </w:r>
    </w:p>
    <w:p w14:paraId="2C974834">
      <w:pPr>
        <w:pStyle w:val="5"/>
        <w:pBdr>
          <w:top w:val="none" w:color="auto" w:sz="0" w:space="0"/>
          <w:left w:val="none" w:color="auto" w:sz="0" w:space="0"/>
          <w:bottom w:val="none" w:color="auto" w:sz="0" w:space="0"/>
          <w:right w:val="none" w:color="auto" w:sz="0" w:space="0"/>
        </w:pBdr>
        <w:spacing w:before="0" w:beforeAutospacing="0" w:after="0" w:afterAutospacing="0"/>
        <w:ind w:left="0" w:right="0"/>
        <w:rPr>
          <w:vanish w:val="0"/>
        </w:rPr>
      </w:pPr>
      <w:r>
        <w:rPr>
          <w:vanish w:val="0"/>
        </w:rPr>
        <w:br w:type="textWrapping"/>
      </w:r>
    </w:p>
    <w:p w14:paraId="4EE77E45">
      <w:pPr>
        <w:pStyle w:val="5"/>
        <w:pBdr>
          <w:top w:val="none" w:color="auto" w:sz="0" w:space="0"/>
          <w:left w:val="none" w:color="auto" w:sz="0" w:space="0"/>
          <w:bottom w:val="none" w:color="auto" w:sz="0" w:space="0"/>
          <w:right w:val="none" w:color="auto" w:sz="0" w:space="0"/>
        </w:pBdr>
        <w:spacing w:before="0" w:beforeAutospacing="0" w:after="0" w:afterAutospacing="0"/>
        <w:ind w:left="0" w:right="0"/>
        <w:jc w:val="center"/>
        <w:rPr>
          <w:vanish w:val="0"/>
        </w:rPr>
      </w:pPr>
      <w:r>
        <w:rPr>
          <w:vanish w:val="0"/>
        </w:rPr>
        <w:br w:type="textWrapping"/>
      </w:r>
    </w:p>
    <w:p w14:paraId="13BF2F28">
      <w:r>
        <w:rPr>
          <w:color w:val="888888"/>
          <w:spacing w:val="8"/>
          <w:sz w:val="23"/>
          <w:szCs w:val="23"/>
        </w:rPr>
        <w:t>来源：摘自《我国支持科技创新主要税费优惠政策指引》值班编辑：姚文萱</w:t>
      </w:r>
      <w:r>
        <w:rPr>
          <w:color w:val="888888"/>
          <w:sz w:val="23"/>
          <w:szCs w:val="23"/>
        </w:rPr>
        <w:t>排版制作：</w:t>
      </w:r>
      <w:r>
        <w:rPr>
          <w:color w:val="888888"/>
          <w:spacing w:val="8"/>
          <w:sz w:val="23"/>
          <w:szCs w:val="23"/>
          <w:shd w:val="clear" w:color="auto" w:fill="FFFFFF"/>
        </w:rPr>
        <w:t>姚文萱</w:t>
      </w:r>
    </w:p>
    <w:sectPr>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5CAB01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bidi="ar-SA"/>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Strong"/>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123</Company>
  <Pages>3</Pages>
  <Words>1291</Words>
  <Characters>1342</Characters>
  <Lines>64</Lines>
  <Paragraphs>26</Paragraphs>
  <TotalTime>6</TotalTime>
  <ScaleCrop>false</ScaleCrop>
  <LinksUpToDate>false</LinksUpToDate>
  <CharactersWithSpaces>1366</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2024-04-07T01:59:00Z</dcterms:created>
  <dc:creator>pc</dc:creator>
  <cp:lastModifiedBy>哩个隆咚锵</cp:lastModifiedBy>
  <dcterms:modified xsi:type="dcterms:W3CDTF">2025-09-25T09:07:47Z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eyJoZGlkIjoiYzE3MWY4NjhhMjY3NjdiMTkyNTI2ZWM4NjIwOTE4NjYiLCJ1c2VySWQiOiI0NzA3OTgyMDIifQ==</vt:lpwstr>
  </property>
  <property fmtid="{D5CDD505-2E9C-101B-9397-08002B2CF9AE}" pid="3" name="KSOProductBuildVer">
    <vt:lpwstr>2052-12.1.0.22529</vt:lpwstr>
  </property>
  <property fmtid="{D5CDD505-2E9C-101B-9397-08002B2CF9AE}" pid="4" name="ICV">
    <vt:lpwstr>5A735897E8E947E69A50FFC38165302A_12</vt:lpwstr>
  </property>
</Properties>
</file>