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1637DE">
      <w:pPr>
        <w:keepNext w:val="0"/>
        <w:keepLines w:val="0"/>
        <w:pageBreakBefore w:val="0"/>
        <w:widowControl/>
        <w:kinsoku/>
        <w:wordWrap/>
        <w:overflowPunct/>
        <w:topLinePunct w:val="0"/>
        <w:autoSpaceDE w:val="0"/>
        <w:autoSpaceDN w:val="0"/>
        <w:bidi w:val="0"/>
        <w:adjustRightInd w:val="0"/>
        <w:snapToGrid w:val="0"/>
        <w:spacing w:after="157" w:afterLines="50" w:line="600" w:lineRule="exact"/>
        <w:jc w:val="both"/>
        <w:textAlignment w:val="baseline"/>
        <w:rPr>
          <w:rFonts w:hint="eastAsia" w:ascii="黑体" w:hAnsi="黑体" w:eastAsia="黑体" w:cs="黑体"/>
          <w:b w:val="0"/>
          <w:bCs w:val="0"/>
          <w:spacing w:val="14"/>
          <w:sz w:val="30"/>
          <w:szCs w:val="30"/>
          <w:lang w:val="en-US" w:eastAsia="zh-CN"/>
        </w:rPr>
      </w:pPr>
      <w:r>
        <w:rPr>
          <w:rFonts w:hint="eastAsia" w:ascii="黑体" w:hAnsi="黑体" w:eastAsia="黑体" w:cs="黑体"/>
          <w:b w:val="0"/>
          <w:bCs w:val="0"/>
          <w:spacing w:val="14"/>
          <w:sz w:val="30"/>
          <w:szCs w:val="30"/>
          <w:lang w:val="en-US" w:eastAsia="zh-CN"/>
        </w:rPr>
        <w:t>附件</w:t>
      </w:r>
    </w:p>
    <w:p w14:paraId="4A1FB25F">
      <w:pPr>
        <w:keepNext w:val="0"/>
        <w:keepLines w:val="0"/>
        <w:pageBreakBefore w:val="0"/>
        <w:widowControl/>
        <w:kinsoku/>
        <w:wordWrap/>
        <w:overflowPunct/>
        <w:topLinePunct w:val="0"/>
        <w:autoSpaceDE w:val="0"/>
        <w:autoSpaceDN w:val="0"/>
        <w:bidi w:val="0"/>
        <w:adjustRightInd w:val="0"/>
        <w:snapToGrid w:val="0"/>
        <w:spacing w:line="560" w:lineRule="exact"/>
        <w:jc w:val="center"/>
        <w:textAlignment w:val="baseline"/>
        <w:rPr>
          <w:rFonts w:hint="eastAsia" w:ascii="方正小标宋简体" w:hAnsi="方正小标宋简体" w:eastAsia="方正小标宋简体" w:cs="仿宋"/>
          <w:b w:val="0"/>
          <w:bCs w:val="0"/>
          <w:spacing w:val="-23"/>
          <w:sz w:val="44"/>
          <w:szCs w:val="44"/>
        </w:rPr>
      </w:pPr>
      <w:r>
        <w:rPr>
          <w:rFonts w:hint="eastAsia" w:ascii="方正小标宋简体" w:hAnsi="方正小标宋简体" w:eastAsia="方正小标宋简体" w:cs="仿宋"/>
          <w:b w:val="0"/>
          <w:bCs w:val="0"/>
          <w:spacing w:val="-23"/>
          <w:sz w:val="44"/>
          <w:szCs w:val="44"/>
        </w:rPr>
        <w:t>涉企行政检查事项清单</w:t>
      </w:r>
    </w:p>
    <w:tbl>
      <w:tblPr>
        <w:tblStyle w:val="3"/>
        <w:tblW w:w="87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36"/>
        <w:gridCol w:w="3787"/>
        <w:gridCol w:w="3350"/>
      </w:tblGrid>
      <w:tr w14:paraId="586D09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jc w:val="center"/>
        </w:trPr>
        <w:tc>
          <w:tcPr>
            <w:tcW w:w="1636" w:type="dxa"/>
            <w:vAlign w:val="center"/>
          </w:tcPr>
          <w:p w14:paraId="52CB2237">
            <w:pPr>
              <w:keepNext w:val="0"/>
              <w:keepLines w:val="0"/>
              <w:pageBreakBefore w:val="0"/>
              <w:widowControl/>
              <w:kinsoku/>
              <w:wordWrap/>
              <w:overflowPunct/>
              <w:topLinePunct w:val="0"/>
              <w:autoSpaceDE w:val="0"/>
              <w:autoSpaceDN w:val="0"/>
              <w:bidi w:val="0"/>
              <w:adjustRightInd w:val="0"/>
              <w:snapToGrid w:val="0"/>
              <w:spacing w:line="400" w:lineRule="exact"/>
              <w:jc w:val="center"/>
              <w:textAlignment w:val="baseline"/>
              <w:rPr>
                <w:rFonts w:hint="eastAsia" w:ascii="黑体" w:hAnsi="黑体" w:eastAsia="黑体" w:cs="黑体"/>
                <w:b w:val="0"/>
                <w:bCs w:val="0"/>
                <w:sz w:val="30"/>
                <w:szCs w:val="30"/>
                <w:vertAlign w:val="baseline"/>
                <w:lang w:val="en-US" w:eastAsia="zh-CN"/>
              </w:rPr>
            </w:pPr>
            <w:r>
              <w:rPr>
                <w:rFonts w:hint="eastAsia" w:ascii="黑体" w:hAnsi="黑体" w:eastAsia="黑体" w:cs="黑体"/>
                <w:b w:val="0"/>
                <w:bCs w:val="0"/>
                <w:sz w:val="30"/>
                <w:szCs w:val="30"/>
                <w:vertAlign w:val="baseline"/>
                <w:lang w:val="en-US" w:eastAsia="zh-CN"/>
              </w:rPr>
              <w:t>领域类别</w:t>
            </w:r>
          </w:p>
        </w:tc>
        <w:tc>
          <w:tcPr>
            <w:tcW w:w="3787" w:type="dxa"/>
            <w:vAlign w:val="center"/>
          </w:tcPr>
          <w:p w14:paraId="4E2AAD2B">
            <w:pPr>
              <w:keepNext w:val="0"/>
              <w:keepLines w:val="0"/>
              <w:pageBreakBefore w:val="0"/>
              <w:widowControl/>
              <w:kinsoku/>
              <w:wordWrap/>
              <w:overflowPunct/>
              <w:topLinePunct w:val="0"/>
              <w:autoSpaceDE w:val="0"/>
              <w:autoSpaceDN w:val="0"/>
              <w:bidi w:val="0"/>
              <w:adjustRightInd w:val="0"/>
              <w:snapToGrid w:val="0"/>
              <w:spacing w:line="400" w:lineRule="exact"/>
              <w:jc w:val="center"/>
              <w:textAlignment w:val="baseline"/>
              <w:rPr>
                <w:rFonts w:hint="eastAsia" w:ascii="黑体" w:hAnsi="黑体" w:eastAsia="黑体" w:cs="黑体"/>
                <w:b w:val="0"/>
                <w:bCs w:val="0"/>
                <w:sz w:val="30"/>
                <w:szCs w:val="30"/>
                <w:vertAlign w:val="baseline"/>
                <w:lang w:val="en-US" w:eastAsia="zh-CN"/>
              </w:rPr>
            </w:pPr>
            <w:r>
              <w:rPr>
                <w:rFonts w:hint="eastAsia" w:ascii="黑体" w:hAnsi="黑体" w:eastAsia="黑体" w:cs="黑体"/>
                <w:b w:val="0"/>
                <w:bCs w:val="0"/>
                <w:sz w:val="30"/>
                <w:szCs w:val="30"/>
                <w:vertAlign w:val="baseline"/>
                <w:lang w:val="en-US" w:eastAsia="zh-CN"/>
              </w:rPr>
              <w:t>事项名称</w:t>
            </w:r>
          </w:p>
        </w:tc>
        <w:tc>
          <w:tcPr>
            <w:tcW w:w="3350" w:type="dxa"/>
            <w:vAlign w:val="center"/>
          </w:tcPr>
          <w:p w14:paraId="6B35EA3A">
            <w:pPr>
              <w:keepNext w:val="0"/>
              <w:keepLines w:val="0"/>
              <w:pageBreakBefore w:val="0"/>
              <w:widowControl/>
              <w:kinsoku/>
              <w:wordWrap/>
              <w:overflowPunct/>
              <w:topLinePunct w:val="0"/>
              <w:autoSpaceDE w:val="0"/>
              <w:autoSpaceDN w:val="0"/>
              <w:bidi w:val="0"/>
              <w:adjustRightInd w:val="0"/>
              <w:snapToGrid w:val="0"/>
              <w:spacing w:line="400" w:lineRule="exact"/>
              <w:jc w:val="center"/>
              <w:textAlignment w:val="baseline"/>
              <w:rPr>
                <w:rFonts w:hint="eastAsia" w:ascii="黑体" w:hAnsi="黑体" w:eastAsia="黑体" w:cs="黑体"/>
                <w:b w:val="0"/>
                <w:bCs w:val="0"/>
                <w:sz w:val="30"/>
                <w:szCs w:val="30"/>
                <w:vertAlign w:val="baseline"/>
                <w:lang w:val="en-US" w:eastAsia="zh-CN"/>
              </w:rPr>
            </w:pPr>
            <w:r>
              <w:rPr>
                <w:rFonts w:hint="eastAsia" w:ascii="黑体" w:hAnsi="黑体" w:eastAsia="黑体" w:cs="黑体"/>
                <w:b w:val="0"/>
                <w:bCs w:val="0"/>
                <w:sz w:val="30"/>
                <w:szCs w:val="30"/>
                <w:vertAlign w:val="baseline"/>
                <w:lang w:val="en-US" w:eastAsia="zh-CN"/>
              </w:rPr>
              <w:t>设定依据</w:t>
            </w:r>
          </w:p>
        </w:tc>
      </w:tr>
      <w:tr w14:paraId="3F129A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0" w:hRule="atLeast"/>
          <w:jc w:val="center"/>
        </w:trPr>
        <w:tc>
          <w:tcPr>
            <w:tcW w:w="1636" w:type="dxa"/>
            <w:vAlign w:val="center"/>
          </w:tcPr>
          <w:p w14:paraId="7EFA0514">
            <w:pPr>
              <w:keepNext w:val="0"/>
              <w:keepLines w:val="0"/>
              <w:pageBreakBefore w:val="0"/>
              <w:widowControl/>
              <w:kinsoku/>
              <w:wordWrap/>
              <w:overflowPunct/>
              <w:topLinePunct w:val="0"/>
              <w:autoSpaceDE w:val="0"/>
              <w:autoSpaceDN w:val="0"/>
              <w:bidi w:val="0"/>
              <w:adjustRightInd w:val="0"/>
              <w:snapToGrid w:val="0"/>
              <w:spacing w:line="360" w:lineRule="exact"/>
              <w:jc w:val="center"/>
              <w:textAlignment w:val="baseline"/>
              <w:rPr>
                <w:rFonts w:hint="eastAsia" w:ascii="仿宋_GB2312" w:hAnsi="仿宋_GB2312" w:eastAsia="仿宋_GB2312" w:cs="仿宋_GB2312"/>
                <w:sz w:val="24"/>
                <w:szCs w:val="24"/>
                <w:vertAlign w:val="baseline"/>
              </w:rPr>
            </w:pPr>
            <w:r>
              <w:rPr>
                <w:rFonts w:hint="eastAsia" w:ascii="仿宋_GB2312" w:hAnsi="仿宋_GB2312" w:eastAsia="仿宋_GB2312" w:cs="仿宋_GB2312"/>
                <w:sz w:val="24"/>
                <w:szCs w:val="24"/>
                <w:vertAlign w:val="baseline"/>
                <w:lang w:val="en-US" w:eastAsia="zh-CN"/>
              </w:rPr>
              <w:t>城市管理</w:t>
            </w:r>
          </w:p>
        </w:tc>
        <w:tc>
          <w:tcPr>
            <w:tcW w:w="3787" w:type="dxa"/>
            <w:vAlign w:val="center"/>
          </w:tcPr>
          <w:p w14:paraId="7951B914">
            <w:pPr>
              <w:keepNext w:val="0"/>
              <w:keepLines w:val="0"/>
              <w:pageBreakBefore w:val="0"/>
              <w:widowControl/>
              <w:kinsoku/>
              <w:wordWrap/>
              <w:overflowPunct/>
              <w:topLinePunct w:val="0"/>
              <w:autoSpaceDE w:val="0"/>
              <w:autoSpaceDN w:val="0"/>
              <w:bidi w:val="0"/>
              <w:adjustRightInd w:val="0"/>
              <w:snapToGrid w:val="0"/>
              <w:spacing w:line="360" w:lineRule="exact"/>
              <w:jc w:val="both"/>
              <w:textAlignment w:val="baseline"/>
              <w:rPr>
                <w:rFonts w:hint="eastAsia" w:ascii="仿宋_GB2312" w:hAnsi="仿宋_GB2312" w:eastAsia="仿宋_GB2312" w:cs="仿宋_GB2312"/>
                <w:sz w:val="24"/>
                <w:szCs w:val="24"/>
                <w:vertAlign w:val="baseline"/>
              </w:rPr>
            </w:pPr>
            <w:r>
              <w:rPr>
                <w:rFonts w:hint="eastAsia" w:ascii="仿宋_GB2312" w:hAnsi="仿宋_GB2312" w:eastAsia="仿宋_GB2312" w:cs="仿宋_GB2312"/>
                <w:sz w:val="24"/>
                <w:szCs w:val="24"/>
                <w:vertAlign w:val="baseline"/>
              </w:rPr>
              <w:t>对从事车辆清洗</w:t>
            </w:r>
            <w:r>
              <w:rPr>
                <w:rFonts w:hint="eastAsia" w:ascii="仿宋_GB2312" w:hAnsi="仿宋_GB2312" w:eastAsia="仿宋_GB2312" w:cs="仿宋_GB2312"/>
                <w:sz w:val="24"/>
                <w:szCs w:val="24"/>
                <w:vertAlign w:val="baseline"/>
                <w:lang w:eastAsia="zh-CN"/>
              </w:rPr>
              <w:t>、</w:t>
            </w:r>
            <w:r>
              <w:rPr>
                <w:rFonts w:hint="eastAsia" w:ascii="仿宋_GB2312" w:hAnsi="仿宋_GB2312" w:eastAsia="仿宋_GB2312" w:cs="仿宋_GB2312"/>
                <w:sz w:val="24"/>
                <w:szCs w:val="24"/>
                <w:vertAlign w:val="baseline"/>
              </w:rPr>
              <w:t>维修经营活动，未在室内进行</w:t>
            </w:r>
            <w:r>
              <w:rPr>
                <w:rFonts w:hint="eastAsia" w:ascii="仿宋_GB2312" w:hAnsi="仿宋_GB2312" w:eastAsia="仿宋_GB2312" w:cs="仿宋_GB2312"/>
                <w:sz w:val="24"/>
                <w:szCs w:val="24"/>
                <w:vertAlign w:val="baseline"/>
                <w:lang w:eastAsia="zh-CN"/>
              </w:rPr>
              <w:t>，</w:t>
            </w:r>
            <w:r>
              <w:rPr>
                <w:rFonts w:hint="eastAsia" w:ascii="仿宋_GB2312" w:hAnsi="仿宋_GB2312" w:eastAsia="仿宋_GB2312" w:cs="仿宋_GB2312"/>
                <w:sz w:val="24"/>
                <w:szCs w:val="24"/>
                <w:vertAlign w:val="baseline"/>
              </w:rPr>
              <w:t>占用道</w:t>
            </w:r>
            <w:r>
              <w:rPr>
                <w:rFonts w:hint="eastAsia" w:ascii="仿宋_GB2312" w:hAnsi="仿宋_GB2312" w:eastAsia="仿宋_GB2312" w:cs="仿宋_GB2312"/>
                <w:sz w:val="24"/>
                <w:szCs w:val="24"/>
                <w:vertAlign w:val="baseline"/>
                <w:lang w:val="en-US" w:eastAsia="zh-CN"/>
              </w:rPr>
              <w:t>路</w:t>
            </w:r>
            <w:r>
              <w:rPr>
                <w:rFonts w:hint="eastAsia" w:ascii="仿宋_GB2312" w:hAnsi="仿宋_GB2312" w:eastAsia="仿宋_GB2312" w:cs="仿宋_GB2312"/>
                <w:sz w:val="24"/>
                <w:szCs w:val="24"/>
                <w:vertAlign w:val="baseline"/>
                <w:lang w:eastAsia="zh-CN"/>
              </w:rPr>
              <w:t>、</w:t>
            </w:r>
            <w:r>
              <w:rPr>
                <w:rFonts w:hint="eastAsia" w:ascii="仿宋_GB2312" w:hAnsi="仿宋_GB2312" w:eastAsia="仿宋_GB2312" w:cs="仿宋_GB2312"/>
                <w:sz w:val="24"/>
                <w:szCs w:val="24"/>
                <w:vertAlign w:val="baseline"/>
              </w:rPr>
              <w:t>绿地</w:t>
            </w:r>
            <w:r>
              <w:rPr>
                <w:rFonts w:hint="eastAsia" w:ascii="仿宋_GB2312" w:hAnsi="仿宋_GB2312" w:eastAsia="仿宋_GB2312" w:cs="仿宋_GB2312"/>
                <w:sz w:val="24"/>
                <w:szCs w:val="24"/>
                <w:vertAlign w:val="baseline"/>
                <w:lang w:eastAsia="zh-CN"/>
              </w:rPr>
              <w:t>、</w:t>
            </w:r>
            <w:r>
              <w:rPr>
                <w:rFonts w:hint="eastAsia" w:ascii="仿宋_GB2312" w:hAnsi="仿宋_GB2312" w:eastAsia="仿宋_GB2312" w:cs="仿宋_GB2312"/>
                <w:sz w:val="24"/>
                <w:szCs w:val="24"/>
                <w:vertAlign w:val="baseline"/>
              </w:rPr>
              <w:t>公共场所等的行政处罚</w:t>
            </w:r>
          </w:p>
        </w:tc>
        <w:tc>
          <w:tcPr>
            <w:tcW w:w="3350" w:type="dxa"/>
            <w:vAlign w:val="center"/>
          </w:tcPr>
          <w:p w14:paraId="1611F487">
            <w:pPr>
              <w:keepNext w:val="0"/>
              <w:keepLines w:val="0"/>
              <w:pageBreakBefore w:val="0"/>
              <w:widowControl/>
              <w:kinsoku/>
              <w:wordWrap/>
              <w:overflowPunct/>
              <w:topLinePunct w:val="0"/>
              <w:autoSpaceDE w:val="0"/>
              <w:autoSpaceDN w:val="0"/>
              <w:bidi w:val="0"/>
              <w:adjustRightInd w:val="0"/>
              <w:snapToGrid w:val="0"/>
              <w:spacing w:line="360" w:lineRule="exact"/>
              <w:jc w:val="both"/>
              <w:textAlignment w:val="baseline"/>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eastAsia="zh-CN"/>
              </w:rPr>
              <w:t>《</w:t>
            </w:r>
            <w:r>
              <w:rPr>
                <w:rFonts w:hint="eastAsia" w:ascii="仿宋_GB2312" w:hAnsi="仿宋_GB2312" w:eastAsia="仿宋_GB2312" w:cs="仿宋_GB2312"/>
                <w:sz w:val="24"/>
                <w:szCs w:val="24"/>
                <w:vertAlign w:val="baseline"/>
              </w:rPr>
              <w:t>河北省城市市容和环境卫生条例</w:t>
            </w:r>
            <w:r>
              <w:rPr>
                <w:rFonts w:hint="eastAsia" w:ascii="仿宋_GB2312" w:hAnsi="仿宋_GB2312" w:eastAsia="仿宋_GB2312" w:cs="仿宋_GB2312"/>
                <w:sz w:val="24"/>
                <w:szCs w:val="24"/>
                <w:vertAlign w:val="baseline"/>
                <w:lang w:eastAsia="zh-CN"/>
              </w:rPr>
              <w:t>》（</w:t>
            </w:r>
            <w:r>
              <w:rPr>
                <w:rFonts w:hint="eastAsia" w:ascii="仿宋_GB2312" w:hAnsi="仿宋_GB2312" w:eastAsia="仿宋_GB2312" w:cs="仿宋_GB2312"/>
                <w:sz w:val="24"/>
                <w:szCs w:val="24"/>
                <w:vertAlign w:val="baseline"/>
              </w:rPr>
              <w:t>2023年11月30日修正</w:t>
            </w:r>
            <w:r>
              <w:rPr>
                <w:rFonts w:hint="eastAsia" w:ascii="仿宋_GB2312" w:hAnsi="仿宋_GB2312" w:eastAsia="仿宋_GB2312" w:cs="仿宋_GB2312"/>
                <w:sz w:val="24"/>
                <w:szCs w:val="24"/>
                <w:vertAlign w:val="baseline"/>
                <w:lang w:eastAsia="zh-CN"/>
              </w:rPr>
              <w:t>）</w:t>
            </w:r>
            <w:r>
              <w:rPr>
                <w:rFonts w:hint="eastAsia" w:ascii="仿宋_GB2312" w:hAnsi="仿宋_GB2312" w:eastAsia="仿宋_GB2312" w:cs="仿宋_GB2312"/>
                <w:sz w:val="24"/>
                <w:szCs w:val="24"/>
                <w:vertAlign w:val="baseline"/>
                <w:lang w:val="en-US" w:eastAsia="zh-CN"/>
              </w:rPr>
              <w:t>第三十八条</w:t>
            </w:r>
          </w:p>
        </w:tc>
      </w:tr>
      <w:tr w14:paraId="6E8195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5" w:hRule="atLeast"/>
          <w:jc w:val="center"/>
        </w:trPr>
        <w:tc>
          <w:tcPr>
            <w:tcW w:w="1636" w:type="dxa"/>
            <w:shd w:val="clear" w:color="auto" w:fill="auto"/>
            <w:vAlign w:val="center"/>
          </w:tcPr>
          <w:p w14:paraId="6A2B1F8C">
            <w:pPr>
              <w:keepNext w:val="0"/>
              <w:keepLines w:val="0"/>
              <w:pageBreakBefore w:val="0"/>
              <w:widowControl/>
              <w:kinsoku/>
              <w:wordWrap/>
              <w:overflowPunct/>
              <w:topLinePunct w:val="0"/>
              <w:autoSpaceDE w:val="0"/>
              <w:autoSpaceDN w:val="0"/>
              <w:bidi w:val="0"/>
              <w:adjustRightInd w:val="0"/>
              <w:snapToGrid w:val="0"/>
              <w:spacing w:line="360" w:lineRule="exact"/>
              <w:jc w:val="center"/>
              <w:textAlignment w:val="baseline"/>
              <w:rPr>
                <w:rFonts w:hint="eastAsia" w:ascii="仿宋_GB2312" w:hAnsi="仿宋_GB2312" w:eastAsia="仿宋_GB2312" w:cs="仿宋_GB2312"/>
                <w:snapToGrid w:val="0"/>
                <w:color w:val="000000"/>
                <w:kern w:val="0"/>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生态环境</w:t>
            </w:r>
          </w:p>
        </w:tc>
        <w:tc>
          <w:tcPr>
            <w:tcW w:w="3787" w:type="dxa"/>
            <w:shd w:val="clear" w:color="auto" w:fill="auto"/>
            <w:vAlign w:val="center"/>
          </w:tcPr>
          <w:p w14:paraId="76F85D26">
            <w:pPr>
              <w:keepNext w:val="0"/>
              <w:keepLines w:val="0"/>
              <w:pageBreakBefore w:val="0"/>
              <w:widowControl/>
              <w:kinsoku/>
              <w:wordWrap/>
              <w:overflowPunct/>
              <w:topLinePunct w:val="0"/>
              <w:autoSpaceDE w:val="0"/>
              <w:autoSpaceDN w:val="0"/>
              <w:bidi w:val="0"/>
              <w:adjustRightInd w:val="0"/>
              <w:snapToGrid w:val="0"/>
              <w:spacing w:line="360" w:lineRule="exact"/>
              <w:jc w:val="both"/>
              <w:textAlignment w:val="baseline"/>
              <w:rPr>
                <w:rFonts w:hint="eastAsia" w:ascii="仿宋_GB2312" w:hAnsi="仿宋_GB2312" w:eastAsia="仿宋_GB2312" w:cs="仿宋_GB2312"/>
                <w:snapToGrid w:val="0"/>
                <w:color w:val="000000"/>
                <w:kern w:val="0"/>
                <w:sz w:val="24"/>
                <w:szCs w:val="24"/>
                <w:vertAlign w:val="baseline"/>
                <w:lang w:val="en-US" w:eastAsia="en-US" w:bidi="ar-SA"/>
              </w:rPr>
            </w:pPr>
            <w:r>
              <w:rPr>
                <w:rFonts w:hint="eastAsia" w:ascii="仿宋_GB2312" w:hAnsi="仿宋_GB2312" w:eastAsia="仿宋_GB2312" w:cs="仿宋_GB2312"/>
                <w:sz w:val="24"/>
                <w:szCs w:val="24"/>
                <w:vertAlign w:val="baseline"/>
              </w:rPr>
              <w:t>对露天焚烧秸秆、落叶、枯草等产生烟尘污染的行政处罚</w:t>
            </w:r>
          </w:p>
        </w:tc>
        <w:tc>
          <w:tcPr>
            <w:tcW w:w="3350" w:type="dxa"/>
            <w:shd w:val="clear" w:color="auto" w:fill="auto"/>
            <w:vAlign w:val="center"/>
          </w:tcPr>
          <w:p w14:paraId="162B4C8D">
            <w:pPr>
              <w:keepNext w:val="0"/>
              <w:keepLines w:val="0"/>
              <w:pageBreakBefore w:val="0"/>
              <w:widowControl/>
              <w:kinsoku/>
              <w:wordWrap/>
              <w:overflowPunct/>
              <w:topLinePunct w:val="0"/>
              <w:autoSpaceDE w:val="0"/>
              <w:autoSpaceDN w:val="0"/>
              <w:bidi w:val="0"/>
              <w:adjustRightInd w:val="0"/>
              <w:snapToGrid w:val="0"/>
              <w:spacing w:line="360" w:lineRule="exact"/>
              <w:jc w:val="both"/>
              <w:textAlignment w:val="baseline"/>
              <w:rPr>
                <w:rFonts w:hint="eastAsia" w:ascii="仿宋_GB2312" w:hAnsi="仿宋_GB2312" w:eastAsia="仿宋_GB2312" w:cs="仿宋_GB2312"/>
                <w:sz w:val="24"/>
                <w:szCs w:val="24"/>
                <w:vertAlign w:val="baseline"/>
              </w:rPr>
            </w:pPr>
            <w:r>
              <w:rPr>
                <w:rFonts w:hint="eastAsia" w:ascii="仿宋_GB2312" w:hAnsi="仿宋_GB2312" w:eastAsia="仿宋_GB2312" w:cs="仿宋_GB2312"/>
                <w:sz w:val="24"/>
                <w:szCs w:val="24"/>
                <w:vertAlign w:val="baseline"/>
              </w:rPr>
              <w:t>《中华人民共和国大气污染防治法》（2018年10月26日修正）第一百一十九条第一款</w:t>
            </w:r>
            <w:r>
              <w:rPr>
                <w:rFonts w:hint="eastAsia" w:ascii="仿宋_GB2312" w:hAnsi="仿宋_GB2312" w:eastAsia="仿宋_GB2312" w:cs="仿宋_GB2312"/>
                <w:sz w:val="24"/>
                <w:szCs w:val="24"/>
                <w:vertAlign w:val="baseline"/>
                <w:lang w:eastAsia="zh-CN"/>
              </w:rPr>
              <w:t>《</w:t>
            </w:r>
            <w:r>
              <w:rPr>
                <w:rFonts w:hint="eastAsia" w:ascii="仿宋_GB2312" w:hAnsi="仿宋_GB2312" w:eastAsia="仿宋_GB2312" w:cs="仿宋_GB2312"/>
                <w:sz w:val="24"/>
                <w:szCs w:val="24"/>
                <w:vertAlign w:val="baseline"/>
              </w:rPr>
              <w:t>河北省大气污染防治条例</w:t>
            </w:r>
            <w:r>
              <w:rPr>
                <w:rFonts w:hint="eastAsia" w:ascii="仿宋_GB2312" w:hAnsi="仿宋_GB2312" w:eastAsia="仿宋_GB2312" w:cs="仿宋_GB2312"/>
                <w:sz w:val="24"/>
                <w:szCs w:val="24"/>
                <w:vertAlign w:val="baseline"/>
                <w:lang w:eastAsia="zh-CN"/>
              </w:rPr>
              <w:t>》</w:t>
            </w:r>
            <w:r>
              <w:rPr>
                <w:rFonts w:hint="eastAsia" w:ascii="仿宋_GB2312" w:hAnsi="仿宋_GB2312" w:eastAsia="仿宋_GB2312" w:cs="仿宋_GB2312"/>
                <w:sz w:val="24"/>
                <w:szCs w:val="24"/>
                <w:vertAlign w:val="baseline"/>
              </w:rPr>
              <w:t>（2021年9月29日修正）第八十七条</w:t>
            </w:r>
          </w:p>
          <w:p w14:paraId="0004677F">
            <w:pPr>
              <w:keepNext w:val="0"/>
              <w:keepLines w:val="0"/>
              <w:pageBreakBefore w:val="0"/>
              <w:widowControl/>
              <w:kinsoku/>
              <w:wordWrap/>
              <w:overflowPunct/>
              <w:topLinePunct w:val="0"/>
              <w:autoSpaceDE w:val="0"/>
              <w:autoSpaceDN w:val="0"/>
              <w:bidi w:val="0"/>
              <w:adjustRightInd w:val="0"/>
              <w:snapToGrid w:val="0"/>
              <w:spacing w:line="360" w:lineRule="exact"/>
              <w:jc w:val="both"/>
              <w:textAlignment w:val="baseline"/>
              <w:rPr>
                <w:rFonts w:hint="eastAsia" w:ascii="仿宋_GB2312" w:hAnsi="仿宋_GB2312" w:eastAsia="仿宋_GB2312" w:cs="仿宋_GB2312"/>
                <w:snapToGrid w:val="0"/>
                <w:color w:val="000000"/>
                <w:kern w:val="0"/>
                <w:sz w:val="24"/>
                <w:szCs w:val="24"/>
                <w:vertAlign w:val="baseline"/>
                <w:lang w:val="en-US" w:eastAsia="zh-CN" w:bidi="ar-SA"/>
              </w:rPr>
            </w:pPr>
            <w:r>
              <w:rPr>
                <w:rFonts w:hint="eastAsia" w:ascii="仿宋_GB2312" w:hAnsi="仿宋_GB2312" w:eastAsia="仿宋_GB2312" w:cs="仿宋_GB2312"/>
                <w:sz w:val="24"/>
                <w:szCs w:val="24"/>
                <w:vertAlign w:val="baseline"/>
                <w:lang w:eastAsia="zh-CN"/>
              </w:rPr>
              <w:t>《</w:t>
            </w:r>
            <w:r>
              <w:rPr>
                <w:rFonts w:hint="eastAsia" w:ascii="仿宋_GB2312" w:hAnsi="仿宋_GB2312" w:eastAsia="仿宋_GB2312" w:cs="仿宋_GB2312"/>
                <w:sz w:val="24"/>
                <w:szCs w:val="24"/>
                <w:vertAlign w:val="baseline"/>
              </w:rPr>
              <w:t>河北省人民代表大会常务委员会关于促进农作物秸秆综合利用和禁止露天焚烧的决定</w:t>
            </w:r>
            <w:r>
              <w:rPr>
                <w:rFonts w:hint="eastAsia" w:ascii="仿宋_GB2312" w:hAnsi="仿宋_GB2312" w:eastAsia="仿宋_GB2312" w:cs="仿宋_GB2312"/>
                <w:sz w:val="24"/>
                <w:szCs w:val="24"/>
                <w:vertAlign w:val="baseline"/>
                <w:lang w:eastAsia="zh-CN"/>
              </w:rPr>
              <w:t>》</w:t>
            </w:r>
            <w:r>
              <w:rPr>
                <w:rFonts w:hint="eastAsia" w:ascii="仿宋_GB2312" w:hAnsi="仿宋_GB2312" w:eastAsia="仿宋_GB2312" w:cs="仿宋_GB2312"/>
                <w:sz w:val="24"/>
                <w:szCs w:val="24"/>
                <w:vertAlign w:val="baseline"/>
              </w:rPr>
              <w:t>（2018年7月27日修订）第二十四条</w:t>
            </w:r>
          </w:p>
        </w:tc>
      </w:tr>
      <w:tr w14:paraId="703B8E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0" w:hRule="atLeast"/>
          <w:jc w:val="center"/>
        </w:trPr>
        <w:tc>
          <w:tcPr>
            <w:tcW w:w="1636" w:type="dxa"/>
            <w:vAlign w:val="center"/>
          </w:tcPr>
          <w:p w14:paraId="298ACA22">
            <w:pPr>
              <w:keepNext w:val="0"/>
              <w:keepLines w:val="0"/>
              <w:pageBreakBefore w:val="0"/>
              <w:widowControl/>
              <w:kinsoku/>
              <w:wordWrap/>
              <w:overflowPunct/>
              <w:topLinePunct w:val="0"/>
              <w:autoSpaceDE w:val="0"/>
              <w:autoSpaceDN w:val="0"/>
              <w:bidi w:val="0"/>
              <w:adjustRightInd w:val="0"/>
              <w:snapToGrid w:val="0"/>
              <w:spacing w:line="360" w:lineRule="exact"/>
              <w:jc w:val="center"/>
              <w:textAlignment w:val="baseline"/>
              <w:rPr>
                <w:rFonts w:hint="eastAsia" w:ascii="仿宋_GB2312" w:hAnsi="仿宋_GB2312" w:eastAsia="仿宋_GB2312" w:cs="仿宋_GB2312"/>
                <w:sz w:val="24"/>
                <w:szCs w:val="24"/>
                <w:vertAlign w:val="baseline"/>
              </w:rPr>
            </w:pPr>
            <w:r>
              <w:rPr>
                <w:rFonts w:hint="eastAsia" w:ascii="仿宋_GB2312" w:hAnsi="仿宋_GB2312" w:eastAsia="仿宋_GB2312" w:cs="仿宋_GB2312"/>
                <w:sz w:val="24"/>
                <w:szCs w:val="24"/>
                <w:vertAlign w:val="baseline"/>
              </w:rPr>
              <w:t>民族事务</w:t>
            </w:r>
          </w:p>
        </w:tc>
        <w:tc>
          <w:tcPr>
            <w:tcW w:w="3787" w:type="dxa"/>
            <w:vAlign w:val="center"/>
          </w:tcPr>
          <w:p w14:paraId="0D4AE21A">
            <w:pPr>
              <w:keepNext w:val="0"/>
              <w:keepLines w:val="0"/>
              <w:pageBreakBefore w:val="0"/>
              <w:widowControl/>
              <w:kinsoku/>
              <w:wordWrap/>
              <w:overflowPunct/>
              <w:topLinePunct w:val="0"/>
              <w:autoSpaceDE w:val="0"/>
              <w:autoSpaceDN w:val="0"/>
              <w:bidi w:val="0"/>
              <w:adjustRightInd w:val="0"/>
              <w:snapToGrid w:val="0"/>
              <w:spacing w:line="360" w:lineRule="exact"/>
              <w:jc w:val="both"/>
              <w:textAlignment w:val="baseline"/>
              <w:rPr>
                <w:rFonts w:hint="eastAsia" w:ascii="仿宋_GB2312" w:hAnsi="仿宋_GB2312" w:eastAsia="仿宋_GB2312" w:cs="仿宋_GB2312"/>
                <w:sz w:val="24"/>
                <w:szCs w:val="24"/>
                <w:vertAlign w:val="baseline"/>
              </w:rPr>
            </w:pPr>
            <w:r>
              <w:rPr>
                <w:rFonts w:hint="eastAsia" w:ascii="仿宋_GB2312" w:hAnsi="仿宋_GB2312" w:eastAsia="仿宋_GB2312" w:cs="仿宋_GB2312"/>
                <w:sz w:val="24"/>
                <w:szCs w:val="24"/>
                <w:vertAlign w:val="baseline"/>
              </w:rPr>
              <w:t>对未按照要求生产</w:t>
            </w:r>
            <w:r>
              <w:rPr>
                <w:rFonts w:hint="eastAsia" w:ascii="仿宋_GB2312" w:hAnsi="仿宋_GB2312" w:eastAsia="仿宋_GB2312" w:cs="仿宋_GB2312"/>
                <w:sz w:val="24"/>
                <w:szCs w:val="24"/>
                <w:vertAlign w:val="baseline"/>
                <w:lang w:eastAsia="zh-CN"/>
              </w:rPr>
              <w:t>、</w:t>
            </w:r>
            <w:r>
              <w:rPr>
                <w:rFonts w:hint="eastAsia" w:ascii="仿宋_GB2312" w:hAnsi="仿宋_GB2312" w:eastAsia="仿宋_GB2312" w:cs="仿宋_GB2312"/>
                <w:sz w:val="24"/>
                <w:szCs w:val="24"/>
                <w:vertAlign w:val="baseline"/>
              </w:rPr>
              <w:t>经营清真食品的行政处罚</w:t>
            </w:r>
          </w:p>
        </w:tc>
        <w:tc>
          <w:tcPr>
            <w:tcW w:w="3350" w:type="dxa"/>
            <w:vAlign w:val="center"/>
          </w:tcPr>
          <w:p w14:paraId="53D36AF7">
            <w:pPr>
              <w:keepNext w:val="0"/>
              <w:keepLines w:val="0"/>
              <w:pageBreakBefore w:val="0"/>
              <w:widowControl/>
              <w:kinsoku/>
              <w:wordWrap/>
              <w:overflowPunct/>
              <w:topLinePunct w:val="0"/>
              <w:autoSpaceDE w:val="0"/>
              <w:autoSpaceDN w:val="0"/>
              <w:bidi w:val="0"/>
              <w:adjustRightInd w:val="0"/>
              <w:snapToGrid w:val="0"/>
              <w:spacing w:line="360" w:lineRule="exact"/>
              <w:jc w:val="both"/>
              <w:textAlignment w:val="baseline"/>
              <w:rPr>
                <w:rFonts w:hint="eastAsia" w:ascii="仿宋_GB2312" w:hAnsi="仿宋_GB2312" w:eastAsia="仿宋_GB2312" w:cs="仿宋_GB2312"/>
                <w:sz w:val="24"/>
                <w:szCs w:val="24"/>
                <w:vertAlign w:val="baseline"/>
              </w:rPr>
            </w:pPr>
            <w:r>
              <w:rPr>
                <w:rFonts w:hint="eastAsia" w:ascii="仿宋_GB2312" w:hAnsi="仿宋_GB2312" w:eastAsia="仿宋_GB2312" w:cs="仿宋_GB2312"/>
                <w:sz w:val="24"/>
                <w:szCs w:val="24"/>
                <w:vertAlign w:val="baseline"/>
                <w:lang w:eastAsia="zh-CN"/>
              </w:rPr>
              <w:t>《</w:t>
            </w:r>
            <w:r>
              <w:rPr>
                <w:rFonts w:hint="eastAsia" w:ascii="仿宋_GB2312" w:hAnsi="仿宋_GB2312" w:eastAsia="仿宋_GB2312" w:cs="仿宋_GB2312"/>
                <w:sz w:val="24"/>
                <w:szCs w:val="24"/>
                <w:vertAlign w:val="baseline"/>
              </w:rPr>
              <w:t>河北省清真食品管理条例</w:t>
            </w:r>
            <w:r>
              <w:rPr>
                <w:rFonts w:hint="eastAsia" w:ascii="仿宋_GB2312" w:hAnsi="仿宋_GB2312" w:eastAsia="仿宋_GB2312" w:cs="仿宋_GB2312"/>
                <w:sz w:val="24"/>
                <w:szCs w:val="24"/>
                <w:vertAlign w:val="baseline"/>
                <w:lang w:eastAsia="zh-CN"/>
              </w:rPr>
              <w:t>》</w:t>
            </w:r>
            <w:r>
              <w:rPr>
                <w:rFonts w:hint="eastAsia" w:ascii="仿宋_GB2312" w:hAnsi="仿宋_GB2312" w:eastAsia="仿宋_GB2312" w:cs="仿宋_GB2312"/>
                <w:sz w:val="24"/>
                <w:szCs w:val="24"/>
                <w:vertAlign w:val="baseline"/>
              </w:rPr>
              <w:t>（1999年11月29日河北省第九届人民代表大会常务委员会第十二次会议通过）第十七条第（一）（二）（三）（四）（六）（七）（八）项</w:t>
            </w:r>
          </w:p>
        </w:tc>
      </w:tr>
    </w:tbl>
    <w:p w14:paraId="38CC701F">
      <w:bookmarkStart w:id="0" w:name="_GoBack"/>
      <w:bookmarkEnd w:id="0"/>
    </w:p>
    <w:sectPr>
      <w:pgSz w:w="11906" w:h="16838"/>
      <w:pgMar w:top="1984" w:right="1587" w:bottom="1871"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A00002BF" w:usb1="184F6CFA" w:usb2="00000012" w:usb3="00000000" w:csb0="00040001"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E0D5DD8"/>
    <w:rsid w:val="29036B8C"/>
    <w:rsid w:val="3B752434"/>
    <w:rsid w:val="7E0D5D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1508</Words>
  <Characters>1614</Characters>
  <Lines>0</Lines>
  <Paragraphs>0</Paragraphs>
  <TotalTime>2</TotalTime>
  <ScaleCrop>false</ScaleCrop>
  <LinksUpToDate>false</LinksUpToDate>
  <CharactersWithSpaces>1621</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2024-12-23T02:13:00Z</dcterms:created>
  <dc:creator> </dc:creator>
  <cp:lastModifiedBy>石头剪刀布</cp:lastModifiedBy>
  <cp:lastPrinted>2024-12-30T01:29:00Z</cp:lastPrinted>
  <dcterms:modified xsi:type="dcterms:W3CDTF">2025-11-06T02:54:52Z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D0E54F34BB454AF6AEFCA167D56076FC_11</vt:lpwstr>
  </property>
  <property fmtid="{D5CDD505-2E9C-101B-9397-08002B2CF9AE}" pid="4" name="KSOTemplateDocerSaveRecord">
    <vt:lpwstr>eyJoZGlkIjoiYTU4MGFkZjM5NzhmMzY5NWUyMjAzZTk2MTVlZGJiN2UiLCJ1c2VySWQiOiI3MDk5NDE0MjAifQ==</vt:lpwstr>
  </property>
</Properties>
</file>