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jc w:val="center"/>
        <w:rPr>
          <w:rFonts w:ascii="Times New Roman" w:hAnsi="Times New Roman" w:eastAsia="方正小标宋简体" w:cs="Times New Roman"/>
          <w:sz w:val="44"/>
          <w:szCs w:val="44"/>
        </w:rPr>
      </w:pPr>
      <w:bookmarkStart w:id="3" w:name="_GoBack"/>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val="en-US" w:eastAsia="zh-CN"/>
        </w:rPr>
        <w:t>里澜城镇</w:t>
      </w:r>
      <w:r>
        <w:rPr>
          <w:rFonts w:hint="eastAsia" w:ascii="Times New Roman" w:hAnsi="Times New Roman" w:eastAsia="方正小标宋简体" w:cs="Times New Roman"/>
          <w:sz w:val="44"/>
          <w:szCs w:val="44"/>
          <w:lang w:eastAsia="zh-CN"/>
        </w:rPr>
        <w:t>人民政府</w:t>
      </w:r>
      <w:r>
        <w:rPr>
          <w:rFonts w:ascii="Times New Roman" w:hAnsi="Times New Roman" w:eastAsia="方正小标宋简体" w:cs="Times New Roman"/>
          <w:sz w:val="44"/>
          <w:szCs w:val="44"/>
        </w:rPr>
        <w:t>2023年部门预算信息公开</w:t>
      </w:r>
      <w:r>
        <w:rPr>
          <w:rFonts w:hint="eastAsia" w:ascii="Times New Roman" w:hAnsi="Times New Roman" w:eastAsia="方正小标宋简体" w:cs="Times New Roman"/>
          <w:sz w:val="44"/>
          <w:szCs w:val="44"/>
        </w:rPr>
        <w:t>情况说明</w:t>
      </w:r>
    </w:p>
    <w:bookmarkEnd w:id="3"/>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按照《中华人民共和国预算法》、《中华人民共和国预算法实施条例》、《地方预决算公开操作规程》和《河北省省级预算公开办法》规定，现将永清县</w:t>
      </w: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lang w:eastAsia="zh-CN"/>
        </w:rPr>
        <w:t>人民政府</w:t>
      </w:r>
      <w:r>
        <w:rPr>
          <w:rFonts w:ascii="Times New Roman" w:hAnsi="Times New Roman" w:eastAsia="仿宋_GB2312" w:cs="Times New Roman"/>
          <w:sz w:val="32"/>
          <w:szCs w:val="32"/>
        </w:rPr>
        <w:t>2023年部门预算公开如下：</w:t>
      </w:r>
    </w:p>
    <w:p>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一、部门职责及机构设置情况</w:t>
      </w:r>
    </w:p>
    <w:p>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rPr>
        <w:t>主要围绕加强党的领导、夯实基层政权，促进经济发展、增加农民收入，优化公共服务、着力改善民生，强化社会治理、维护社会稳定，推进基层民主、促进农村和谐，改善生态环境、提升</w:t>
      </w:r>
      <w:r>
        <w:rPr>
          <w:rFonts w:hint="eastAsia" w:ascii="Times New Roman" w:hAnsi="Times New Roman" w:eastAsia="仿宋_GB2312" w:cs="Times New Roman"/>
          <w:sz w:val="32"/>
          <w:szCs w:val="32"/>
          <w:lang w:val="en-US" w:eastAsia="zh-CN"/>
        </w:rPr>
        <w:t>镇</w:t>
      </w:r>
      <w:r>
        <w:rPr>
          <w:rFonts w:hint="eastAsia" w:ascii="Times New Roman" w:hAnsi="Times New Roman" w:eastAsia="仿宋_GB2312" w:cs="Times New Roman"/>
          <w:sz w:val="32"/>
          <w:szCs w:val="32"/>
        </w:rPr>
        <w:t>风文明等方面履行职能。</w:t>
      </w:r>
    </w:p>
    <w:p>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rPr>
        <w:t>设置下列工作机构的职责是：</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一、党政综合办公室（财政所）。</w:t>
      </w:r>
      <w:r>
        <w:rPr>
          <w:rFonts w:hint="eastAsia" w:ascii="Times New Roman" w:hAnsi="Times New Roman" w:eastAsia="仿宋_GB2312" w:cs="Times New Roman"/>
          <w:sz w:val="32"/>
          <w:szCs w:val="32"/>
          <w:lang w:eastAsia="zh-CN"/>
        </w:rPr>
        <w:t>负责党委、政府日常事务；负责</w:t>
      </w:r>
      <w:r>
        <w:rPr>
          <w:rFonts w:hint="eastAsia" w:ascii="Times New Roman" w:hAnsi="Times New Roman" w:eastAsia="仿宋_GB2312" w:cs="Times New Roman"/>
          <w:sz w:val="32"/>
          <w:szCs w:val="32"/>
          <w:lang w:val="en-US" w:eastAsia="zh-CN"/>
        </w:rPr>
        <w:t>镇</w:t>
      </w:r>
      <w:r>
        <w:rPr>
          <w:rFonts w:hint="eastAsia" w:ascii="Times New Roman" w:hAnsi="Times New Roman" w:eastAsia="仿宋_GB2312" w:cs="Times New Roman"/>
          <w:sz w:val="32"/>
          <w:szCs w:val="32"/>
          <w:lang w:eastAsia="zh-CN"/>
        </w:rPr>
        <w:t>各单位的综合协调、行政事务等工作；负责文秘、会务、督查、信息、档案、保密、机要、后勤保障等日常工作；负责财务、资产管理等方面工作；负责辖区信访维稳工作；负责辖区统计调查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二、党建工作办公室（人大主席团办公室）。</w:t>
      </w:r>
      <w:r>
        <w:rPr>
          <w:rFonts w:hint="eastAsia" w:ascii="Times New Roman" w:hAnsi="Times New Roman" w:eastAsia="仿宋_GB2312" w:cs="Times New Roman"/>
          <w:sz w:val="32"/>
          <w:szCs w:val="32"/>
          <w:lang w:eastAsia="zh-CN"/>
        </w:rPr>
        <w:t>负责党的政治建设、组织建设、思想宣传、精神文明建设、统战、侨务、民族宗教等方面工作；负责落实基层党建责任制,基层服务型党组织建设,区域化党建和"两新"组织党建、居民区党建,党代表联系服务等方面工作；负责人大主席团的日常工作；负责党员教育管理、干部考核、人事管理、机构编制、老干部管理等方面工作；负责工会、共青团、妇联等方面工作；负责党务公开工作；负责财务内部审计监督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三、应急管理办公室。</w:t>
      </w:r>
      <w:r>
        <w:rPr>
          <w:rFonts w:hint="eastAsia" w:ascii="Times New Roman" w:hAnsi="Times New Roman" w:eastAsia="仿宋_GB2312" w:cs="Times New Roman"/>
          <w:sz w:val="32"/>
          <w:szCs w:val="32"/>
          <w:lang w:eastAsia="zh-CN"/>
        </w:rPr>
        <w:t>负责辖区安全生产监督管理工作；负责辖区消防、防汛抗洪、抗旱、防灾减灾、突发事件应急处置与管理、自然灾害救助和救助款物管理、护林和森林草原防火等方面工作；按权限负责辖区食品安全、乡村道路交通安全等方面监督管理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四、自然资源和生态环境办公室。</w:t>
      </w:r>
      <w:r>
        <w:rPr>
          <w:rFonts w:hint="eastAsia" w:ascii="Times New Roman" w:hAnsi="Times New Roman" w:eastAsia="仿宋_GB2312" w:cs="Times New Roman"/>
          <w:sz w:val="32"/>
          <w:szCs w:val="32"/>
          <w:lang w:eastAsia="zh-CN"/>
        </w:rPr>
        <w:t>按照职责分工负责辖区自然资源和生态环境保护相关工作；负责辖区基本农田保护、土地调查、规划建设、自然资源保护和监管、全民义务植树、古树名木保护、草原建设保护；负责乡村道路建设管理；负责农村供水用水管理工作；负责畜禽遗传保护、市容村容和环境卫生、农村生活污水管理、土壤污染防治利用、河湖水资源保护、水域岸线管理、水污染防治、水环境治理、地下水管理、大气污染防治、突发环境事件应急处置、水土保持、人居环境改善、扬尘污染防治、畜禽养殖污染防治、禁止露天焚烧秸秆、“散乱污”企业综合整治等相关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五、综合行政执法队（综合指挥和信息化网络中心、社会治安综合治理中心）。</w:t>
      </w:r>
      <w:r>
        <w:rPr>
          <w:rFonts w:hint="eastAsia" w:ascii="Times New Roman" w:hAnsi="Times New Roman" w:eastAsia="仿宋_GB2312" w:cs="Times New Roman"/>
          <w:sz w:val="32"/>
          <w:szCs w:val="32"/>
          <w:lang w:eastAsia="zh-CN"/>
        </w:rPr>
        <w:t>根据法律法规和省政府授权,承担辖区综合行政执法工作；负责综合指挥、信息化网络管理工作；负责信息化平台的运行管理保障；负责统筹协调指挥区域内各条块管理服务力量；负责对平台接收事项的交办、跟踪和督办；负责区域内的信息受理、工单派发、辅助决策等工作,及时收集多种途径排查出的民生诉求、矛盾纠纷、问题隐患等信息,并进行汇总梳理、分析研判,根据事件类别和情况,派发给乡相关职能机构进行处置,或按程序上报县级综合指挥平台处置；负责辖区信用体系建设、社会综合治理、调解各类纠纷等相关工作；协调辖区法庭、派出所、司法所相关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六、行政综合服务中心（综合文化服务站）。</w:t>
      </w:r>
      <w:r>
        <w:rPr>
          <w:rFonts w:hint="eastAsia" w:ascii="Times New Roman" w:hAnsi="Times New Roman" w:eastAsia="仿宋_GB2312" w:cs="Times New Roman"/>
          <w:sz w:val="32"/>
          <w:szCs w:val="32"/>
          <w:lang w:eastAsia="zh-CN"/>
        </w:rPr>
        <w:t>根据法律法规和省政府授权,承担辖区行政审批服务工作。负责辖区计划生育、社会保障、民政事务、残疾人保障、医疗保障等相关工作；负责辖区科技、教育、体育、文化旅游、卫生健康、居家养老服务等方面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七、农业综合服务中心（经济发展中心）。</w:t>
      </w:r>
      <w:r>
        <w:rPr>
          <w:rFonts w:hint="eastAsia" w:ascii="Times New Roman" w:hAnsi="Times New Roman" w:eastAsia="仿宋_GB2312" w:cs="Times New Roman"/>
          <w:sz w:val="32"/>
          <w:szCs w:val="32"/>
          <w:lang w:eastAsia="zh-CN"/>
        </w:rPr>
        <w:t>负责辖区农业、畜牧、水利等方面工作；负责辖区农村扶贫开发的具体实施；负责辖区经济发展、企业服务相关工作；负责辖区村民委员会成员的任期和离任经济责任审计工作；负责辖区农村“三资”管理、村务公开等方面工作；负责辖区农村土地承包管理相关工作；按照职责分工负责辖区农民负担监管工作,组织开展农民负担专项检查；按照权限落实好农村重点改革任务；负责“气代煤”、燃气供热管理有关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仿宋" w:hAnsi="仿宋" w:eastAsia="仿宋" w:cs="仿宋"/>
          <w:b/>
          <w:bCs/>
          <w:kern w:val="0"/>
          <w:sz w:val="32"/>
          <w:szCs w:val="32"/>
        </w:rPr>
        <w:t>八、退役军人服务站。</w:t>
      </w:r>
      <w:r>
        <w:rPr>
          <w:rFonts w:hint="eastAsia" w:ascii="Times New Roman" w:hAnsi="Times New Roman" w:eastAsia="仿宋_GB2312" w:cs="Times New Roman"/>
          <w:sz w:val="32"/>
          <w:szCs w:val="32"/>
          <w:lang w:eastAsia="zh-CN"/>
        </w:rPr>
        <w:t>负责依照法定权限,做好本辖区的征兵、民兵、预备役、国防教育、国民经济动员、人民防空、国防交通、国防设施保护、拥军优属、退役军人服务等工作;完成党委、政府交办的其他工作。</w:t>
      </w:r>
    </w:p>
    <w:p>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按照有关规定设置</w:t>
      </w: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lang w:eastAsia="zh-CN"/>
        </w:rPr>
        <w:t>纪委；县监察委员会向</w:t>
      </w: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lang w:eastAsia="zh-CN"/>
        </w:rPr>
        <w:t>派出监察办公室,与乡镇纪委合署办公。</w:t>
      </w: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lang w:eastAsia="zh-CN"/>
        </w:rPr>
        <w:t>工会、共青团、妇联等群团组织按有关规定和章程设置,在</w:t>
      </w:r>
      <w:r>
        <w:rPr>
          <w:rFonts w:hint="eastAsia" w:ascii="Times New Roman" w:hAnsi="Times New Roman" w:eastAsia="仿宋_GB2312" w:cs="Times New Roman"/>
          <w:sz w:val="32"/>
          <w:szCs w:val="32"/>
          <w:lang w:val="en-US" w:eastAsia="zh-CN"/>
        </w:rPr>
        <w:t>镇</w:t>
      </w:r>
      <w:r>
        <w:rPr>
          <w:rFonts w:hint="eastAsia" w:ascii="Times New Roman" w:hAnsi="Times New Roman" w:eastAsia="仿宋_GB2312" w:cs="Times New Roman"/>
          <w:sz w:val="32"/>
          <w:szCs w:val="32"/>
          <w:lang w:eastAsia="zh-CN"/>
        </w:rPr>
        <w:t>党委统一领导下开展工作。</w:t>
      </w:r>
    </w:p>
    <w:p>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vAlign w:val="center"/>
          </w:tcPr>
          <w:p>
            <w:pPr>
              <w:spacing w:line="584" w:lineRule="exact"/>
              <w:jc w:val="left"/>
              <w:outlineLvl w:val="0"/>
              <w:rPr>
                <w:rFonts w:ascii="Times New Roman" w:hAnsi="Times New Roman" w:eastAsia="仿宋_GB2312" w:cs="Times New Roman"/>
                <w:szCs w:val="24"/>
              </w:rPr>
            </w:pPr>
          </w:p>
        </w:tc>
        <w:tc>
          <w:tcPr>
            <w:tcW w:w="1134" w:type="dxa"/>
            <w:vMerge w:val="continue"/>
            <w:vAlign w:val="center"/>
          </w:tcPr>
          <w:p>
            <w:pPr>
              <w:spacing w:line="584" w:lineRule="exact"/>
              <w:jc w:val="left"/>
              <w:outlineLvl w:val="0"/>
              <w:rPr>
                <w:rFonts w:ascii="Times New Roman" w:hAnsi="Times New Roman" w:eastAsia="仿宋_GB2312" w:cs="Times New Roman"/>
                <w:szCs w:val="24"/>
              </w:rPr>
            </w:pPr>
          </w:p>
        </w:tc>
        <w:tc>
          <w:tcPr>
            <w:tcW w:w="1276" w:type="dxa"/>
            <w:vMerge w:val="continue"/>
            <w:vAlign w:val="center"/>
          </w:tcPr>
          <w:p>
            <w:pPr>
              <w:spacing w:line="584" w:lineRule="exact"/>
              <w:jc w:val="left"/>
              <w:outlineLvl w:val="0"/>
              <w:rPr>
                <w:rFonts w:ascii="Times New Roman" w:hAnsi="Times New Roman" w:eastAsia="仿宋_GB2312" w:cs="Times New Roman"/>
                <w:szCs w:val="24"/>
              </w:rPr>
            </w:pPr>
          </w:p>
        </w:tc>
        <w:tc>
          <w:tcPr>
            <w:tcW w:w="2902" w:type="dxa"/>
            <w:vMerge w:val="continue"/>
            <w:vAlign w:val="center"/>
          </w:tcPr>
          <w:p>
            <w:pPr>
              <w:spacing w:line="584" w:lineRule="exact"/>
              <w:jc w:val="left"/>
              <w:outlineLvl w:val="0"/>
              <w:rPr>
                <w:rFonts w:ascii="Times New Roman" w:hAnsi="Times New Roman" w:eastAsia="仿宋_GB2312" w:cs="Times New Roman"/>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vAlign w:val="center"/>
          </w:tcPr>
          <w:p>
            <w:pPr>
              <w:spacing w:line="584" w:lineRule="exact"/>
              <w:jc w:val="center"/>
              <w:rPr>
                <w:rFonts w:ascii="Times New Roman" w:hAnsi="Times New Roman" w:eastAsia="仿宋_GB2312" w:cs="Times New Roman"/>
                <w:b/>
              </w:rPr>
            </w:pPr>
            <w:r>
              <w:rPr>
                <w:rFonts w:hint="eastAsia" w:ascii="仿宋" w:hAnsi="仿宋" w:eastAsia="仿宋" w:cs="仿宋"/>
                <w:sz w:val="32"/>
                <w:szCs w:val="32"/>
              </w:rPr>
              <w:t>永清县</w:t>
            </w:r>
            <w:r>
              <w:rPr>
                <w:rFonts w:hint="eastAsia" w:ascii="仿宋" w:hAnsi="仿宋" w:eastAsia="仿宋" w:cs="仿宋"/>
                <w:sz w:val="32"/>
                <w:szCs w:val="32"/>
                <w:lang w:val="en-US" w:eastAsia="zh-CN"/>
              </w:rPr>
              <w:t>里澜城镇</w:t>
            </w:r>
            <w:r>
              <w:rPr>
                <w:rFonts w:hint="eastAsia" w:ascii="仿宋" w:hAnsi="仿宋" w:eastAsia="仿宋" w:cs="仿宋"/>
                <w:sz w:val="32"/>
                <w:szCs w:val="32"/>
              </w:rPr>
              <w:t>人民政府</w:t>
            </w:r>
          </w:p>
        </w:tc>
        <w:tc>
          <w:tcPr>
            <w:tcW w:w="1134" w:type="dxa"/>
            <w:vAlign w:val="center"/>
          </w:tcPr>
          <w:p>
            <w:pPr>
              <w:spacing w:line="584" w:lineRule="exact"/>
              <w:jc w:val="center"/>
              <w:rPr>
                <w:rFonts w:ascii="Times New Roman" w:hAnsi="Times New Roman" w:eastAsia="仿宋_GB2312" w:cs="Times New Roman"/>
                <w:b/>
              </w:rPr>
            </w:pPr>
            <w:r>
              <w:rPr>
                <w:rFonts w:hint="eastAsia" w:ascii="仿宋" w:hAnsi="仿宋" w:eastAsia="仿宋" w:cs="仿宋"/>
                <w:sz w:val="32"/>
                <w:szCs w:val="32"/>
              </w:rPr>
              <w:t>行政</w:t>
            </w:r>
          </w:p>
        </w:tc>
        <w:tc>
          <w:tcPr>
            <w:tcW w:w="1276" w:type="dxa"/>
            <w:vAlign w:val="center"/>
          </w:tcPr>
          <w:p>
            <w:pPr>
              <w:spacing w:line="584" w:lineRule="exact"/>
              <w:jc w:val="center"/>
              <w:rPr>
                <w:rFonts w:ascii="Times New Roman" w:hAnsi="Times New Roman" w:eastAsia="仿宋_GB2312" w:cs="Times New Roman"/>
                <w:b/>
              </w:rPr>
            </w:pPr>
            <w:r>
              <w:rPr>
                <w:rFonts w:hint="eastAsia" w:ascii="仿宋" w:hAnsi="仿宋" w:eastAsia="仿宋" w:cs="仿宋"/>
                <w:sz w:val="32"/>
                <w:szCs w:val="32"/>
              </w:rPr>
              <w:t>正科级</w:t>
            </w:r>
          </w:p>
        </w:tc>
        <w:tc>
          <w:tcPr>
            <w:tcW w:w="2902" w:type="dxa"/>
            <w:vAlign w:val="center"/>
          </w:tcPr>
          <w:p>
            <w:pPr>
              <w:spacing w:line="584" w:lineRule="exact"/>
              <w:jc w:val="center"/>
              <w:rPr>
                <w:rFonts w:ascii="Times New Roman" w:hAnsi="Times New Roman" w:eastAsia="仿宋_GB2312" w:cs="Times New Roman"/>
                <w:b/>
              </w:rPr>
            </w:pPr>
            <w:r>
              <w:rPr>
                <w:rFonts w:hint="eastAsia" w:ascii="仿宋" w:hAnsi="仿宋" w:eastAsia="仿宋" w:cs="仿宋"/>
                <w:sz w:val="32"/>
                <w:szCs w:val="32"/>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vAlign w:val="center"/>
          </w:tcPr>
          <w:p>
            <w:pPr>
              <w:spacing w:line="584" w:lineRule="exact"/>
              <w:jc w:val="left"/>
              <w:rPr>
                <w:rFonts w:ascii="Times New Roman" w:hAnsi="Times New Roman" w:eastAsia="仿宋_GB2312" w:cs="Times New Roman"/>
              </w:rPr>
            </w:pPr>
          </w:p>
        </w:tc>
        <w:tc>
          <w:tcPr>
            <w:tcW w:w="1134" w:type="dxa"/>
            <w:vAlign w:val="center"/>
          </w:tcPr>
          <w:p>
            <w:pPr>
              <w:spacing w:line="584" w:lineRule="exact"/>
              <w:jc w:val="center"/>
              <w:rPr>
                <w:rFonts w:ascii="Times New Roman" w:hAnsi="Times New Roman" w:eastAsia="仿宋_GB2312" w:cs="Times New Roman"/>
              </w:rPr>
            </w:pPr>
          </w:p>
        </w:tc>
        <w:tc>
          <w:tcPr>
            <w:tcW w:w="1276" w:type="dxa"/>
            <w:vAlign w:val="center"/>
          </w:tcPr>
          <w:p>
            <w:pPr>
              <w:spacing w:line="584" w:lineRule="exact"/>
              <w:jc w:val="center"/>
              <w:rPr>
                <w:rFonts w:ascii="Times New Roman" w:hAnsi="Times New Roman" w:eastAsia="仿宋_GB2312" w:cs="Times New Roman"/>
              </w:rPr>
            </w:pPr>
          </w:p>
        </w:tc>
        <w:tc>
          <w:tcPr>
            <w:tcW w:w="2902" w:type="dxa"/>
            <w:vAlign w:val="center"/>
          </w:tcPr>
          <w:p>
            <w:pPr>
              <w:spacing w:line="584" w:lineRule="exact"/>
              <w:jc w:val="center"/>
              <w:rPr>
                <w:rFonts w:ascii="Times New Roman" w:hAnsi="Times New Roman" w:eastAsia="仿宋_GB2312"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vAlign w:val="center"/>
          </w:tcPr>
          <w:p>
            <w:pPr>
              <w:spacing w:line="584" w:lineRule="exact"/>
              <w:jc w:val="left"/>
              <w:rPr>
                <w:rFonts w:ascii="Times New Roman" w:hAnsi="Times New Roman" w:eastAsia="仿宋_GB2312" w:cs="Times New Roman"/>
              </w:rPr>
            </w:pPr>
          </w:p>
        </w:tc>
        <w:tc>
          <w:tcPr>
            <w:tcW w:w="1134" w:type="dxa"/>
            <w:vAlign w:val="center"/>
          </w:tcPr>
          <w:p>
            <w:pPr>
              <w:spacing w:line="584" w:lineRule="exact"/>
              <w:jc w:val="center"/>
              <w:rPr>
                <w:rFonts w:ascii="Times New Roman" w:hAnsi="Times New Roman" w:eastAsia="仿宋_GB2312" w:cs="Times New Roman"/>
              </w:rPr>
            </w:pPr>
          </w:p>
        </w:tc>
        <w:tc>
          <w:tcPr>
            <w:tcW w:w="1276" w:type="dxa"/>
            <w:vAlign w:val="center"/>
          </w:tcPr>
          <w:p>
            <w:pPr>
              <w:spacing w:line="584" w:lineRule="exact"/>
              <w:jc w:val="center"/>
              <w:rPr>
                <w:rFonts w:ascii="Times New Roman" w:hAnsi="Times New Roman" w:eastAsia="仿宋_GB2312" w:cs="Times New Roman"/>
              </w:rPr>
            </w:pPr>
          </w:p>
        </w:tc>
        <w:tc>
          <w:tcPr>
            <w:tcW w:w="2902" w:type="dxa"/>
            <w:vAlign w:val="center"/>
          </w:tcPr>
          <w:p>
            <w:pPr>
              <w:spacing w:line="584" w:lineRule="exact"/>
              <w:jc w:val="center"/>
              <w:rPr>
                <w:rFonts w:ascii="Times New Roman" w:hAnsi="Times New Roman" w:eastAsia="仿宋_GB2312" w:cs="Times New Roman"/>
              </w:rPr>
            </w:pPr>
          </w:p>
        </w:tc>
      </w:tr>
    </w:tbl>
    <w:p>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二、部门预算安排的总体情况</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lang w:val="en-US" w:eastAsia="zh-CN"/>
        </w:rPr>
        <w:t>里澜城镇</w:t>
      </w:r>
      <w:r>
        <w:rPr>
          <w:rFonts w:hint="eastAsia" w:ascii="Times New Roman" w:hAnsi="Times New Roman" w:eastAsia="仿宋_GB2312" w:cs="Times New Roman"/>
          <w:sz w:val="32"/>
          <w:szCs w:val="32"/>
          <w:lang w:eastAsia="zh-CN"/>
        </w:rPr>
        <w:t>人民政府</w:t>
      </w:r>
      <w:r>
        <w:rPr>
          <w:rFonts w:ascii="Times New Roman" w:hAnsi="Times New Roman" w:eastAsia="仿宋_GB2312" w:cs="Times New Roman"/>
          <w:sz w:val="32"/>
          <w:szCs w:val="32"/>
        </w:rPr>
        <w:t>机关的收支包含在</w:t>
      </w:r>
      <w:r>
        <w:rPr>
          <w:rFonts w:ascii="Times New Roman" w:hAnsi="Times New Roman" w:eastAsia="仿宋_GB2312" w:cs="Times New Roman"/>
          <w:color w:val="auto"/>
          <w:sz w:val="32"/>
          <w:szCs w:val="32"/>
        </w:rPr>
        <w:t>部门预算中</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反映本部门当年全部收入。2023年预算收入</w:t>
      </w:r>
      <w:r>
        <w:rPr>
          <w:rFonts w:hint="eastAsia" w:ascii="仿宋" w:hAnsi="仿宋" w:eastAsia="仿宋" w:cs="仿宋"/>
          <w:sz w:val="32"/>
          <w:szCs w:val="32"/>
          <w:lang w:val="en-US" w:eastAsia="zh-CN"/>
        </w:rPr>
        <w:t>2069.75</w:t>
      </w:r>
      <w:r>
        <w:rPr>
          <w:rFonts w:ascii="Times New Roman" w:hAnsi="Times New Roman" w:eastAsia="仿宋_GB2312" w:cs="Times New Roman"/>
          <w:sz w:val="32"/>
          <w:szCs w:val="32"/>
        </w:rPr>
        <w:t>万元，其中：一般公共预算收入</w:t>
      </w:r>
      <w:r>
        <w:rPr>
          <w:rFonts w:hint="eastAsia" w:ascii="仿宋" w:hAnsi="仿宋" w:eastAsia="仿宋" w:cs="仿宋"/>
          <w:sz w:val="32"/>
          <w:szCs w:val="32"/>
          <w:lang w:val="en-US" w:eastAsia="zh-CN"/>
        </w:rPr>
        <w:t>1869.75</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200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pPr>
        <w:spacing w:line="584" w:lineRule="exact"/>
        <w:ind w:firstLine="64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收支预算总表支出栏、基本支出表、项目支出表按经济分类和支出功能分类科目编制，反映永清县里澜城镇人民政府2023年度部门预算中支出预算的总体情况。2023年支出预算2069.75万元，其中基本支出905.62万元，包括人员类项目经费822.26万元和运转类公用项目经费83.35万元；运转类及特定目标类项目支出1164.14万元，包括本级支出，主要为一般公共服务支出、节能环保支出、农林水支出等。</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pPr>
        <w:spacing w:line="584" w:lineRule="exact"/>
        <w:ind w:firstLine="64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2023年预算收支安排2069.75万元，较2022年预算减少1300.39万元，其中基本支出增加88.19万元，主要为人员调整工资增加等；项目支出减少1388.57万元，主要是因为上年结转双代资金及减少农林水支出。</w:t>
      </w:r>
    </w:p>
    <w:p>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pPr>
        <w:spacing w:line="584" w:lineRule="exact"/>
        <w:ind w:firstLine="64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机关运行经费共计安排83.35万元，主要用于永清县里澜城镇人民政府办公区的日常维修、办公、水电费、办公用房取暖费、日常运行等支出。</w:t>
      </w:r>
    </w:p>
    <w:p>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pPr>
        <w:spacing w:line="584" w:lineRule="exact"/>
        <w:ind w:firstLine="64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2023年，我部门财政拨款“三公”经费预算安排8.69万元，其中因公出国（境）费0万元；公务用车购置及运维费8.1万元（其中：公务用车购置费为0万元，公务用车运行费8.1万元)，公务接待费0.59万元。与2022年相比减少9.51万元，主要是因为严格控制三公经费支出。</w:t>
      </w:r>
    </w:p>
    <w:p>
      <w:p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五、绩效预算信息</w:t>
      </w:r>
    </w:p>
    <w:p>
      <w:pPr>
        <w:spacing w:line="584" w:lineRule="exact"/>
        <w:ind w:firstLine="640" w:firstLineChars="200"/>
        <w:rPr>
          <w:rFonts w:hint="eastAsia" w:ascii="Times New Roman" w:hAnsi="黑体" w:eastAsia="黑体" w:cs="Times New Roman"/>
          <w:sz w:val="32"/>
          <w:szCs w:val="32"/>
        </w:rPr>
      </w:pPr>
      <w:r>
        <w:rPr>
          <w:rFonts w:hint="eastAsia" w:ascii="Times New Roman" w:hAnsi="黑体" w:eastAsia="黑体" w:cs="Times New Roman"/>
          <w:sz w:val="32"/>
          <w:szCs w:val="32"/>
        </w:rPr>
        <w:t>第一部分部门整体绩效目标</w:t>
      </w:r>
    </w:p>
    <w:p>
      <w:pPr>
        <w:ind w:firstLine="643" w:firstLineChars="200"/>
        <w:jc w:val="left"/>
        <w:outlineLvl w:val="1"/>
        <w:rPr>
          <w:rFonts w:ascii="Times New Roman" w:hAnsi="Times New Roman" w:eastAsia="等线"/>
          <w:kern w:val="0"/>
          <w:sz w:val="32"/>
          <w:szCs w:val="32"/>
        </w:rPr>
      </w:pPr>
      <w:r>
        <w:rPr>
          <w:rFonts w:hint="eastAsia" w:ascii="楷体" w:hAnsi="楷体" w:eastAsia="楷体" w:cs="楷体"/>
          <w:b/>
          <w:bCs/>
          <w:sz w:val="32"/>
          <w:szCs w:val="32"/>
        </w:rPr>
        <w:t>（一）、总体绩效目标</w:t>
      </w:r>
      <w:r>
        <w:fldChar w:fldCharType="begin"/>
      </w:r>
      <w:r>
        <w:rPr>
          <w:rFonts w:hint="eastAsia" w:ascii="方正黑体_GBK" w:eastAsia="方正黑体_GBK"/>
          <w:sz w:val="28"/>
        </w:rPr>
        <w:instrText xml:space="preserve">TC </w:instrText>
      </w:r>
      <w:bookmarkStart w:id="0" w:name="_Toc29819668"/>
      <w:r>
        <w:rPr>
          <w:rFonts w:hint="eastAsia" w:ascii="方正黑体_GBK" w:eastAsia="方正黑体_GBK"/>
          <w:sz w:val="28"/>
        </w:rPr>
        <w:instrText xml:space="preserve">总体绩效目标</w:instrText>
      </w:r>
      <w:bookmarkEnd w:id="0"/>
      <w:r>
        <w:rPr>
          <w:rFonts w:hint="eastAsia" w:ascii="方正黑体_GBK" w:eastAsia="方正黑体_GBK"/>
          <w:sz w:val="28"/>
        </w:rPr>
        <w:instrText xml:space="preserve"> \f A \l 1</w:instrText>
      </w:r>
      <w:r>
        <w:rPr>
          <w:rFonts w:ascii="方正黑体_GBK" w:eastAsia="方正黑体_GBK"/>
          <w:sz w:val="28"/>
        </w:rPr>
        <w:fldChar w:fldCharType="end"/>
      </w:r>
    </w:p>
    <w:p>
      <w:pPr>
        <w:pStyle w:val="25"/>
      </w:pPr>
      <w:r>
        <w:rPr>
          <w:rFonts w:hint="eastAsia" w:ascii="Times New Roman" w:hAnsi="Times New Roman" w:eastAsia="仿宋_GB2312" w:cs="Times New Roman"/>
          <w:kern w:val="2"/>
          <w:sz w:val="32"/>
          <w:szCs w:val="32"/>
          <w:lang w:val="en-US" w:eastAsia="zh-CN" w:bidi="ar-SA"/>
        </w:rPr>
        <w:t>在县委、县政府的坚强领导下，里澜城镇以党史学习教育为引领，以“三重四创五优化”活动为统揽，紧紧围绕工作目标，拼搏进取、攻坚克难，全力开创跨越发展新局面。牢守安全环保、防范风险、民生保障、社会稳定“四条底线”，促进经济社会持续健康发展和民生福祉持续改善，增强里澜城镇统一管理经济、安全生产、维稳、文化、卫生事业和党务政务、财政、民政、环保、退役安置、执法、招商等行政工作的职能，完成维稳工作任务，完善工程建设项目，优化发展环境，着力提升基础设施。在大气防治方面，围绕省市县下达大气污染防治目标，严格落实数据、企业、散煤、扬尘“四大管控”，确保各项指标持续下降。加大监管力度，保持严防、严查、严控的高压态势，全力推进防治工作向纵深开展。持续抓好“煤替代”工程的日常安全运行和维护工作，做好“两员”宣传培训，杜绝安全隐患事故的发生，建立长效机制，发现问题立即整改。继续做好环境整治工作，提升村街道路硬化、环境绿化、美化、亮化率，大力度改善居民居住环境及出行满意度。推进农村经济全面发展和社会全面进步，努力实现共同富裕。</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ind w:firstLine="643" w:firstLineChars="200"/>
        <w:rPr>
          <w:rFonts w:ascii="楷体" w:hAnsi="楷体" w:eastAsia="楷体" w:cs="楷体"/>
          <w:b/>
          <w:bCs/>
          <w:sz w:val="32"/>
          <w:szCs w:val="32"/>
        </w:rPr>
      </w:pPr>
      <w:r>
        <w:rPr>
          <w:rFonts w:hint="eastAsia" w:ascii="楷体" w:hAnsi="楷体" w:eastAsia="楷体" w:cs="楷体"/>
          <w:b/>
          <w:bCs/>
          <w:sz w:val="32"/>
          <w:szCs w:val="32"/>
        </w:rPr>
        <w:t>（二）、分项绩效目标</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)国土规划管理工作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绩效目标:完善基础设施建设，改善村民生活条件。</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绩效指标:改造提升里澜城镇基础设施建设工程，确保提高村民生活条件。</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t>) 党政办公室管理工作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绩效目标：完成基层组织建设和党员队伍建设工作，提高服务群众；完成退役军人服务工作，稳定军民军心。</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绩效指标:按照计划标准完成党建工作；完成八一建军节对域内退役军人的慰问工作。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)环境与安全管理工作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绩效目标:完成我</w:t>
      </w:r>
      <w:r>
        <w:rPr>
          <w:rFonts w:hint="eastAsia" w:eastAsia="仿宋_GB2312" w:cs="Times New Roman"/>
          <w:kern w:val="2"/>
          <w:sz w:val="32"/>
          <w:szCs w:val="32"/>
          <w:lang w:val="en-US" w:eastAsia="zh-CN" w:bidi="ar-SA"/>
        </w:rPr>
        <w:t>镇</w:t>
      </w:r>
      <w:r>
        <w:rPr>
          <w:rFonts w:hint="eastAsia" w:ascii="Times New Roman" w:hAnsi="Times New Roman" w:eastAsia="仿宋_GB2312" w:cs="Times New Roman"/>
          <w:kern w:val="2"/>
          <w:sz w:val="32"/>
          <w:szCs w:val="32"/>
          <w:lang w:val="en-US" w:eastAsia="zh-CN" w:bidi="ar-SA"/>
        </w:rPr>
        <w:t>环境综合整治工作，提升域内整体环境质量。以改善环境质量和保证人民群众环境健康安全为目标以防治环境污染为重点，强化环境监督管理，域内环境质量得到明显改善。</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建设空气质量检测站两座，加大监管力度，保持严防、严查、严控的高压态势，全力推进防治工作向纵深开展。持续抓好“煤替代”工程的日常安全运行和维护工作，做好“两员”宣传培训，杜绝安全隐患事故的发生。</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t>）经济发展管理工作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绩效目标：完成招商引资、企业培训工作，改进招商产业不明、目标不清、项目不精、考核不力、氛围不浓的问题，实现科学确定招商目标、精心搭建对接平台工作，里澜城镇招商实现突破。</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绩效指标:保障高质量发展，招商引资，加强经济建设。</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t>)应急管理及安全生产</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绩效目标：保障我区域内的工作安全运行，有效保证应急突发事件应对处置，完善应急体系，有效组织应急演练，进一步提升社区应急工作水平。</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绩效指标:保障完善应急体系，应急事件处置及时，降低隐患，确保制度及实施方案健全。</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6</w:t>
      </w:r>
      <w:r>
        <w:rPr>
          <w:rFonts w:hint="eastAsia" w:ascii="Times New Roman" w:hAnsi="Times New Roman" w:eastAsia="仿宋_GB2312" w:cs="Times New Roman"/>
          <w:kern w:val="2"/>
          <w:sz w:val="32"/>
          <w:szCs w:val="32"/>
          <w:lang w:val="en-US" w:eastAsia="zh-CN" w:bidi="ar-SA"/>
        </w:rPr>
        <w:t>) 企业服务工作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绩效目标：完成辖域内企业经济指标统计和上报，劳动保障、安全生产、环境保护、科技进步、进出口审批等后续服务管理等工作。提高企业管理经营水平</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绩效指标:确保促进企业提高管理经营水平，完成经济指标上报。</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7</w:t>
      </w:r>
      <w:r>
        <w:rPr>
          <w:rFonts w:hint="eastAsia" w:ascii="Times New Roman" w:hAnsi="Times New Roman" w:eastAsia="仿宋_GB2312" w:cs="Times New Roman"/>
          <w:kern w:val="2"/>
          <w:sz w:val="32"/>
          <w:szCs w:val="32"/>
          <w:lang w:val="en-US" w:eastAsia="zh-CN" w:bidi="ar-SA"/>
        </w:rPr>
        <w:t>) 社会服务工作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全国两会等重大节日、敏感时期，组织人员维稳执勤，做好维稳工作，组织大型招聘会，政策宣传，人才引进集中活动两次，每月两次进厂监察，普法知识宣传工作。确保快速、有效处置突发事件，提高事件应对实效。</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绩效指标：保障社会和谐，加强企业招聘工作的落实，有效保障社区突发事件提供保障，确保快速、有效处置突发事件，提高事件应对实效。</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8</w:t>
      </w:r>
      <w:r>
        <w:rPr>
          <w:rFonts w:hint="eastAsia" w:ascii="Times New Roman" w:hAnsi="Times New Roman" w:eastAsia="仿宋_GB2312" w:cs="Times New Roman"/>
          <w:kern w:val="2"/>
          <w:sz w:val="32"/>
          <w:szCs w:val="32"/>
          <w:lang w:val="en-US" w:eastAsia="zh-CN" w:bidi="ar-SA"/>
        </w:rPr>
        <w:t>) 社会服务工作</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绩效目标:完成编写机关行政运行预算安排及本年度决算、固定资产管理、项目占地资金补偿及安置费发放、办理相关企业税收及各项财政资金的返还、农村三资管理工作提高监督各项经费的使用率。</w:t>
      </w:r>
    </w:p>
    <w:p>
      <w:pPr>
        <w:pStyle w:val="1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绩效指标：保障贯彻执行国家金融工作方针、政策，落实里澜城镇金融监督、协调、服务工作，协调国税、地税工作。提高监督各项经费的使用率。</w:t>
      </w:r>
    </w:p>
    <w:p>
      <w:pPr>
        <w:spacing w:line="500" w:lineRule="exact"/>
        <w:ind w:firstLine="560"/>
        <w:rPr>
          <w:rFonts w:ascii="楷体" w:hAnsi="楷体" w:eastAsia="楷体"/>
          <w:b/>
          <w:sz w:val="32"/>
          <w:szCs w:val="32"/>
        </w:rPr>
      </w:pPr>
      <w:r>
        <w:rPr>
          <w:rFonts w:ascii="楷体" w:hAnsi="楷体" w:eastAsia="楷体"/>
          <w:b/>
          <w:color w:val="000000"/>
          <w:sz w:val="32"/>
          <w:szCs w:val="32"/>
        </w:rPr>
        <w:t>（三）工作保障措施</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里澜城镇在2023年将凝聚共识，形成合力，重点突破，稳步推进，采取多种措施做好以下几方面的工作：</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w:t>
      </w:r>
      <w:r>
        <w:rPr>
          <w:rFonts w:hint="eastAsia" w:ascii="Times New Roman" w:hAnsi="Times New Roman" w:eastAsia="仿宋_GB2312" w:cs="Times New Roman"/>
          <w:kern w:val="2"/>
          <w:sz w:val="32"/>
          <w:szCs w:val="32"/>
          <w:lang w:val="en-US" w:eastAsia="zh-CN" w:bidi="ar-SA"/>
        </w:rPr>
        <w:t>）、强力推进招商引资。抢抓京津冀协同发展深入推进、临空经济区加快建设等重大机遇，严格落实市、县有关招商引资优惠政策，围绕航空智能制造、高端装备制造、新材料产业定位，采取靶向招商、会展招商、委托招商、召开推介会等多种方式，大力引进优质项目，不断增强发展后劲。</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2</w:t>
      </w:r>
      <w:r>
        <w:rPr>
          <w:rFonts w:hint="eastAsia" w:ascii="Times New Roman" w:hAnsi="Times New Roman" w:eastAsia="仿宋_GB2312" w:cs="Times New Roman"/>
          <w:kern w:val="2"/>
          <w:sz w:val="32"/>
          <w:szCs w:val="32"/>
          <w:lang w:val="en-US" w:eastAsia="zh-CN" w:bidi="ar-SA"/>
        </w:rPr>
        <w:t>）、重点攻坚项目建设。做好项目建设的全程服务，发挥保姆式服务精神，按照项目建设推进专班，科级干部包联项目方案，为项目建设提供全流程、全周期、零障碍、零距离的优质服务，推进项目早落地、早开工、早达产、早见效。</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不断优化营商环境。理顺运营机制，加快人事和薪酬制度、财政体制机制等改革，激发发展活力。按照“新九通一平”标准，加强基础设施建设，提升承载能力。在项目落地和企业转型升级上，建立健全项目审批跑、帮、办机制，实行全方位、保姆式跟踪服务。</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t>）、筑牢跨越发展根基。大力实施民生实事工程，切实提高广大群众的幸福指数；全力做好敏感节点、重大活动的维稳安保工作；深入开展安全生产专项整治行动，确保不发生重特大安全生产事故；全力打好“蓝天、碧水、净土”保卫战，持续优化生态环境；全面落实常态化疫情防控的各项措施，安全有序推进疫苗接种，保障全区人民健康。</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5</w:t>
      </w:r>
      <w:r>
        <w:rPr>
          <w:rFonts w:hint="eastAsia" w:ascii="Times New Roman" w:hAnsi="Times New Roman" w:eastAsia="仿宋_GB2312" w:cs="Times New Roman"/>
          <w:kern w:val="2"/>
          <w:sz w:val="32"/>
          <w:szCs w:val="32"/>
          <w:lang w:val="en-US" w:eastAsia="zh-CN" w:bidi="ar-SA"/>
        </w:rPr>
        <w:t>）、聚焦政治任务。以“三重四创五优化”活动为统揽，进一步强化理论武装，坚持不懈用习近平新时代中国特色社会主义思想武装头脑、指导实践、推动工作。</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6</w:t>
      </w:r>
      <w:r>
        <w:rPr>
          <w:rFonts w:hint="eastAsia" w:ascii="Times New Roman" w:hAnsi="Times New Roman" w:eastAsia="仿宋_GB2312" w:cs="Times New Roman"/>
          <w:kern w:val="2"/>
          <w:sz w:val="32"/>
          <w:szCs w:val="32"/>
          <w:lang w:val="en-US" w:eastAsia="zh-CN" w:bidi="ar-SA"/>
        </w:rPr>
        <w:t>）大气污染防治。在大气污染防治方面，加大监管力度，保持严防、严查、严控的高压态势，全力推进防治工作向纵深开展。持续抓好“煤替代”工程的日常安全运行和维护工作，做好“两员”宣传培训，杜绝安全隐患事故的发生。</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7</w:t>
      </w:r>
      <w:r>
        <w:rPr>
          <w:rFonts w:hint="eastAsia" w:ascii="Times New Roman" w:hAnsi="Times New Roman" w:eastAsia="仿宋_GB2312" w:cs="Times New Roman"/>
          <w:kern w:val="2"/>
          <w:sz w:val="32"/>
          <w:szCs w:val="32"/>
          <w:lang w:val="en-US" w:eastAsia="zh-CN" w:bidi="ar-SA"/>
        </w:rPr>
        <w:t>）夯实基层基础，着力推进基层党建工作，深入推进“两学一做”学习教育常态化制度。进一步加强基层党组织建设，着力健全组织生活制度，使基层党组织不断“晋位升级”。抓好党员干部队伍建设，加强对新上任“干部”培训工作，提高其为民办事的能力。</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8</w:t>
      </w:r>
      <w:r>
        <w:rPr>
          <w:rFonts w:hint="eastAsia" w:ascii="Times New Roman" w:hAnsi="Times New Roman" w:eastAsia="仿宋_GB2312" w:cs="Times New Roman"/>
          <w:kern w:val="2"/>
          <w:sz w:val="32"/>
          <w:szCs w:val="32"/>
          <w:lang w:val="en-US" w:eastAsia="zh-CN" w:bidi="ar-SA"/>
        </w:rPr>
        <w:t>）完善制度建设。制定完善《里澜城镇部门预算绩效管理制度》、《里澜城镇预算资金管理办法》、《里澜城镇机关工作保障制度》等，为全年预算绩效目标的实现奠定制度基础。</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9</w:t>
      </w:r>
      <w:r>
        <w:rPr>
          <w:rFonts w:hint="eastAsia" w:ascii="Times New Roman" w:hAnsi="Times New Roman" w:eastAsia="仿宋_GB2312" w:cs="Times New Roman"/>
          <w:kern w:val="2"/>
          <w:sz w:val="32"/>
          <w:szCs w:val="32"/>
          <w:lang w:val="en-US" w:eastAsia="zh-CN" w:bidi="ar-SA"/>
        </w:rPr>
        <w:t>）加强支出管理。通过优化支出结构、编细编实预算、及时支付项目资金、6月底前细化代编预算、按规定及时下达各类人员经费、公用经费和项目资金等多种措施，确保支出进度达到序时进度要求。</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10</w:t>
      </w:r>
      <w:r>
        <w:rPr>
          <w:rFonts w:hint="eastAsia" w:ascii="Times New Roman" w:hAnsi="Times New Roman" w:eastAsia="仿宋_GB2312" w:cs="Times New Roman"/>
          <w:kern w:val="2"/>
          <w:sz w:val="32"/>
          <w:szCs w:val="32"/>
          <w:lang w:val="en-US" w:eastAsia="zh-CN" w:bidi="ar-SA"/>
        </w:rPr>
        <w:t>）加强绩效运行监控。按上级文件要求开展项目绩效运行监控，成立绩效监控领导小组，负责全覆盖、全过程督导部门预算绩效管理执行工作，发现问题及时采取措施，确保绩效目标如期保质实现。并将预算绩效管理工作纳入各部门、各村街年度考核。</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11</w:t>
      </w:r>
      <w:r>
        <w:rPr>
          <w:rFonts w:hint="eastAsia" w:ascii="Times New Roman" w:hAnsi="Times New Roman" w:eastAsia="仿宋_GB2312" w:cs="Times New Roman"/>
          <w:kern w:val="2"/>
          <w:sz w:val="32"/>
          <w:szCs w:val="32"/>
          <w:lang w:val="en-US" w:eastAsia="zh-CN" w:bidi="ar-SA"/>
        </w:rPr>
        <w:t>）做好绩效自评。2023年里澜城镇按要求开展2022年度部门预算绩效自评和重点评价工作，对评价中发现的问题及时整改，调整优化支出结构，提高财政资金使用效益。</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12</w:t>
      </w:r>
      <w:r>
        <w:rPr>
          <w:rFonts w:hint="eastAsia" w:ascii="Times New Roman" w:hAnsi="Times New Roman" w:eastAsia="仿宋_GB2312" w:cs="Times New Roman"/>
          <w:kern w:val="2"/>
          <w:sz w:val="32"/>
          <w:szCs w:val="32"/>
          <w:lang w:val="en-US" w:eastAsia="zh-CN" w:bidi="ar-SA"/>
        </w:rPr>
        <w:t>）规范财务资产管理。2023年完善《里澜城镇财务管理制度》，严格审批程序，制定《里澜城镇国有资产管理制度》，加强机关和各社区固定资产登记、使用和报废处置管理，做到支出合理，物尽其用。</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13</w:t>
      </w:r>
      <w:r>
        <w:rPr>
          <w:rFonts w:hint="eastAsia" w:ascii="Times New Roman" w:hAnsi="Times New Roman" w:eastAsia="仿宋_GB2312" w:cs="Times New Roman"/>
          <w:kern w:val="2"/>
          <w:sz w:val="32"/>
          <w:szCs w:val="32"/>
          <w:lang w:val="en-US" w:eastAsia="zh-CN" w:bidi="ar-SA"/>
        </w:rPr>
        <w:t>）加强内部监督。里澜城镇预算绩效管理领导小组2023年要加强内部监督制度建设，对里澜城镇各职能部门的绩效运行情况进行监督管理、对域内重大支出决策实行重点管理，通过街道工委会议研究表决决定、对外投资、资产处置及其他重要经济业务事项的决策和执行进行督导，对会计资料进行内部审计，并配合做好审计、财政监督等外部监督工作，确保财政资金安全有效。</w:t>
      </w:r>
    </w:p>
    <w:p>
      <w:pPr>
        <w:pStyle w:val="2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w:t>
      </w:r>
      <w:r>
        <w:rPr>
          <w:rFonts w:hint="eastAsia" w:eastAsia="仿宋_GB2312" w:cs="Times New Roman"/>
          <w:kern w:val="2"/>
          <w:sz w:val="32"/>
          <w:szCs w:val="32"/>
          <w:lang w:val="en-US" w:eastAsia="zh-CN" w:bidi="ar-SA"/>
        </w:rPr>
        <w:t>14</w:t>
      </w:r>
      <w:r>
        <w:rPr>
          <w:rFonts w:hint="eastAsia" w:ascii="Times New Roman" w:hAnsi="Times New Roman" w:eastAsia="仿宋_GB2312" w:cs="Times New Roman"/>
          <w:kern w:val="2"/>
          <w:sz w:val="32"/>
          <w:szCs w:val="32"/>
          <w:lang w:val="en-US" w:eastAsia="zh-CN" w:bidi="ar-SA"/>
        </w:rPr>
        <w:t>）加强宣传培训调研。2023年里澜城镇要加强财政和预算绩效管理人员培训，提高财政所职工业务素质；加强调研，提出优化财政资金配置、提高资金使用效益的意见；并在域内开展部门预算绩效管理知识宣传活动，全民参与绩效管理和绩效运行监控，加大宣传力度，强化预算绩效管理意识，促进预算绩效管理水平进一步提升。</w:t>
      </w: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pStyle w:val="20"/>
        <w:rPr>
          <w:rFonts w:hint="eastAsia" w:ascii="Times New Roman" w:hAnsi="Times New Roman" w:eastAsia="仿宋_GB2312" w:cs="Times New Roman"/>
          <w:kern w:val="2"/>
          <w:sz w:val="32"/>
          <w:szCs w:val="32"/>
          <w:lang w:val="en-US" w:eastAsia="zh-CN" w:bidi="ar-SA"/>
        </w:rPr>
      </w:pPr>
    </w:p>
    <w:p>
      <w:pPr>
        <w:numPr>
          <w:ilvl w:val="0"/>
          <w:numId w:val="1"/>
        </w:numPr>
        <w:overflowPunct w:val="0"/>
        <w:adjustRightInd w:val="0"/>
        <w:snapToGrid w:val="0"/>
        <w:spacing w:after="156" w:afterLines="50" w:line="580" w:lineRule="exact"/>
        <w:ind w:firstLine="630" w:firstLineChars="196"/>
        <w:jc w:val="left"/>
        <w:rPr>
          <w:rFonts w:hint="eastAsia" w:ascii="楷体_GB2312" w:eastAsia="楷体_GB2312" w:cs="Times New Roman"/>
          <w:b/>
          <w:sz w:val="32"/>
          <w:szCs w:val="32"/>
        </w:rPr>
      </w:pPr>
      <w:r>
        <w:rPr>
          <w:rFonts w:hint="eastAsia" w:ascii="楷体_GB2312" w:eastAsia="楷体_GB2312" w:cs="Times New Roman"/>
          <w:b/>
          <w:sz w:val="32"/>
          <w:szCs w:val="32"/>
        </w:rPr>
        <w:t>部门整体支出绩效指标</w:t>
      </w:r>
    </w:p>
    <w:tbl>
      <w:tblPr>
        <w:tblStyle w:val="8"/>
        <w:tblW w:w="142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50"/>
        <w:gridCol w:w="1863"/>
        <w:gridCol w:w="1965"/>
        <w:gridCol w:w="1905"/>
        <w:gridCol w:w="2280"/>
        <w:gridCol w:w="1350"/>
        <w:gridCol w:w="1260"/>
        <w:gridCol w:w="1335"/>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一级指标</w:t>
            </w:r>
          </w:p>
        </w:tc>
        <w:tc>
          <w:tcPr>
            <w:tcW w:w="186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二级指标</w:t>
            </w:r>
          </w:p>
        </w:tc>
        <w:tc>
          <w:tcPr>
            <w:tcW w:w="19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三级指标</w:t>
            </w:r>
          </w:p>
        </w:tc>
        <w:tc>
          <w:tcPr>
            <w:tcW w:w="1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评（扣）分标准</w:t>
            </w:r>
          </w:p>
        </w:tc>
        <w:tc>
          <w:tcPr>
            <w:tcW w:w="228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绩效指标描述</w:t>
            </w:r>
          </w:p>
        </w:tc>
        <w:tc>
          <w:tcPr>
            <w:tcW w:w="394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指标值</w:t>
            </w:r>
          </w:p>
        </w:tc>
        <w:tc>
          <w:tcPr>
            <w:tcW w:w="18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指标值确定依据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9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22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符号</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值</w:t>
            </w: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单位</w:t>
            </w:r>
          </w:p>
        </w:tc>
        <w:tc>
          <w:tcPr>
            <w:tcW w:w="1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产出指标</w:t>
            </w: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数量</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相关会议次数</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年度内相关会议次数</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2.00</w:t>
            </w: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次</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质量</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购置办公用品合格率</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购置办公用品合格率</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90.00</w:t>
            </w: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时效</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资金拨付及时率</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能够及时拨付的资金数占全部资金数的比率</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90.00</w:t>
            </w: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成本</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项目预算控制数</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项目预算控制数</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文字描述</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小于等于预算数</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5" w:hRule="atLeast"/>
        </w:trPr>
        <w:tc>
          <w:tcPr>
            <w:tcW w:w="4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部门效果</w:t>
            </w: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可持续影响</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提升服务管理工作水平</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提升服务管理工作水平</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文字描述</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提升</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社会效益</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业务保障能力提升情况</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业务保障能力提升情况</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文字描述</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提升</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计划标准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生态效益</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经济效益</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4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cs="仿宋"/>
                <w:color w:val="000000"/>
                <w:szCs w:val="21"/>
              </w:rPr>
            </w:pPr>
          </w:p>
        </w:tc>
        <w:tc>
          <w:tcPr>
            <w:tcW w:w="1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满意度</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服务满意度</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按完成率扣减</w:t>
            </w:r>
          </w:p>
        </w:tc>
        <w:tc>
          <w:tcPr>
            <w:tcW w:w="2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服务满意度</w:t>
            </w:r>
          </w:p>
        </w:tc>
        <w:tc>
          <w:tcPr>
            <w:tcW w:w="1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95.00</w:t>
            </w:r>
          </w:p>
        </w:tc>
        <w:tc>
          <w:tcPr>
            <w:tcW w:w="13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w:t>
            </w:r>
          </w:p>
        </w:tc>
        <w:tc>
          <w:tcPr>
            <w:tcW w:w="18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rPr>
              <w:t>问卷调查</w:t>
            </w:r>
          </w:p>
        </w:tc>
      </w:tr>
    </w:tbl>
    <w:p>
      <w:pPr>
        <w:spacing w:line="584" w:lineRule="exact"/>
        <w:ind w:firstLine="320" w:firstLineChars="100"/>
        <w:rPr>
          <w:rFonts w:hint="eastAsia" w:ascii="Times New Roman" w:hAnsi="黑体" w:eastAsia="黑体" w:cs="Times New Roman"/>
          <w:sz w:val="32"/>
          <w:szCs w:val="32"/>
        </w:rPr>
      </w:pPr>
    </w:p>
    <w:p>
      <w:pPr>
        <w:spacing w:line="584" w:lineRule="exact"/>
        <w:ind w:firstLine="320" w:firstLineChars="100"/>
        <w:rPr>
          <w:rFonts w:hint="eastAsia" w:ascii="Times New Roman" w:hAnsi="黑体" w:eastAsia="黑体" w:cs="Times New Roman"/>
          <w:sz w:val="32"/>
          <w:szCs w:val="32"/>
        </w:rPr>
      </w:pPr>
    </w:p>
    <w:p>
      <w:pPr>
        <w:spacing w:line="584" w:lineRule="exact"/>
        <w:ind w:firstLine="320" w:firstLineChars="100"/>
        <w:rPr>
          <w:rFonts w:hint="eastAsia" w:ascii="Times New Roman" w:hAnsi="黑体" w:eastAsia="黑体" w:cs="Times New Roman"/>
          <w:sz w:val="32"/>
          <w:szCs w:val="32"/>
        </w:rPr>
      </w:pPr>
    </w:p>
    <w:p>
      <w:pPr>
        <w:spacing w:line="584" w:lineRule="exact"/>
        <w:ind w:firstLine="320" w:firstLineChars="100"/>
        <w:rPr>
          <w:rFonts w:hint="eastAsia" w:ascii="Times New Roman" w:hAnsi="黑体" w:eastAsia="黑体" w:cs="Times New Roman"/>
          <w:sz w:val="32"/>
          <w:szCs w:val="32"/>
        </w:rPr>
      </w:pPr>
      <w:r>
        <w:rPr>
          <w:rFonts w:hint="eastAsia" w:ascii="Times New Roman" w:hAnsi="黑体" w:eastAsia="黑体" w:cs="Times New Roman"/>
          <w:sz w:val="32"/>
          <w:szCs w:val="32"/>
        </w:rPr>
        <w:t>第二部分资金绩效目标</w:t>
      </w:r>
    </w:p>
    <w:p>
      <w:pPr>
        <w:ind w:firstLine="280" w:firstLineChars="100"/>
      </w:pPr>
      <w:r>
        <w:rPr>
          <w:rFonts w:ascii="方正仿宋_GBK" w:hAnsi="方正仿宋_GBK" w:eastAsia="方正仿宋_GBK" w:cs="方正仿宋_GBK"/>
          <w:b/>
          <w:color w:val="000000"/>
          <w:sz w:val="28"/>
        </w:rPr>
        <w:t>1、廊财预【2022】60号里澜城镇郝家场村道路硬化工程项目资金绩效目标表</w:t>
      </w:r>
    </w:p>
    <w:p>
      <w:pPr>
        <w:ind w:firstLine="560"/>
      </w:pP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申请资金55万元，用于郝家场村道路硬化工程项目支出，方便群众出行，提高群众生活质量。</w:t>
            </w:r>
            <w:r>
              <w:tab/>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修路面积</w:t>
            </w:r>
          </w:p>
        </w:tc>
        <w:tc>
          <w:tcPr>
            <w:tcW w:w="2835" w:type="dxa"/>
            <w:vAlign w:val="center"/>
          </w:tcPr>
          <w:p>
            <w:pPr>
              <w:pStyle w:val="14"/>
            </w:pPr>
            <w:r>
              <w:t>修路面积</w:t>
            </w:r>
          </w:p>
        </w:tc>
        <w:tc>
          <w:tcPr>
            <w:tcW w:w="2551" w:type="dxa"/>
            <w:vAlign w:val="center"/>
          </w:tcPr>
          <w:p>
            <w:pPr>
              <w:pStyle w:val="14"/>
            </w:pPr>
            <w:r>
              <w:t>≥7828平方米</w:t>
            </w:r>
          </w:p>
        </w:tc>
        <w:tc>
          <w:tcPr>
            <w:tcW w:w="2268" w:type="dxa"/>
            <w:vAlign w:val="center"/>
          </w:tcPr>
          <w:p>
            <w:pPr>
              <w:pStyle w:val="14"/>
            </w:pPr>
            <w:r>
              <w:t>概算书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工程质量达标率</w:t>
            </w:r>
          </w:p>
        </w:tc>
        <w:tc>
          <w:tcPr>
            <w:tcW w:w="2835" w:type="dxa"/>
            <w:vAlign w:val="center"/>
          </w:tcPr>
          <w:p>
            <w:pPr>
              <w:pStyle w:val="14"/>
            </w:pPr>
            <w:r>
              <w:t>工程质量达标率</w:t>
            </w:r>
          </w:p>
        </w:tc>
        <w:tc>
          <w:tcPr>
            <w:tcW w:w="2551" w:type="dxa"/>
            <w:vAlign w:val="center"/>
          </w:tcPr>
          <w:p>
            <w:pPr>
              <w:pStyle w:val="14"/>
            </w:pPr>
            <w:r>
              <w:t>≥98%</w:t>
            </w:r>
          </w:p>
        </w:tc>
        <w:tc>
          <w:tcPr>
            <w:tcW w:w="2268" w:type="dxa"/>
            <w:vAlign w:val="center"/>
          </w:tcPr>
          <w:p>
            <w:pPr>
              <w:pStyle w:val="14"/>
            </w:pPr>
            <w:r>
              <w:t>验收单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按期完成及时率</w:t>
            </w:r>
          </w:p>
        </w:tc>
        <w:tc>
          <w:tcPr>
            <w:tcW w:w="2835" w:type="dxa"/>
            <w:vAlign w:val="center"/>
          </w:tcPr>
          <w:p>
            <w:pPr>
              <w:pStyle w:val="14"/>
            </w:pPr>
            <w:r>
              <w:t>按期完成及时率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≤55万元</w:t>
            </w:r>
          </w:p>
        </w:tc>
        <w:tc>
          <w:tcPr>
            <w:tcW w:w="2268" w:type="dxa"/>
            <w:vAlign w:val="center"/>
          </w:tcPr>
          <w:p>
            <w:pPr>
              <w:pStyle w:val="14"/>
            </w:pPr>
            <w:r>
              <w:t>结算审核报告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工作完成率</w:t>
            </w:r>
          </w:p>
        </w:tc>
        <w:tc>
          <w:tcPr>
            <w:tcW w:w="2835" w:type="dxa"/>
            <w:vAlign w:val="center"/>
          </w:tcPr>
          <w:p>
            <w:pPr>
              <w:pStyle w:val="14"/>
            </w:pPr>
            <w:r>
              <w:t>工作完成率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经济效益指标</w:t>
            </w:r>
          </w:p>
        </w:tc>
        <w:tc>
          <w:tcPr>
            <w:tcW w:w="2835" w:type="dxa"/>
            <w:vAlign w:val="center"/>
          </w:tcPr>
          <w:p>
            <w:pPr>
              <w:pStyle w:val="14"/>
            </w:pPr>
            <w:r>
              <w:t>对区域出行的影响</w:t>
            </w:r>
          </w:p>
        </w:tc>
        <w:tc>
          <w:tcPr>
            <w:tcW w:w="2835" w:type="dxa"/>
            <w:vAlign w:val="center"/>
          </w:tcPr>
          <w:p>
            <w:pPr>
              <w:pStyle w:val="14"/>
            </w:pPr>
            <w:r>
              <w:t>对区域出行的影响</w:t>
            </w:r>
          </w:p>
        </w:tc>
        <w:tc>
          <w:tcPr>
            <w:tcW w:w="2551" w:type="dxa"/>
            <w:vAlign w:val="center"/>
          </w:tcPr>
          <w:p>
            <w:pPr>
              <w:pStyle w:val="14"/>
            </w:pPr>
            <w:r>
              <w:t>有利于</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对经济发展，方便大众出行影响</w:t>
            </w:r>
          </w:p>
        </w:tc>
        <w:tc>
          <w:tcPr>
            <w:tcW w:w="2835" w:type="dxa"/>
            <w:vAlign w:val="center"/>
          </w:tcPr>
          <w:p>
            <w:pPr>
              <w:pStyle w:val="14"/>
            </w:pPr>
            <w:r>
              <w:t>对经济发展，方便大众出行影响</w:t>
            </w:r>
          </w:p>
        </w:tc>
        <w:tc>
          <w:tcPr>
            <w:tcW w:w="2551" w:type="dxa"/>
            <w:vAlign w:val="center"/>
          </w:tcPr>
          <w:p>
            <w:pPr>
              <w:pStyle w:val="14"/>
            </w:pPr>
            <w:r>
              <w:t>有利于</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2、廊财预【2022】65号里澜城镇提前下达省级村级组织运转经费绩效目标表</w:t>
      </w:r>
    </w:p>
    <w:p>
      <w:pPr>
        <w:ind w:firstLine="560"/>
      </w:pP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申请经费48.165万元，用于农村党组织建设支出，用于改进农村党支部的领导方式，提高农村党支部的领导能力。</w:t>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资金使用覆盖村街个数</w:t>
            </w:r>
          </w:p>
        </w:tc>
        <w:tc>
          <w:tcPr>
            <w:tcW w:w="2835" w:type="dxa"/>
            <w:vAlign w:val="center"/>
          </w:tcPr>
          <w:p>
            <w:pPr>
              <w:pStyle w:val="14"/>
            </w:pPr>
            <w:r>
              <w:t>资金使用覆盖村街个数</w:t>
            </w:r>
          </w:p>
        </w:tc>
        <w:tc>
          <w:tcPr>
            <w:tcW w:w="2551" w:type="dxa"/>
            <w:vAlign w:val="center"/>
          </w:tcPr>
          <w:p>
            <w:pPr>
              <w:pStyle w:val="14"/>
            </w:pPr>
            <w:r>
              <w:t>≤30个</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村街工作完成合格率</w:t>
            </w:r>
          </w:p>
        </w:tc>
        <w:tc>
          <w:tcPr>
            <w:tcW w:w="2835" w:type="dxa"/>
            <w:vAlign w:val="center"/>
          </w:tcPr>
          <w:p>
            <w:pPr>
              <w:pStyle w:val="14"/>
            </w:pPr>
            <w:r>
              <w:t>村街工作完成合格率</w:t>
            </w:r>
          </w:p>
        </w:tc>
        <w:tc>
          <w:tcPr>
            <w:tcW w:w="2551" w:type="dxa"/>
            <w:vAlign w:val="center"/>
          </w:tcPr>
          <w:p>
            <w:pPr>
              <w:pStyle w:val="14"/>
            </w:pPr>
            <w:r>
              <w:t>≥95%</w:t>
            </w:r>
          </w:p>
        </w:tc>
        <w:tc>
          <w:tcPr>
            <w:tcW w:w="2268" w:type="dxa"/>
            <w:vAlign w:val="center"/>
          </w:tcPr>
          <w:p>
            <w:pPr>
              <w:pStyle w:val="14"/>
            </w:pPr>
            <w:r>
              <w:t>村街考核表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资金使用及时性</w:t>
            </w:r>
          </w:p>
        </w:tc>
        <w:tc>
          <w:tcPr>
            <w:tcW w:w="2835" w:type="dxa"/>
            <w:vAlign w:val="center"/>
          </w:tcPr>
          <w:p>
            <w:pPr>
              <w:pStyle w:val="14"/>
            </w:pPr>
            <w:r>
              <w:t>资金使用及时性</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≤48.16万元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工作完成率</w:t>
            </w:r>
          </w:p>
        </w:tc>
        <w:tc>
          <w:tcPr>
            <w:tcW w:w="2835" w:type="dxa"/>
            <w:vAlign w:val="center"/>
          </w:tcPr>
          <w:p>
            <w:pPr>
              <w:pStyle w:val="14"/>
            </w:pPr>
            <w:r>
              <w:t>工作完成率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保障业务工作情况</w:t>
            </w:r>
          </w:p>
        </w:tc>
        <w:tc>
          <w:tcPr>
            <w:tcW w:w="2835" w:type="dxa"/>
            <w:vAlign w:val="center"/>
          </w:tcPr>
          <w:p>
            <w:pPr>
              <w:pStyle w:val="14"/>
            </w:pPr>
            <w:r>
              <w:t>保障业务工作情况</w:t>
            </w:r>
          </w:p>
        </w:tc>
        <w:tc>
          <w:tcPr>
            <w:tcW w:w="2551" w:type="dxa"/>
            <w:vAlign w:val="center"/>
          </w:tcPr>
          <w:p>
            <w:pPr>
              <w:pStyle w:val="14"/>
            </w:pPr>
            <w:r>
              <w:t>保障工作顺利完成</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3、廊财预【2022】65号里澜城镇提前下达省级村级组织运转经费-村干部基本工资绩效目标表</w:t>
      </w:r>
    </w:p>
    <w:p>
      <w:pPr>
        <w:ind w:firstLine="560"/>
      </w:pP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申请资金188.1万元，主要用于村干部基本工资的支出，解除村干部后顾之忧，安心为村街服务。</w:t>
            </w:r>
            <w:r>
              <w:tab/>
            </w:r>
            <w:r>
              <w:tab/>
            </w:r>
            <w:r>
              <w:tab/>
            </w:r>
            <w:r>
              <w:tab/>
            </w:r>
            <w:r>
              <w:tab/>
            </w:r>
            <w:r>
              <w:t>"</w:t>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工资发放人数</w:t>
            </w:r>
          </w:p>
        </w:tc>
        <w:tc>
          <w:tcPr>
            <w:tcW w:w="2835" w:type="dxa"/>
            <w:vAlign w:val="center"/>
          </w:tcPr>
          <w:p>
            <w:pPr>
              <w:pStyle w:val="14"/>
            </w:pPr>
            <w:r>
              <w:t>工资发放人数</w:t>
            </w:r>
          </w:p>
        </w:tc>
        <w:tc>
          <w:tcPr>
            <w:tcW w:w="2551" w:type="dxa"/>
            <w:vAlign w:val="center"/>
          </w:tcPr>
          <w:p>
            <w:pPr>
              <w:pStyle w:val="14"/>
            </w:pPr>
            <w:r>
              <w:t>≥90人</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每月工资发放的时限</w:t>
            </w:r>
          </w:p>
        </w:tc>
        <w:tc>
          <w:tcPr>
            <w:tcW w:w="2835" w:type="dxa"/>
            <w:vAlign w:val="center"/>
          </w:tcPr>
          <w:p>
            <w:pPr>
              <w:pStyle w:val="14"/>
            </w:pPr>
            <w:r>
              <w:t>每月工资发放的时限</w:t>
            </w:r>
          </w:p>
        </w:tc>
        <w:tc>
          <w:tcPr>
            <w:tcW w:w="2551" w:type="dxa"/>
            <w:vAlign w:val="center"/>
          </w:tcPr>
          <w:p>
            <w:pPr>
              <w:pStyle w:val="14"/>
            </w:pPr>
            <w:r>
              <w:t>按月发放</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工资发放及时率</w:t>
            </w:r>
          </w:p>
        </w:tc>
        <w:tc>
          <w:tcPr>
            <w:tcW w:w="2835" w:type="dxa"/>
            <w:vAlign w:val="center"/>
          </w:tcPr>
          <w:p>
            <w:pPr>
              <w:pStyle w:val="14"/>
            </w:pPr>
            <w:r>
              <w:t>工资发放及时率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发放资金总额</w:t>
            </w:r>
          </w:p>
        </w:tc>
        <w:tc>
          <w:tcPr>
            <w:tcW w:w="2835" w:type="dxa"/>
            <w:vAlign w:val="center"/>
          </w:tcPr>
          <w:p>
            <w:pPr>
              <w:pStyle w:val="14"/>
            </w:pPr>
            <w:r>
              <w:t>发放资金总额</w:t>
            </w:r>
          </w:p>
        </w:tc>
        <w:tc>
          <w:tcPr>
            <w:tcW w:w="2551" w:type="dxa"/>
            <w:vAlign w:val="center"/>
          </w:tcPr>
          <w:p>
            <w:pPr>
              <w:pStyle w:val="14"/>
            </w:pPr>
            <w:r>
              <w:t>≤188.1万元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村干部生活改善情况</w:t>
            </w:r>
          </w:p>
        </w:tc>
        <w:tc>
          <w:tcPr>
            <w:tcW w:w="2835" w:type="dxa"/>
            <w:vAlign w:val="center"/>
          </w:tcPr>
          <w:p>
            <w:pPr>
              <w:pStyle w:val="14"/>
            </w:pPr>
            <w:r>
              <w:t>村干部生活改善情况</w:t>
            </w:r>
          </w:p>
        </w:tc>
        <w:tc>
          <w:tcPr>
            <w:tcW w:w="2551" w:type="dxa"/>
            <w:vAlign w:val="center"/>
          </w:tcPr>
          <w:p>
            <w:pPr>
              <w:pStyle w:val="14"/>
            </w:pPr>
            <w:r>
              <w:t>改善</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可持续性</w:t>
            </w:r>
          </w:p>
        </w:tc>
        <w:tc>
          <w:tcPr>
            <w:tcW w:w="2835" w:type="dxa"/>
            <w:vAlign w:val="center"/>
          </w:tcPr>
          <w:p>
            <w:pPr>
              <w:pStyle w:val="14"/>
            </w:pPr>
            <w:r>
              <w:t>可持续性</w:t>
            </w:r>
          </w:p>
        </w:tc>
        <w:tc>
          <w:tcPr>
            <w:tcW w:w="2551" w:type="dxa"/>
            <w:vAlign w:val="center"/>
          </w:tcPr>
          <w:p>
            <w:pPr>
              <w:pStyle w:val="14"/>
            </w:pPr>
            <w:r>
              <w:t>可持续</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4、廊财预【2022】65号里澜城镇提前下达省级村级组织运转经费-村干部绩效工资绩效目标表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里澜城镇村干部绩效工资共48.735万元，用于各村街干部考核奖励支出，提高村干部工作积极性。</w:t>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绩效工资发放的村街数</w:t>
            </w:r>
          </w:p>
        </w:tc>
        <w:tc>
          <w:tcPr>
            <w:tcW w:w="2835" w:type="dxa"/>
            <w:vAlign w:val="center"/>
          </w:tcPr>
          <w:p>
            <w:pPr>
              <w:pStyle w:val="14"/>
            </w:pPr>
            <w:r>
              <w:t>绩效工资发放的村街数</w:t>
            </w:r>
          </w:p>
        </w:tc>
        <w:tc>
          <w:tcPr>
            <w:tcW w:w="2551" w:type="dxa"/>
            <w:vAlign w:val="center"/>
          </w:tcPr>
          <w:p>
            <w:pPr>
              <w:pStyle w:val="14"/>
            </w:pPr>
            <w:r>
              <w:t>≤30个</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绩效工资发放与考核相关性</w:t>
            </w:r>
          </w:p>
        </w:tc>
        <w:tc>
          <w:tcPr>
            <w:tcW w:w="2835" w:type="dxa"/>
            <w:vAlign w:val="center"/>
          </w:tcPr>
          <w:p>
            <w:pPr>
              <w:pStyle w:val="14"/>
            </w:pPr>
            <w:r>
              <w:t>绩效工资发放与考核相关性</w:t>
            </w:r>
          </w:p>
        </w:tc>
        <w:tc>
          <w:tcPr>
            <w:tcW w:w="2551" w:type="dxa"/>
            <w:vAlign w:val="center"/>
          </w:tcPr>
          <w:p>
            <w:pPr>
              <w:pStyle w:val="14"/>
            </w:pPr>
            <w:r>
              <w:t>相关</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发放及时率</w:t>
            </w:r>
          </w:p>
        </w:tc>
        <w:tc>
          <w:tcPr>
            <w:tcW w:w="2835" w:type="dxa"/>
            <w:vAlign w:val="center"/>
          </w:tcPr>
          <w:p>
            <w:pPr>
              <w:pStyle w:val="14"/>
            </w:pPr>
            <w:r>
              <w:t>发放及时率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绩效工资发放总额</w:t>
            </w:r>
          </w:p>
        </w:tc>
        <w:tc>
          <w:tcPr>
            <w:tcW w:w="2835" w:type="dxa"/>
            <w:vAlign w:val="center"/>
          </w:tcPr>
          <w:p>
            <w:pPr>
              <w:pStyle w:val="14"/>
            </w:pPr>
            <w:r>
              <w:t>绩效工资发放总额</w:t>
            </w:r>
          </w:p>
        </w:tc>
        <w:tc>
          <w:tcPr>
            <w:tcW w:w="2551" w:type="dxa"/>
            <w:vAlign w:val="center"/>
          </w:tcPr>
          <w:p>
            <w:pPr>
              <w:pStyle w:val="14"/>
            </w:pPr>
            <w:r>
              <w:t>≤48.73万元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社会服务能力提升</w:t>
            </w:r>
          </w:p>
        </w:tc>
        <w:tc>
          <w:tcPr>
            <w:tcW w:w="2835" w:type="dxa"/>
            <w:vAlign w:val="center"/>
          </w:tcPr>
          <w:p>
            <w:pPr>
              <w:pStyle w:val="14"/>
            </w:pPr>
            <w:r>
              <w:t>社会服务能力提升</w:t>
            </w:r>
          </w:p>
        </w:tc>
        <w:tc>
          <w:tcPr>
            <w:tcW w:w="2551" w:type="dxa"/>
            <w:vAlign w:val="center"/>
          </w:tcPr>
          <w:p>
            <w:pPr>
              <w:pStyle w:val="14"/>
            </w:pPr>
            <w:r>
              <w:t>提升</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5、里澜城镇村干部基本工资绩效目标表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资金共31.9万元，主要用于村干部基本工资的支出，解除村干部后顾之忧，安心为村街服务。</w:t>
            </w:r>
            <w:r>
              <w:tab/>
            </w:r>
            <w:r>
              <w:tab/>
            </w:r>
            <w:r>
              <w:tab/>
            </w:r>
            <w:r>
              <w:t>"</w:t>
            </w:r>
            <w:r>
              <w:tab/>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工资发放人数</w:t>
            </w:r>
          </w:p>
        </w:tc>
        <w:tc>
          <w:tcPr>
            <w:tcW w:w="2835" w:type="dxa"/>
            <w:vAlign w:val="center"/>
          </w:tcPr>
          <w:p>
            <w:pPr>
              <w:pStyle w:val="14"/>
            </w:pPr>
            <w:r>
              <w:t>工资发放人数</w:t>
            </w:r>
          </w:p>
        </w:tc>
        <w:tc>
          <w:tcPr>
            <w:tcW w:w="2551" w:type="dxa"/>
            <w:vAlign w:val="center"/>
          </w:tcPr>
          <w:p>
            <w:pPr>
              <w:pStyle w:val="14"/>
            </w:pPr>
            <w:r>
              <w:t>≥90人</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每月工资发放的时限</w:t>
            </w:r>
          </w:p>
        </w:tc>
        <w:tc>
          <w:tcPr>
            <w:tcW w:w="2835" w:type="dxa"/>
            <w:vAlign w:val="center"/>
          </w:tcPr>
          <w:p>
            <w:pPr>
              <w:pStyle w:val="14"/>
            </w:pPr>
            <w:r>
              <w:t>每月工资发放的时限</w:t>
            </w:r>
          </w:p>
        </w:tc>
        <w:tc>
          <w:tcPr>
            <w:tcW w:w="2551" w:type="dxa"/>
            <w:vAlign w:val="center"/>
          </w:tcPr>
          <w:p>
            <w:pPr>
              <w:pStyle w:val="14"/>
            </w:pPr>
            <w:r>
              <w:t>按月发放</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工资发放及时率</w:t>
            </w:r>
          </w:p>
        </w:tc>
        <w:tc>
          <w:tcPr>
            <w:tcW w:w="2835" w:type="dxa"/>
            <w:vAlign w:val="center"/>
          </w:tcPr>
          <w:p>
            <w:pPr>
              <w:pStyle w:val="14"/>
            </w:pPr>
            <w:r>
              <w:t>工资发放及时率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发放资金总额</w:t>
            </w:r>
          </w:p>
        </w:tc>
        <w:tc>
          <w:tcPr>
            <w:tcW w:w="2835" w:type="dxa"/>
            <w:vAlign w:val="center"/>
          </w:tcPr>
          <w:p>
            <w:pPr>
              <w:pStyle w:val="14"/>
            </w:pPr>
            <w:r>
              <w:t>发放资金总额</w:t>
            </w:r>
          </w:p>
        </w:tc>
        <w:tc>
          <w:tcPr>
            <w:tcW w:w="2551" w:type="dxa"/>
            <w:vAlign w:val="center"/>
          </w:tcPr>
          <w:p>
            <w:pPr>
              <w:pStyle w:val="14"/>
            </w:pPr>
            <w:r>
              <w:t>≤31.9万元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村干部生活改善情况</w:t>
            </w:r>
          </w:p>
        </w:tc>
        <w:tc>
          <w:tcPr>
            <w:tcW w:w="2835" w:type="dxa"/>
            <w:vAlign w:val="center"/>
          </w:tcPr>
          <w:p>
            <w:pPr>
              <w:pStyle w:val="14"/>
            </w:pPr>
            <w:r>
              <w:t>村干部生活改善情况</w:t>
            </w:r>
          </w:p>
        </w:tc>
        <w:tc>
          <w:tcPr>
            <w:tcW w:w="2551" w:type="dxa"/>
            <w:vAlign w:val="center"/>
          </w:tcPr>
          <w:p>
            <w:pPr>
              <w:pStyle w:val="14"/>
            </w:pPr>
            <w:r>
              <w:t>改善</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可持续性</w:t>
            </w:r>
          </w:p>
        </w:tc>
        <w:tc>
          <w:tcPr>
            <w:tcW w:w="2835" w:type="dxa"/>
            <w:vAlign w:val="center"/>
          </w:tcPr>
          <w:p>
            <w:pPr>
              <w:pStyle w:val="14"/>
            </w:pPr>
            <w:r>
              <w:t>可持续性</w:t>
            </w:r>
          </w:p>
        </w:tc>
        <w:tc>
          <w:tcPr>
            <w:tcW w:w="2551" w:type="dxa"/>
            <w:vAlign w:val="center"/>
          </w:tcPr>
          <w:p>
            <w:pPr>
              <w:pStyle w:val="14"/>
            </w:pPr>
            <w:r>
              <w:t>可持续</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6、里澜城镇村干部绩效工资绩效目标表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里澜城镇村干部绩效工资，资金共141.225万元。用于各村街干部考核奖励支出，提高村干部工作积极性。</w:t>
            </w:r>
            <w:r>
              <w:tab/>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绩效工资发放的村街数</w:t>
            </w:r>
          </w:p>
        </w:tc>
        <w:tc>
          <w:tcPr>
            <w:tcW w:w="2835" w:type="dxa"/>
            <w:vAlign w:val="center"/>
          </w:tcPr>
          <w:p>
            <w:pPr>
              <w:pStyle w:val="14"/>
            </w:pPr>
            <w:r>
              <w:t>绩效工资发放的村街数</w:t>
            </w:r>
          </w:p>
        </w:tc>
        <w:tc>
          <w:tcPr>
            <w:tcW w:w="2551" w:type="dxa"/>
            <w:vAlign w:val="center"/>
          </w:tcPr>
          <w:p>
            <w:pPr>
              <w:pStyle w:val="14"/>
            </w:pPr>
            <w:r>
              <w:t>≤30个</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绩效工资发放与考核相关性</w:t>
            </w:r>
          </w:p>
        </w:tc>
        <w:tc>
          <w:tcPr>
            <w:tcW w:w="2835" w:type="dxa"/>
            <w:vAlign w:val="center"/>
          </w:tcPr>
          <w:p>
            <w:pPr>
              <w:pStyle w:val="14"/>
            </w:pPr>
            <w:r>
              <w:t>绩效工资发放与考核相关性</w:t>
            </w:r>
          </w:p>
        </w:tc>
        <w:tc>
          <w:tcPr>
            <w:tcW w:w="2551" w:type="dxa"/>
            <w:vAlign w:val="center"/>
          </w:tcPr>
          <w:p>
            <w:pPr>
              <w:pStyle w:val="14"/>
            </w:pPr>
            <w:r>
              <w:t>相关</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发放及时率</w:t>
            </w:r>
          </w:p>
        </w:tc>
        <w:tc>
          <w:tcPr>
            <w:tcW w:w="2835" w:type="dxa"/>
            <w:vAlign w:val="center"/>
          </w:tcPr>
          <w:p>
            <w:pPr>
              <w:pStyle w:val="14"/>
            </w:pPr>
            <w:r>
              <w:t>发放及时率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绩效工资发放总额</w:t>
            </w:r>
          </w:p>
        </w:tc>
        <w:tc>
          <w:tcPr>
            <w:tcW w:w="2835" w:type="dxa"/>
            <w:vAlign w:val="center"/>
          </w:tcPr>
          <w:p>
            <w:pPr>
              <w:pStyle w:val="14"/>
            </w:pPr>
            <w:r>
              <w:t>绩效工资发放总额</w:t>
            </w:r>
          </w:p>
        </w:tc>
        <w:tc>
          <w:tcPr>
            <w:tcW w:w="2551" w:type="dxa"/>
            <w:vAlign w:val="center"/>
          </w:tcPr>
          <w:p>
            <w:pPr>
              <w:pStyle w:val="14"/>
            </w:pPr>
            <w:r>
              <w:t>≤141.22万元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社会服务能力提升</w:t>
            </w:r>
          </w:p>
        </w:tc>
        <w:tc>
          <w:tcPr>
            <w:tcW w:w="2835" w:type="dxa"/>
            <w:vAlign w:val="center"/>
          </w:tcPr>
          <w:p>
            <w:pPr>
              <w:pStyle w:val="14"/>
            </w:pPr>
            <w:r>
              <w:t>社会服务能力提升</w:t>
            </w:r>
          </w:p>
        </w:tc>
        <w:tc>
          <w:tcPr>
            <w:tcW w:w="2551" w:type="dxa"/>
            <w:vAlign w:val="center"/>
          </w:tcPr>
          <w:p>
            <w:pPr>
              <w:pStyle w:val="14"/>
            </w:pPr>
            <w:r>
              <w:t>提升</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7、里澜城镇村干部离任补贴绩效目标表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资金共34.68万元，主要用于村干部离任补贴的支出，解除离任村干部后顾之忧。</w:t>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补贴发放人数</w:t>
            </w:r>
          </w:p>
        </w:tc>
        <w:tc>
          <w:tcPr>
            <w:tcW w:w="2835" w:type="dxa"/>
            <w:vAlign w:val="center"/>
          </w:tcPr>
          <w:p>
            <w:pPr>
              <w:pStyle w:val="14"/>
            </w:pPr>
            <w:r>
              <w:t>补贴发放人数</w:t>
            </w:r>
          </w:p>
        </w:tc>
        <w:tc>
          <w:tcPr>
            <w:tcW w:w="2551" w:type="dxa"/>
            <w:vAlign w:val="center"/>
          </w:tcPr>
          <w:p>
            <w:pPr>
              <w:pStyle w:val="14"/>
            </w:pPr>
            <w:r>
              <w:t>≥15人</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每月工资发放的时限</w:t>
            </w:r>
          </w:p>
        </w:tc>
        <w:tc>
          <w:tcPr>
            <w:tcW w:w="2835" w:type="dxa"/>
            <w:vAlign w:val="center"/>
          </w:tcPr>
          <w:p>
            <w:pPr>
              <w:pStyle w:val="14"/>
            </w:pPr>
            <w:r>
              <w:t>每月工资发放的时限</w:t>
            </w:r>
          </w:p>
        </w:tc>
        <w:tc>
          <w:tcPr>
            <w:tcW w:w="2551" w:type="dxa"/>
            <w:vAlign w:val="center"/>
          </w:tcPr>
          <w:p>
            <w:pPr>
              <w:pStyle w:val="14"/>
            </w:pPr>
            <w:r>
              <w:t>按月发放</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工资发放及时率</w:t>
            </w:r>
          </w:p>
        </w:tc>
        <w:tc>
          <w:tcPr>
            <w:tcW w:w="2835" w:type="dxa"/>
            <w:vAlign w:val="center"/>
          </w:tcPr>
          <w:p>
            <w:pPr>
              <w:pStyle w:val="14"/>
            </w:pPr>
            <w:r>
              <w:t>工资发放及时率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发放资金总额</w:t>
            </w:r>
          </w:p>
        </w:tc>
        <w:tc>
          <w:tcPr>
            <w:tcW w:w="2835" w:type="dxa"/>
            <w:vAlign w:val="center"/>
          </w:tcPr>
          <w:p>
            <w:pPr>
              <w:pStyle w:val="14"/>
            </w:pPr>
            <w:r>
              <w:t>发放资金总额</w:t>
            </w:r>
          </w:p>
        </w:tc>
        <w:tc>
          <w:tcPr>
            <w:tcW w:w="2551" w:type="dxa"/>
            <w:vAlign w:val="center"/>
          </w:tcPr>
          <w:p>
            <w:pPr>
              <w:pStyle w:val="14"/>
            </w:pPr>
            <w:r>
              <w:t>≤34.68万元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村干部生活改善情况</w:t>
            </w:r>
          </w:p>
        </w:tc>
        <w:tc>
          <w:tcPr>
            <w:tcW w:w="2835" w:type="dxa"/>
            <w:vAlign w:val="center"/>
          </w:tcPr>
          <w:p>
            <w:pPr>
              <w:pStyle w:val="14"/>
            </w:pPr>
            <w:r>
              <w:t>村干部生活改善情况</w:t>
            </w:r>
          </w:p>
        </w:tc>
        <w:tc>
          <w:tcPr>
            <w:tcW w:w="2551" w:type="dxa"/>
            <w:vAlign w:val="center"/>
          </w:tcPr>
          <w:p>
            <w:pPr>
              <w:pStyle w:val="14"/>
            </w:pPr>
            <w:r>
              <w:t>改善</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可持续性</w:t>
            </w:r>
          </w:p>
        </w:tc>
        <w:tc>
          <w:tcPr>
            <w:tcW w:w="2835" w:type="dxa"/>
            <w:vAlign w:val="center"/>
          </w:tcPr>
          <w:p>
            <w:pPr>
              <w:pStyle w:val="14"/>
            </w:pPr>
            <w:r>
              <w:t>可持续性</w:t>
            </w:r>
          </w:p>
        </w:tc>
        <w:tc>
          <w:tcPr>
            <w:tcW w:w="2551" w:type="dxa"/>
            <w:vAlign w:val="center"/>
          </w:tcPr>
          <w:p>
            <w:pPr>
              <w:pStyle w:val="14"/>
            </w:pPr>
            <w:r>
              <w:t>可持续</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8、里澜城镇村级组织运转经费绩效目标表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申请经费82.5万元，用于农村党组织建设支出，用于改进农村党支部的领导方式，提高农村党支部的领导能力。</w:t>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资金使用覆盖村街个数</w:t>
            </w:r>
          </w:p>
        </w:tc>
        <w:tc>
          <w:tcPr>
            <w:tcW w:w="2835" w:type="dxa"/>
            <w:vAlign w:val="center"/>
          </w:tcPr>
          <w:p>
            <w:pPr>
              <w:pStyle w:val="14"/>
            </w:pPr>
            <w:r>
              <w:t>资金使用覆盖村街个数</w:t>
            </w:r>
          </w:p>
        </w:tc>
        <w:tc>
          <w:tcPr>
            <w:tcW w:w="2551" w:type="dxa"/>
            <w:vAlign w:val="center"/>
          </w:tcPr>
          <w:p>
            <w:pPr>
              <w:pStyle w:val="14"/>
            </w:pPr>
            <w:r>
              <w:t>≤30个</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村街工作完成合格率</w:t>
            </w:r>
          </w:p>
        </w:tc>
        <w:tc>
          <w:tcPr>
            <w:tcW w:w="2835" w:type="dxa"/>
            <w:vAlign w:val="center"/>
          </w:tcPr>
          <w:p>
            <w:pPr>
              <w:pStyle w:val="14"/>
            </w:pPr>
            <w:r>
              <w:t>村街工作完成合格率</w:t>
            </w:r>
          </w:p>
        </w:tc>
        <w:tc>
          <w:tcPr>
            <w:tcW w:w="2551" w:type="dxa"/>
            <w:vAlign w:val="center"/>
          </w:tcPr>
          <w:p>
            <w:pPr>
              <w:pStyle w:val="14"/>
            </w:pPr>
            <w:r>
              <w:t>≥95%</w:t>
            </w:r>
          </w:p>
        </w:tc>
        <w:tc>
          <w:tcPr>
            <w:tcW w:w="2268" w:type="dxa"/>
            <w:vAlign w:val="center"/>
          </w:tcPr>
          <w:p>
            <w:pPr>
              <w:pStyle w:val="14"/>
            </w:pPr>
            <w:r>
              <w:t>村街考核表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资金使用及时性</w:t>
            </w:r>
          </w:p>
        </w:tc>
        <w:tc>
          <w:tcPr>
            <w:tcW w:w="2835" w:type="dxa"/>
            <w:vAlign w:val="center"/>
          </w:tcPr>
          <w:p>
            <w:pPr>
              <w:pStyle w:val="14"/>
            </w:pPr>
            <w:r>
              <w:t>资金使用及时性</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≤82.5万元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工作完成率</w:t>
            </w:r>
          </w:p>
        </w:tc>
        <w:tc>
          <w:tcPr>
            <w:tcW w:w="2835" w:type="dxa"/>
            <w:vAlign w:val="center"/>
          </w:tcPr>
          <w:p>
            <w:pPr>
              <w:pStyle w:val="14"/>
            </w:pPr>
            <w:r>
              <w:t>工作完成率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保障业务工作情况</w:t>
            </w:r>
          </w:p>
        </w:tc>
        <w:tc>
          <w:tcPr>
            <w:tcW w:w="2835" w:type="dxa"/>
            <w:vAlign w:val="center"/>
          </w:tcPr>
          <w:p>
            <w:pPr>
              <w:pStyle w:val="14"/>
            </w:pPr>
            <w:r>
              <w:t>保障业务工作情况</w:t>
            </w:r>
          </w:p>
        </w:tc>
        <w:tc>
          <w:tcPr>
            <w:tcW w:w="2551" w:type="dxa"/>
            <w:vAlign w:val="center"/>
          </w:tcPr>
          <w:p>
            <w:pPr>
              <w:pStyle w:val="14"/>
            </w:pPr>
            <w:r>
              <w:t>保障工作顺利完成</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9、里澜城镇郝家场村道路硬化工程项目县级配套资金绩效目标表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申请资金78.45万元，用于里澜城镇郝家场村道路硬化工程项目支出，方便群众出行，提高群众生活质量。</w:t>
            </w:r>
            <w:r>
              <w:tab/>
            </w:r>
            <w:r>
              <w:tab/>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修路面积</w:t>
            </w:r>
          </w:p>
        </w:tc>
        <w:tc>
          <w:tcPr>
            <w:tcW w:w="2835" w:type="dxa"/>
            <w:vAlign w:val="center"/>
          </w:tcPr>
          <w:p>
            <w:pPr>
              <w:pStyle w:val="14"/>
            </w:pPr>
            <w:r>
              <w:t>修路面积</w:t>
            </w:r>
          </w:p>
        </w:tc>
        <w:tc>
          <w:tcPr>
            <w:tcW w:w="2551" w:type="dxa"/>
            <w:vAlign w:val="center"/>
          </w:tcPr>
          <w:p>
            <w:pPr>
              <w:pStyle w:val="14"/>
            </w:pPr>
            <w:r>
              <w:t>≥7828平方米</w:t>
            </w:r>
          </w:p>
        </w:tc>
        <w:tc>
          <w:tcPr>
            <w:tcW w:w="2268" w:type="dxa"/>
            <w:vAlign w:val="center"/>
          </w:tcPr>
          <w:p>
            <w:pPr>
              <w:pStyle w:val="14"/>
            </w:pPr>
            <w:r>
              <w:t>概算书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工程质量达标率</w:t>
            </w:r>
          </w:p>
        </w:tc>
        <w:tc>
          <w:tcPr>
            <w:tcW w:w="2835" w:type="dxa"/>
            <w:vAlign w:val="center"/>
          </w:tcPr>
          <w:p>
            <w:pPr>
              <w:pStyle w:val="14"/>
            </w:pPr>
            <w:r>
              <w:t>工程质量达标率</w:t>
            </w:r>
          </w:p>
        </w:tc>
        <w:tc>
          <w:tcPr>
            <w:tcW w:w="2551" w:type="dxa"/>
            <w:vAlign w:val="center"/>
          </w:tcPr>
          <w:p>
            <w:pPr>
              <w:pStyle w:val="14"/>
            </w:pPr>
            <w:r>
              <w:t>≥98%</w:t>
            </w:r>
          </w:p>
        </w:tc>
        <w:tc>
          <w:tcPr>
            <w:tcW w:w="2268" w:type="dxa"/>
            <w:vAlign w:val="center"/>
          </w:tcPr>
          <w:p>
            <w:pPr>
              <w:pStyle w:val="14"/>
            </w:pPr>
            <w:r>
              <w:t>验收单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按期完成及时率</w:t>
            </w:r>
          </w:p>
        </w:tc>
        <w:tc>
          <w:tcPr>
            <w:tcW w:w="2835" w:type="dxa"/>
            <w:vAlign w:val="center"/>
          </w:tcPr>
          <w:p>
            <w:pPr>
              <w:pStyle w:val="14"/>
            </w:pPr>
            <w:r>
              <w:t>按期完成及时率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≤78.45万元</w:t>
            </w:r>
          </w:p>
        </w:tc>
        <w:tc>
          <w:tcPr>
            <w:tcW w:w="2268" w:type="dxa"/>
            <w:vAlign w:val="center"/>
          </w:tcPr>
          <w:p>
            <w:pPr>
              <w:pStyle w:val="14"/>
            </w:pPr>
            <w:r>
              <w:t>结算审核报告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工作完成率</w:t>
            </w:r>
          </w:p>
        </w:tc>
        <w:tc>
          <w:tcPr>
            <w:tcW w:w="2835" w:type="dxa"/>
            <w:vAlign w:val="center"/>
          </w:tcPr>
          <w:p>
            <w:pPr>
              <w:pStyle w:val="14"/>
            </w:pPr>
            <w:r>
              <w:t>工作完成率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经济效益指标</w:t>
            </w:r>
          </w:p>
        </w:tc>
        <w:tc>
          <w:tcPr>
            <w:tcW w:w="2835" w:type="dxa"/>
            <w:vAlign w:val="center"/>
          </w:tcPr>
          <w:p>
            <w:pPr>
              <w:pStyle w:val="14"/>
            </w:pPr>
            <w:r>
              <w:t>对区域出行的影响</w:t>
            </w:r>
          </w:p>
        </w:tc>
        <w:tc>
          <w:tcPr>
            <w:tcW w:w="2835" w:type="dxa"/>
            <w:vAlign w:val="center"/>
          </w:tcPr>
          <w:p>
            <w:pPr>
              <w:pStyle w:val="14"/>
            </w:pPr>
            <w:r>
              <w:t>对区域出行的影响</w:t>
            </w:r>
          </w:p>
        </w:tc>
        <w:tc>
          <w:tcPr>
            <w:tcW w:w="2551" w:type="dxa"/>
            <w:vAlign w:val="center"/>
          </w:tcPr>
          <w:p>
            <w:pPr>
              <w:pStyle w:val="14"/>
            </w:pPr>
            <w:r>
              <w:t>有利于</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对经济发展、方便大众出行影响</w:t>
            </w:r>
          </w:p>
        </w:tc>
        <w:tc>
          <w:tcPr>
            <w:tcW w:w="2835" w:type="dxa"/>
            <w:vAlign w:val="center"/>
          </w:tcPr>
          <w:p>
            <w:pPr>
              <w:pStyle w:val="14"/>
            </w:pPr>
            <w:r>
              <w:t>对经济发展、方便大众出行影响</w:t>
            </w:r>
          </w:p>
        </w:tc>
        <w:tc>
          <w:tcPr>
            <w:tcW w:w="2551" w:type="dxa"/>
            <w:vAlign w:val="center"/>
          </w:tcPr>
          <w:p>
            <w:pPr>
              <w:pStyle w:val="14"/>
            </w:pPr>
            <w:r>
              <w:t>有利于</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受众群体满意度</w:t>
            </w:r>
          </w:p>
        </w:tc>
        <w:tc>
          <w:tcPr>
            <w:tcW w:w="2835" w:type="dxa"/>
            <w:vAlign w:val="center"/>
          </w:tcPr>
          <w:p>
            <w:pPr>
              <w:pStyle w:val="14"/>
            </w:pPr>
            <w:r>
              <w:t>受众群体满意度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10、里澜城镇信访维稳经费绩效目标表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申请资金共20万元，主要用于信访维稳支出，达到社会稳定的目的。</w:t>
            </w:r>
            <w:r>
              <w:tab/>
            </w:r>
            <w:r>
              <w:tab/>
            </w:r>
            <w:r>
              <w:tab/>
            </w:r>
            <w:r>
              <w:tab/>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社区维稳工作会议次数</w:t>
            </w:r>
          </w:p>
        </w:tc>
        <w:tc>
          <w:tcPr>
            <w:tcW w:w="2835" w:type="dxa"/>
            <w:vAlign w:val="center"/>
          </w:tcPr>
          <w:p>
            <w:pPr>
              <w:pStyle w:val="14"/>
            </w:pPr>
            <w:r>
              <w:t>社区维稳工作会议次数</w:t>
            </w:r>
          </w:p>
        </w:tc>
        <w:tc>
          <w:tcPr>
            <w:tcW w:w="2551" w:type="dxa"/>
            <w:vAlign w:val="center"/>
          </w:tcPr>
          <w:p>
            <w:pPr>
              <w:pStyle w:val="14"/>
            </w:pPr>
            <w:r>
              <w:t>≥4次</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对信访事件答复处理率</w:t>
            </w:r>
          </w:p>
        </w:tc>
        <w:tc>
          <w:tcPr>
            <w:tcW w:w="2835" w:type="dxa"/>
            <w:vAlign w:val="center"/>
          </w:tcPr>
          <w:p>
            <w:pPr>
              <w:pStyle w:val="14"/>
            </w:pPr>
            <w:r>
              <w:t>对信访事件答复处理率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上访事件处理率</w:t>
            </w:r>
          </w:p>
        </w:tc>
        <w:tc>
          <w:tcPr>
            <w:tcW w:w="2835" w:type="dxa"/>
            <w:vAlign w:val="center"/>
          </w:tcPr>
          <w:p>
            <w:pPr>
              <w:pStyle w:val="14"/>
            </w:pPr>
            <w:r>
              <w:t>上访事件处理率</w:t>
            </w:r>
          </w:p>
        </w:tc>
        <w:tc>
          <w:tcPr>
            <w:tcW w:w="2551" w:type="dxa"/>
            <w:vAlign w:val="center"/>
          </w:tcPr>
          <w:p>
            <w:pPr>
              <w:pStyle w:val="14"/>
            </w:pPr>
            <w:r>
              <w:t>≥96%</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≤20万</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街道社区信访维稳工作水平</w:t>
            </w:r>
          </w:p>
        </w:tc>
        <w:tc>
          <w:tcPr>
            <w:tcW w:w="2835" w:type="dxa"/>
            <w:vAlign w:val="center"/>
          </w:tcPr>
          <w:p>
            <w:pPr>
              <w:pStyle w:val="14"/>
            </w:pPr>
            <w:r>
              <w:t>街道社区信访维稳工作水平</w:t>
            </w:r>
          </w:p>
        </w:tc>
        <w:tc>
          <w:tcPr>
            <w:tcW w:w="2551" w:type="dxa"/>
            <w:vAlign w:val="center"/>
          </w:tcPr>
          <w:p>
            <w:pPr>
              <w:pStyle w:val="14"/>
            </w:pPr>
            <w:r>
              <w:t>提高</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加大基层维稳工作力度，营造社区安定环境</w:t>
            </w:r>
          </w:p>
        </w:tc>
        <w:tc>
          <w:tcPr>
            <w:tcW w:w="2835" w:type="dxa"/>
            <w:vAlign w:val="center"/>
          </w:tcPr>
          <w:p>
            <w:pPr>
              <w:pStyle w:val="14"/>
            </w:pPr>
            <w:r>
              <w:t>加大基层维稳工作力度，营造社区安定环境</w:t>
            </w:r>
          </w:p>
        </w:tc>
        <w:tc>
          <w:tcPr>
            <w:tcW w:w="2551" w:type="dxa"/>
            <w:vAlign w:val="center"/>
          </w:tcPr>
          <w:p>
            <w:pPr>
              <w:pStyle w:val="14"/>
            </w:pPr>
            <w:r>
              <w:t>提高</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2835" w:type="dxa"/>
            <w:vAlign w:val="center"/>
          </w:tcPr>
          <w:p>
            <w:pPr>
              <w:pStyle w:val="14"/>
            </w:pPr>
            <w:r>
              <w:t>群众满意度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11、里澜城镇综合保障经费绩效目标表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申请资金共190.98万元，主要用于综合保障经费支出，确保机关正常工作开展。</w:t>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保障部门个数</w:t>
            </w:r>
          </w:p>
        </w:tc>
        <w:tc>
          <w:tcPr>
            <w:tcW w:w="2835" w:type="dxa"/>
            <w:vAlign w:val="center"/>
          </w:tcPr>
          <w:p>
            <w:pPr>
              <w:pStyle w:val="14"/>
            </w:pPr>
            <w:r>
              <w:t>保障部门个数</w:t>
            </w:r>
          </w:p>
        </w:tc>
        <w:tc>
          <w:tcPr>
            <w:tcW w:w="2551" w:type="dxa"/>
            <w:vAlign w:val="center"/>
          </w:tcPr>
          <w:p>
            <w:pPr>
              <w:pStyle w:val="14"/>
            </w:pPr>
            <w:r>
              <w:t>≥6个</w:t>
            </w:r>
          </w:p>
        </w:tc>
        <w:tc>
          <w:tcPr>
            <w:tcW w:w="2268" w:type="dxa"/>
            <w:vAlign w:val="center"/>
          </w:tcPr>
          <w:p>
            <w:pPr>
              <w:pStyle w:val="14"/>
            </w:pPr>
            <w:r>
              <w:t>三定方案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镇政府工作年度考核合格情况</w:t>
            </w:r>
          </w:p>
        </w:tc>
        <w:tc>
          <w:tcPr>
            <w:tcW w:w="2835" w:type="dxa"/>
            <w:vAlign w:val="center"/>
          </w:tcPr>
          <w:p>
            <w:pPr>
              <w:pStyle w:val="14"/>
            </w:pPr>
            <w:r>
              <w:t>镇政府工作年度考核合格情况</w:t>
            </w:r>
          </w:p>
        </w:tc>
        <w:tc>
          <w:tcPr>
            <w:tcW w:w="2551" w:type="dxa"/>
            <w:vAlign w:val="center"/>
          </w:tcPr>
          <w:p>
            <w:pPr>
              <w:pStyle w:val="14"/>
            </w:pPr>
            <w:r>
              <w:t>合格</w:t>
            </w:r>
          </w:p>
        </w:tc>
        <w:tc>
          <w:tcPr>
            <w:tcW w:w="2268" w:type="dxa"/>
            <w:vAlign w:val="center"/>
          </w:tcPr>
          <w:p>
            <w:pPr>
              <w:pStyle w:val="14"/>
            </w:pPr>
            <w:r>
              <w:t>年度考核表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镇政府工作任务完成时间</w:t>
            </w:r>
          </w:p>
        </w:tc>
        <w:tc>
          <w:tcPr>
            <w:tcW w:w="2835" w:type="dxa"/>
            <w:vAlign w:val="center"/>
          </w:tcPr>
          <w:p>
            <w:pPr>
              <w:pStyle w:val="14"/>
            </w:pPr>
            <w:r>
              <w:t>镇政府工作任务完成时间</w:t>
            </w:r>
          </w:p>
        </w:tc>
        <w:tc>
          <w:tcPr>
            <w:tcW w:w="2551" w:type="dxa"/>
            <w:vAlign w:val="center"/>
          </w:tcPr>
          <w:p>
            <w:pPr>
              <w:pStyle w:val="14"/>
            </w:pPr>
            <w:r>
              <w:t>12月</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≤190.98万元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居民服务好评率（%）</w:t>
            </w:r>
          </w:p>
        </w:tc>
        <w:tc>
          <w:tcPr>
            <w:tcW w:w="2835" w:type="dxa"/>
            <w:vAlign w:val="center"/>
          </w:tcPr>
          <w:p>
            <w:pPr>
              <w:pStyle w:val="14"/>
            </w:pPr>
            <w:r>
              <w:t>居民服务好评率（%）</w:t>
            </w:r>
          </w:p>
        </w:tc>
        <w:tc>
          <w:tcPr>
            <w:tcW w:w="2551" w:type="dxa"/>
            <w:vAlign w:val="center"/>
          </w:tcPr>
          <w:p>
            <w:pPr>
              <w:pStyle w:val="14"/>
            </w:pPr>
            <w:r>
              <w:t>≥95%</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社区总体服务水平和办事效率</w:t>
            </w:r>
          </w:p>
        </w:tc>
        <w:tc>
          <w:tcPr>
            <w:tcW w:w="2835" w:type="dxa"/>
            <w:vAlign w:val="center"/>
          </w:tcPr>
          <w:p>
            <w:pPr>
              <w:pStyle w:val="14"/>
            </w:pPr>
            <w:r>
              <w:t>社区总体服务水平和办事效率</w:t>
            </w:r>
          </w:p>
        </w:tc>
        <w:tc>
          <w:tcPr>
            <w:tcW w:w="2551" w:type="dxa"/>
            <w:vAlign w:val="center"/>
          </w:tcPr>
          <w:p>
            <w:pPr>
              <w:pStyle w:val="14"/>
            </w:pPr>
            <w:r>
              <w:t>提高</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12、气代煤协管员工资绩效目标表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申请资金44.4万元，用于解决我镇双代村街居民取暖补贴发放问题，达到促进大气污染防治工作更好地开展。</w:t>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涉及村街个数</w:t>
            </w:r>
          </w:p>
        </w:tc>
        <w:tc>
          <w:tcPr>
            <w:tcW w:w="2835" w:type="dxa"/>
            <w:vAlign w:val="center"/>
          </w:tcPr>
          <w:p>
            <w:pPr>
              <w:pStyle w:val="14"/>
            </w:pPr>
            <w:r>
              <w:t>涉及村街个数</w:t>
            </w:r>
          </w:p>
        </w:tc>
        <w:tc>
          <w:tcPr>
            <w:tcW w:w="2551" w:type="dxa"/>
            <w:vAlign w:val="center"/>
          </w:tcPr>
          <w:p>
            <w:pPr>
              <w:pStyle w:val="14"/>
            </w:pPr>
            <w:r>
              <w:t>≤30个</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补助发放合格率</w:t>
            </w:r>
          </w:p>
        </w:tc>
        <w:tc>
          <w:tcPr>
            <w:tcW w:w="2835" w:type="dxa"/>
            <w:vAlign w:val="center"/>
          </w:tcPr>
          <w:p>
            <w:pPr>
              <w:pStyle w:val="14"/>
            </w:pPr>
            <w:r>
              <w:t>补助发放合格率</w:t>
            </w:r>
          </w:p>
        </w:tc>
        <w:tc>
          <w:tcPr>
            <w:tcW w:w="2551" w:type="dxa"/>
            <w:vAlign w:val="center"/>
          </w:tcPr>
          <w:p>
            <w:pPr>
              <w:pStyle w:val="14"/>
            </w:pPr>
            <w:r>
              <w:t>≥98%</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补助金发放时间</w:t>
            </w:r>
          </w:p>
        </w:tc>
        <w:tc>
          <w:tcPr>
            <w:tcW w:w="2835" w:type="dxa"/>
            <w:vAlign w:val="center"/>
          </w:tcPr>
          <w:p>
            <w:pPr>
              <w:pStyle w:val="14"/>
            </w:pPr>
            <w:r>
              <w:t>补助金发放时间</w:t>
            </w:r>
          </w:p>
        </w:tc>
        <w:tc>
          <w:tcPr>
            <w:tcW w:w="2551" w:type="dxa"/>
            <w:vAlign w:val="center"/>
          </w:tcPr>
          <w:p>
            <w:pPr>
              <w:pStyle w:val="14"/>
            </w:pPr>
            <w:r>
              <w:t>3月</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月人均工资标准</w:t>
            </w:r>
          </w:p>
        </w:tc>
        <w:tc>
          <w:tcPr>
            <w:tcW w:w="2835" w:type="dxa"/>
            <w:vAlign w:val="center"/>
          </w:tcPr>
          <w:p>
            <w:pPr>
              <w:pStyle w:val="14"/>
            </w:pPr>
            <w:r>
              <w:t>月人均工资标准</w:t>
            </w:r>
          </w:p>
        </w:tc>
        <w:tc>
          <w:tcPr>
            <w:tcW w:w="2551" w:type="dxa"/>
            <w:vAlign w:val="center"/>
          </w:tcPr>
          <w:p>
            <w:pPr>
              <w:pStyle w:val="14"/>
            </w:pPr>
            <w:r>
              <w:t>2000元</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 xml:space="preserve"> 补助人群生活改善情况</w:t>
            </w:r>
          </w:p>
        </w:tc>
        <w:tc>
          <w:tcPr>
            <w:tcW w:w="2551" w:type="dxa"/>
            <w:vAlign w:val="center"/>
          </w:tcPr>
          <w:p>
            <w:pPr>
              <w:pStyle w:val="14"/>
            </w:pPr>
            <w:r>
              <w:t>改善</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制度及实施方案健全程度</w:t>
            </w:r>
          </w:p>
        </w:tc>
        <w:tc>
          <w:tcPr>
            <w:tcW w:w="2835" w:type="dxa"/>
            <w:vAlign w:val="center"/>
          </w:tcPr>
          <w:p>
            <w:pPr>
              <w:pStyle w:val="14"/>
            </w:pPr>
            <w:r>
              <w:t>制度及实施方案健全程度</w:t>
            </w:r>
          </w:p>
        </w:tc>
        <w:tc>
          <w:tcPr>
            <w:tcW w:w="2551" w:type="dxa"/>
            <w:vAlign w:val="center"/>
          </w:tcPr>
          <w:p>
            <w:pPr>
              <w:pStyle w:val="14"/>
            </w:pPr>
            <w:r>
              <w:t>健全</w:t>
            </w:r>
          </w:p>
        </w:tc>
        <w:tc>
          <w:tcPr>
            <w:tcW w:w="2268" w:type="dxa"/>
            <w:vAlign w:val="center"/>
          </w:tcPr>
          <w:p>
            <w:pPr>
              <w:pStyle w:val="14"/>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受益群体满意度</w:t>
            </w:r>
          </w:p>
        </w:tc>
        <w:tc>
          <w:tcPr>
            <w:tcW w:w="2835" w:type="dxa"/>
            <w:vAlign w:val="center"/>
          </w:tcPr>
          <w:p>
            <w:pPr>
              <w:pStyle w:val="14"/>
            </w:pPr>
            <w:r>
              <w:t>受益群体满意度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13、永清县里澜城镇南柳坨存2022年农村综合改革示范村项目绩效目标表</w:t>
      </w:r>
    </w:p>
    <w:tbl>
      <w:tblPr>
        <w:tblStyle w:val="8"/>
        <w:tblW w:w="14173"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申请资金200万，用于南柳坨村2022年农村综合改革示范村项目，达到改建水泥</w:t>
            </w:r>
            <w:r>
              <w:rPr>
                <w:rFonts w:hint="eastAsia"/>
                <w:lang w:eastAsia="zh-CN"/>
              </w:rPr>
              <w:t>混凝土</w:t>
            </w:r>
            <w:r>
              <w:t>路32条，建筑面积10959.57平米；新建温室大棚3座；新建6米高LED路灯40盏的目的。</w:t>
            </w:r>
            <w:r>
              <w:tab/>
            </w:r>
          </w:p>
        </w:tc>
      </w:tr>
    </w:tbl>
    <w:p>
      <w:pPr>
        <w:spacing w:line="2" w:lineRule="exact"/>
        <w:jc w:val="center"/>
      </w:pPr>
    </w:p>
    <w:tbl>
      <w:tblPr>
        <w:tblStyle w:val="8"/>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修缮建筑面积</w:t>
            </w:r>
          </w:p>
        </w:tc>
        <w:tc>
          <w:tcPr>
            <w:tcW w:w="2835" w:type="dxa"/>
            <w:vAlign w:val="center"/>
          </w:tcPr>
          <w:p>
            <w:pPr>
              <w:pStyle w:val="14"/>
            </w:pPr>
            <w:r>
              <w:t>改建道路面积数量</w:t>
            </w:r>
          </w:p>
        </w:tc>
        <w:tc>
          <w:tcPr>
            <w:tcW w:w="2551" w:type="dxa"/>
            <w:vAlign w:val="center"/>
          </w:tcPr>
          <w:p>
            <w:pPr>
              <w:pStyle w:val="14"/>
            </w:pPr>
            <w:r>
              <w:t>≥10000平米</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修缮建筑面积</w:t>
            </w:r>
          </w:p>
        </w:tc>
        <w:tc>
          <w:tcPr>
            <w:tcW w:w="2835" w:type="dxa"/>
            <w:vAlign w:val="center"/>
          </w:tcPr>
          <w:p>
            <w:pPr>
              <w:pStyle w:val="14"/>
            </w:pPr>
            <w:r>
              <w:t>新建大棚数量</w:t>
            </w:r>
          </w:p>
        </w:tc>
        <w:tc>
          <w:tcPr>
            <w:tcW w:w="2551" w:type="dxa"/>
            <w:vAlign w:val="center"/>
          </w:tcPr>
          <w:p>
            <w:pPr>
              <w:pStyle w:val="14"/>
            </w:pPr>
            <w:r>
              <w:t>≥3座</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数量指标</w:t>
            </w:r>
          </w:p>
        </w:tc>
        <w:tc>
          <w:tcPr>
            <w:tcW w:w="2835" w:type="dxa"/>
            <w:vAlign w:val="center"/>
          </w:tcPr>
          <w:p>
            <w:pPr>
              <w:pStyle w:val="14"/>
            </w:pPr>
            <w:r>
              <w:t>灯盏、灯箱、变电箱数量</w:t>
            </w:r>
          </w:p>
        </w:tc>
        <w:tc>
          <w:tcPr>
            <w:tcW w:w="2835" w:type="dxa"/>
            <w:vAlign w:val="center"/>
          </w:tcPr>
          <w:p>
            <w:pPr>
              <w:pStyle w:val="14"/>
            </w:pPr>
            <w:r>
              <w:t>新安路灯数量</w:t>
            </w:r>
          </w:p>
        </w:tc>
        <w:tc>
          <w:tcPr>
            <w:tcW w:w="2551" w:type="dxa"/>
            <w:vAlign w:val="center"/>
          </w:tcPr>
          <w:p>
            <w:pPr>
              <w:pStyle w:val="14"/>
            </w:pPr>
            <w:r>
              <w:t>≥40盏</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正常使用率</w:t>
            </w:r>
          </w:p>
        </w:tc>
        <w:tc>
          <w:tcPr>
            <w:tcW w:w="2835" w:type="dxa"/>
            <w:vAlign w:val="center"/>
          </w:tcPr>
          <w:p>
            <w:pPr>
              <w:pStyle w:val="14"/>
            </w:pPr>
            <w:r>
              <w:t>正常使用率</w:t>
            </w:r>
          </w:p>
        </w:tc>
        <w:tc>
          <w:tcPr>
            <w:tcW w:w="2551" w:type="dxa"/>
            <w:vAlign w:val="center"/>
          </w:tcPr>
          <w:p>
            <w:pPr>
              <w:pStyle w:val="14"/>
            </w:pPr>
            <w:r>
              <w:t>≥98%</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新建建筑验收合格率（%）</w:t>
            </w:r>
          </w:p>
        </w:tc>
        <w:tc>
          <w:tcPr>
            <w:tcW w:w="2835" w:type="dxa"/>
            <w:vAlign w:val="center"/>
          </w:tcPr>
          <w:p>
            <w:pPr>
              <w:pStyle w:val="14"/>
            </w:pPr>
            <w:r>
              <w:t>新建建筑验收合格率（%）</w:t>
            </w:r>
          </w:p>
        </w:tc>
        <w:tc>
          <w:tcPr>
            <w:tcW w:w="2551" w:type="dxa"/>
            <w:vAlign w:val="center"/>
          </w:tcPr>
          <w:p>
            <w:pPr>
              <w:pStyle w:val="14"/>
            </w:pPr>
            <w:r>
              <w:t>≥98%</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资金成本</w:t>
            </w:r>
          </w:p>
        </w:tc>
        <w:tc>
          <w:tcPr>
            <w:tcW w:w="2835" w:type="dxa"/>
            <w:vAlign w:val="center"/>
          </w:tcPr>
          <w:p>
            <w:pPr>
              <w:pStyle w:val="14"/>
            </w:pPr>
            <w:r>
              <w:t>资金成本</w:t>
            </w:r>
          </w:p>
        </w:tc>
        <w:tc>
          <w:tcPr>
            <w:tcW w:w="2551" w:type="dxa"/>
            <w:vAlign w:val="center"/>
          </w:tcPr>
          <w:p>
            <w:pPr>
              <w:pStyle w:val="14"/>
            </w:pPr>
            <w:r>
              <w:t>≤200万元</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出行环境舒适度</w:t>
            </w:r>
          </w:p>
        </w:tc>
        <w:tc>
          <w:tcPr>
            <w:tcW w:w="2835" w:type="dxa"/>
            <w:vAlign w:val="center"/>
          </w:tcPr>
          <w:p>
            <w:pPr>
              <w:pStyle w:val="14"/>
            </w:pPr>
            <w:r>
              <w:t>出行环境舒适度</w:t>
            </w:r>
          </w:p>
        </w:tc>
        <w:tc>
          <w:tcPr>
            <w:tcW w:w="2551" w:type="dxa"/>
            <w:vAlign w:val="center"/>
          </w:tcPr>
          <w:p>
            <w:pPr>
              <w:pStyle w:val="14"/>
            </w:pPr>
            <w:r>
              <w:t>提高</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保障道路通畅</w:t>
            </w:r>
          </w:p>
        </w:tc>
        <w:tc>
          <w:tcPr>
            <w:tcW w:w="2835" w:type="dxa"/>
            <w:vAlign w:val="center"/>
          </w:tcPr>
          <w:p>
            <w:pPr>
              <w:pStyle w:val="14"/>
            </w:pPr>
            <w:r>
              <w:t>保障道路通畅</w:t>
            </w:r>
          </w:p>
        </w:tc>
        <w:tc>
          <w:tcPr>
            <w:tcW w:w="2551" w:type="dxa"/>
            <w:vAlign w:val="center"/>
          </w:tcPr>
          <w:p>
            <w:pPr>
              <w:pStyle w:val="14"/>
            </w:pPr>
            <w:r>
              <w:t>通畅</w:t>
            </w:r>
          </w:p>
        </w:tc>
        <w:tc>
          <w:tcPr>
            <w:tcW w:w="2268" w:type="dxa"/>
            <w:vAlign w:val="center"/>
          </w:tcPr>
          <w:p>
            <w:pPr>
              <w:pStyle w:val="14"/>
            </w:pPr>
            <w:r>
              <w:t>项目规划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2835" w:type="dxa"/>
            <w:vAlign w:val="center"/>
          </w:tcPr>
          <w:p>
            <w:pPr>
              <w:pStyle w:val="14"/>
            </w:pPr>
            <w:r>
              <w:t>群众满意度</w:t>
            </w:r>
          </w:p>
        </w:tc>
        <w:tc>
          <w:tcPr>
            <w:tcW w:w="2551" w:type="dxa"/>
            <w:vAlign w:val="center"/>
          </w:tcPr>
          <w:p>
            <w:pPr>
              <w:pStyle w:val="14"/>
            </w:pPr>
            <w:r>
              <w:t>≥95%</w:t>
            </w:r>
          </w:p>
        </w:tc>
        <w:tc>
          <w:tcPr>
            <w:tcW w:w="2268" w:type="dxa"/>
            <w:vAlign w:val="center"/>
          </w:tcPr>
          <w:p>
            <w:pPr>
              <w:pStyle w:val="14"/>
            </w:pPr>
            <w:r>
              <w:t>问卷调查</w:t>
            </w:r>
          </w:p>
        </w:tc>
      </w:tr>
    </w:tbl>
    <w:p>
      <w:pPr>
        <w:sectPr>
          <w:pgSz w:w="16840" w:h="11900" w:orient="landscape"/>
          <w:pgMar w:top="1361" w:right="1020" w:bottom="1134" w:left="1020" w:header="720" w:footer="720" w:gutter="0"/>
          <w:cols w:space="720" w:num="1"/>
        </w:sect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pPr>
        <w:spacing w:line="584" w:lineRule="exact"/>
        <w:ind w:firstLine="640" w:firstLineChars="200"/>
        <w:outlineLvl w:val="0"/>
        <w:rPr>
          <w:rFonts w:ascii="Times New Roman" w:hAnsi="Times New Roman" w:eastAsia="仿宋_GB2312" w:cs="Times New Roman"/>
        </w:rPr>
      </w:pPr>
      <w:bookmarkStart w:id="1" w:name="_Toc471398468"/>
      <w:r>
        <w:rPr>
          <w:rFonts w:hint="eastAsia" w:ascii="Times New Roman" w:hAnsi="Times New Roman" w:eastAsia="仿宋_GB2312" w:cs="Times New Roman"/>
          <w:kern w:val="2"/>
          <w:sz w:val="32"/>
          <w:szCs w:val="32"/>
          <w:lang w:val="en-US" w:eastAsia="zh-CN" w:bidi="ar-SA"/>
        </w:rPr>
        <w:t>2023年，我部门安排政府采购预算0万元。具体内容见下表。</w:t>
      </w:r>
      <w:bookmarkEnd w:id="1"/>
    </w:p>
    <w:p>
      <w:pPr>
        <w:jc w:val="center"/>
        <w:outlineLvl w:val="1"/>
        <w:rPr>
          <w:rFonts w:ascii="方正小标宋_GBK" w:eastAsia="方正小标宋_GBK" w:cs="Times New Roman"/>
          <w:sz w:val="32"/>
        </w:rPr>
      </w:pPr>
      <w:bookmarkStart w:id="2" w:name="_Toc64920910"/>
      <w:r>
        <w:rPr>
          <w:rFonts w:hint="eastAsia" w:ascii="方正小标宋_GBK" w:eastAsia="方正小标宋_GBK" w:cs="Times New Roman"/>
          <w:sz w:val="32"/>
        </w:rPr>
        <w:t>部门政府采购预算</w:t>
      </w:r>
      <w:bookmarkEnd w:id="2"/>
    </w:p>
    <w:p>
      <w:pPr>
        <w:outlineLvl w:val="1"/>
        <w:rPr>
          <w:rFonts w:ascii="方正小标宋_GBK" w:eastAsia="方正小标宋_GBK" w:cs="Times New Roman"/>
          <w:sz w:val="32"/>
        </w:rPr>
      </w:pPr>
      <w:r>
        <w:t>永清县</w:t>
      </w:r>
      <w:r>
        <w:rPr>
          <w:rFonts w:hint="eastAsia"/>
          <w:lang w:val="en-US" w:eastAsia="zh-CN"/>
        </w:rPr>
        <w:t>里澜城镇</w:t>
      </w:r>
      <w:r>
        <w:rPr>
          <w:rFonts w:hint="eastAsia"/>
          <w:lang w:eastAsia="zh-CN"/>
        </w:rPr>
        <w:t>人民政府</w:t>
      </w:r>
      <w:r>
        <w:t xml:space="preserve">                                                                                                     单位：万元</w:t>
      </w:r>
    </w:p>
    <w:tbl>
      <w:tblPr>
        <w:tblStyle w:val="8"/>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061"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712" w:type="dxa"/>
            <w:gridSpan w:val="8"/>
            <w:vAlign w:val="center"/>
          </w:tcPr>
          <w:p>
            <w:pPr>
              <w:pStyle w:val="12"/>
            </w:pPr>
            <w:r>
              <w:t>政府采购金额（当年部门预算安排资金）</w:t>
            </w:r>
          </w:p>
        </w:tc>
        <w:tc>
          <w:tcPr>
            <w:tcW w:w="964" w:type="dxa"/>
            <w:vMerge w:val="restart"/>
            <w:vAlign w:val="center"/>
          </w:tcPr>
          <w:p>
            <w:pPr>
              <w:pStyle w:val="12"/>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pPr>
              <w:pStyle w:val="12"/>
            </w:pPr>
            <w:r>
              <w:t>项目名称</w:t>
            </w:r>
          </w:p>
        </w:tc>
        <w:tc>
          <w:tcPr>
            <w:tcW w:w="964" w:type="dxa"/>
            <w:vAlign w:val="center"/>
          </w:tcPr>
          <w:p>
            <w:pPr>
              <w:pStyle w:val="12"/>
            </w:pPr>
            <w:r>
              <w:t>预算    资金</w:t>
            </w:r>
          </w:p>
        </w:tc>
        <w:tc>
          <w:tcPr>
            <w:tcW w:w="1134" w:type="dxa"/>
            <w:vMerge w:val="continue"/>
            <w:vAlign w:val="top"/>
          </w:tcPr>
          <w:p/>
        </w:tc>
        <w:tc>
          <w:tcPr>
            <w:tcW w:w="1134" w:type="dxa"/>
            <w:vMerge w:val="continue"/>
            <w:vAlign w:val="top"/>
          </w:tcPr>
          <w:p/>
        </w:tc>
        <w:tc>
          <w:tcPr>
            <w:tcW w:w="709" w:type="dxa"/>
            <w:vMerge w:val="continue"/>
            <w:vAlign w:val="top"/>
          </w:tcPr>
          <w:p/>
        </w:tc>
        <w:tc>
          <w:tcPr>
            <w:tcW w:w="850" w:type="dxa"/>
            <w:vMerge w:val="continue"/>
            <w:vAlign w:val="top"/>
          </w:tcPr>
          <w:p/>
        </w:tc>
        <w:tc>
          <w:tcPr>
            <w:tcW w:w="850" w:type="dxa"/>
            <w:vMerge w:val="continue"/>
            <w:vAlign w:val="top"/>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财政拨    款结转</w:t>
            </w:r>
          </w:p>
        </w:tc>
        <w:tc>
          <w:tcPr>
            <w:tcW w:w="964" w:type="dxa"/>
            <w:vAlign w:val="center"/>
          </w:tcPr>
          <w:p>
            <w:pPr>
              <w:pStyle w:val="12"/>
            </w:pPr>
            <w:r>
              <w:t>非财政    拨款结    转结余</w:t>
            </w:r>
          </w:p>
        </w:tc>
        <w:tc>
          <w:tcPr>
            <w:tcW w:w="964" w:type="dxa"/>
            <w:vMerge w:val="continue"/>
            <w:vAlign w:val="top"/>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16"/>
            </w:pPr>
            <w:r>
              <w:t>合  计</w:t>
            </w: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16"/>
            </w:pPr>
          </w:p>
        </w:tc>
        <w:tc>
          <w:tcPr>
            <w:tcW w:w="964" w:type="dxa"/>
            <w:vAlign w:val="center"/>
          </w:tcPr>
          <w:p>
            <w:pPr>
              <w:pStyle w:val="17"/>
            </w:pPr>
          </w:p>
        </w:tc>
        <w:tc>
          <w:tcPr>
            <w:tcW w:w="1134" w:type="dxa"/>
            <w:vAlign w:val="center"/>
          </w:tcPr>
          <w:p>
            <w:pPr>
              <w:pStyle w:val="18"/>
            </w:pPr>
          </w:p>
        </w:tc>
        <w:tc>
          <w:tcPr>
            <w:tcW w:w="1134" w:type="dxa"/>
            <w:vAlign w:val="center"/>
          </w:tcPr>
          <w:p>
            <w:pPr>
              <w:pStyle w:val="18"/>
            </w:pPr>
          </w:p>
        </w:tc>
        <w:tc>
          <w:tcPr>
            <w:tcW w:w="709" w:type="dxa"/>
            <w:vAlign w:val="center"/>
          </w:tcPr>
          <w:p>
            <w:pPr>
              <w:pStyle w:val="16"/>
            </w:pPr>
          </w:p>
        </w:tc>
        <w:tc>
          <w:tcPr>
            <w:tcW w:w="850" w:type="dxa"/>
            <w:vAlign w:val="center"/>
          </w:tcPr>
          <w:p>
            <w:pPr>
              <w:pStyle w:val="17"/>
            </w:pPr>
          </w:p>
        </w:tc>
        <w:tc>
          <w:tcPr>
            <w:tcW w:w="850"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c>
          <w:tcPr>
            <w:tcW w:w="964"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line="500" w:lineRule="exact"/>
        <w:ind w:firstLine="420"/>
        <w:rPr>
          <w:rFonts w:ascii="方正仿宋_GBK" w:hAnsi="方正仿宋_GBK" w:eastAsia="方正仿宋_GBK" w:cs="方正仿宋_GBK"/>
          <w:color w:val="000000"/>
        </w:rPr>
      </w:pPr>
      <w:r>
        <w:rPr>
          <w:rFonts w:ascii="方正仿宋_GBK" w:hAnsi="方正仿宋_GBK" w:eastAsia="方正仿宋_GBK" w:cs="方正仿宋_GBK"/>
          <w:color w:val="000000"/>
        </w:rPr>
        <w:t>注：同一采购目录序号的物品，其单价会因配置规格不同而变动，均符合资产配置标准。涉密采购事项按照相关规定执行。</w:t>
      </w:r>
    </w:p>
    <w:p>
      <w:pPr>
        <w:spacing w:line="500" w:lineRule="exact"/>
        <w:ind w:firstLine="420"/>
        <w:rPr>
          <w:rFonts w:hint="default" w:ascii="方正仿宋_GBK" w:hAnsi="方正仿宋_GBK" w:eastAsia="方正仿宋_GBK" w:cs="方正仿宋_GBK"/>
          <w:color w:val="000000"/>
          <w:lang w:val="en-US" w:eastAsia="zh-CN"/>
        </w:rPr>
      </w:pPr>
      <w:r>
        <w:rPr>
          <w:rFonts w:hint="eastAsia" w:ascii="方正仿宋_GBK" w:hAnsi="方正仿宋_GBK" w:eastAsia="方正仿宋_GBK" w:cs="方正仿宋_GBK"/>
          <w:color w:val="000000"/>
          <w:lang w:val="en-US" w:eastAsia="zh-CN"/>
        </w:rPr>
        <w:t>注：无政府采购预算，空表列示</w:t>
      </w:r>
    </w:p>
    <w:p>
      <w:pPr>
        <w:spacing w:line="500" w:lineRule="exact"/>
        <w:ind w:firstLine="420"/>
        <w:rPr>
          <w:rFonts w:ascii="Times New Roman" w:hAnsi="Times New Roman" w:eastAsia="黑体" w:cs="Times New Roman"/>
          <w:sz w:val="32"/>
          <w:szCs w:val="32"/>
        </w:rPr>
      </w:pPr>
      <w:r>
        <w:rPr>
          <w:rFonts w:ascii="Times New Roman" w:hAnsi="黑体" w:eastAsia="黑体" w:cs="Times New Roman"/>
          <w:sz w:val="32"/>
          <w:szCs w:val="32"/>
        </w:rPr>
        <w:t>七、国有资产信息</w:t>
      </w:r>
    </w:p>
    <w:p>
      <w:pPr>
        <w:spacing w:line="584" w:lineRule="exact"/>
        <w:ind w:firstLine="640" w:firstLineChars="200"/>
        <w:outlineLvl w:val="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永清县里澜城镇人民政府上年末固定资产金额为1515.6万元（详见下表），本年度我部门拟购置固定资产共计0万元。</w:t>
      </w:r>
    </w:p>
    <w:p>
      <w:pPr>
        <w:spacing w:line="584" w:lineRule="exact"/>
        <w:ind w:firstLine="640"/>
        <w:rPr>
          <w:rFonts w:ascii="Times New Roman" w:hAnsi="Times New Roman" w:eastAsia="仿宋_GB2312" w:cs="Times New Roman"/>
          <w:sz w:val="32"/>
          <w:szCs w:val="32"/>
        </w:rPr>
      </w:pPr>
    </w:p>
    <w:tbl>
      <w:tblPr>
        <w:tblStyle w:val="8"/>
        <w:tblW w:w="134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24"/>
        <w:gridCol w:w="3155"/>
        <w:gridCol w:w="5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永清县县直部门固定资产占用情况表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lang w:val="en-US" w:eastAsia="zh-CN"/>
              </w:rPr>
              <w:t>里澜城镇</w:t>
            </w:r>
            <w:r>
              <w:rPr>
                <w:rFonts w:hint="eastAsia" w:ascii="Times New Roman" w:hAnsi="Times New Roman" w:eastAsia="仿宋_GB2312" w:cs="Times New Roman"/>
                <w:kern w:val="0"/>
                <w:sz w:val="22"/>
                <w:lang w:eastAsia="zh-CN"/>
              </w:rPr>
              <w:t>人民政府</w:t>
            </w:r>
          </w:p>
        </w:tc>
        <w:tc>
          <w:tcPr>
            <w:tcW w:w="5103" w:type="dxa"/>
            <w:tcBorders>
              <w:top w:val="nil"/>
              <w:left w:val="nil"/>
              <w:bottom w:val="nil"/>
              <w:right w:val="nil"/>
            </w:tcBorders>
            <w:vAlign w:val="center"/>
          </w:tcPr>
          <w:p>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w:t>
            </w:r>
            <w:r>
              <w:rPr>
                <w:rFonts w:ascii="Times New Roman" w:hAnsi="Times New Roman" w:eastAsia="仿宋_GB2312" w:cs="Times New Roman"/>
                <w:kern w:val="0"/>
                <w:sz w:val="22"/>
              </w:rPr>
              <w:t>2年12月31日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vAlign w:val="center"/>
          </w:tcPr>
          <w:p>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1515.6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9776</w:t>
            </w:r>
          </w:p>
        </w:tc>
        <w:tc>
          <w:tcPr>
            <w:tcW w:w="5103"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1171.77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9776</w:t>
            </w:r>
          </w:p>
        </w:tc>
        <w:tc>
          <w:tcPr>
            <w:tcW w:w="5103"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1171.77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vAlign w:val="center"/>
          </w:tcPr>
          <w:p>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4</w:t>
            </w:r>
          </w:p>
        </w:tc>
        <w:tc>
          <w:tcPr>
            <w:tcW w:w="5103"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90.6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vAlign w:val="center"/>
          </w:tcPr>
          <w:p>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vAlign w:val="center"/>
          </w:tcPr>
          <w:p>
            <w:pPr>
              <w:spacing w:line="584" w:lineRule="exact"/>
              <w:jc w:val="center"/>
              <w:rPr>
                <w:rFonts w:ascii="Times New Roman" w:hAnsi="Times New Roman" w:eastAsia="仿宋_GB2312" w:cs="Times New Roman"/>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vAlign w:val="center"/>
          </w:tcPr>
          <w:p>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vAlign w:val="center"/>
          </w:tcPr>
          <w:p>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253.23</w:t>
            </w:r>
          </w:p>
        </w:tc>
      </w:tr>
    </w:tbl>
    <w:p>
      <w:pPr>
        <w:autoSpaceDE w:val="0"/>
        <w:autoSpaceDN w:val="0"/>
        <w:adjustRightInd w:val="0"/>
        <w:spacing w:line="584" w:lineRule="exact"/>
        <w:ind w:firstLine="640" w:firstLineChars="200"/>
        <w:jc w:val="left"/>
        <w:rPr>
          <w:rFonts w:ascii="Times New Roman" w:hAnsi="黑体" w:eastAsia="黑体" w:cs="Times New Roman"/>
          <w:sz w:val="32"/>
          <w:szCs w:val="32"/>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财政当年拨付的资金。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财政预算管理的“三公”经费，是指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p>
      <w:pPr>
        <w:spacing w:line="584" w:lineRule="exact"/>
        <w:ind w:firstLine="640" w:firstLineChars="200"/>
        <w:rPr>
          <w:rFonts w:ascii="Times New Roman" w:hAnsi="Times New Roman" w:eastAsia="仿宋_GB2312" w:cs="Times New Roman"/>
          <w:sz w:val="32"/>
          <w:szCs w:val="32"/>
        </w:rPr>
      </w:pPr>
    </w:p>
    <w:p>
      <w:pPr>
        <w:spacing w:line="584" w:lineRule="exact"/>
        <w:ind w:firstLine="643" w:firstLineChars="200"/>
        <w:rPr>
          <w:rFonts w:ascii="Times New Roman" w:hAnsi="Times New Roman" w:eastAsia="仿宋_GB2312" w:cs="Times New Roman"/>
          <w:b/>
          <w:color w:val="FF0000"/>
          <w:sz w:val="32"/>
          <w:szCs w:val="32"/>
        </w:rPr>
      </w:pPr>
    </w:p>
    <w:sectPr>
      <w:footerReference r:id="rId3" w:type="default"/>
      <w:pgSz w:w="16838" w:h="11906" w:orient="landscape"/>
      <w:pgMar w:top="1800" w:right="1440" w:bottom="1800"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书宋_GBK">
    <w:altName w:val="微软雅黑"/>
    <w:panose1 w:val="00000000000000000000"/>
    <w:charset w:val="86"/>
    <w:family w:val="auto"/>
    <w:pitch w:val="default"/>
    <w:sig w:usb0="00000000" w:usb1="00000000" w:usb2="00000000"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 w:name="方正黑体_GBK">
    <w:altName w:val="宋体"/>
    <w:panose1 w:val="00000000000000000000"/>
    <w:charset w:val="86"/>
    <w:family w:val="auto"/>
    <w:pitch w:val="default"/>
    <w:sig w:usb0="00000000" w:usb1="00000000" w:usb2="00000000" w:usb3="00000000" w:csb0="00040001" w:csb1="00000000"/>
  </w:font>
  <w:font w:name="方正小标宋_GBK">
    <w:altName w:val="微软雅黑"/>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C3CEC3"/>
    <w:multiLevelType w:val="singleLevel"/>
    <w:tmpl w:val="ADC3CEC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wYjcxODNiNDFlYzllZjBiMjU0Mjg4ZjY5ZjZhMGM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84961"/>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3A"/>
    <w:rsid w:val="002C62BC"/>
    <w:rsid w:val="002D3C5F"/>
    <w:rsid w:val="002E0EB8"/>
    <w:rsid w:val="002E4C60"/>
    <w:rsid w:val="002F3A53"/>
    <w:rsid w:val="002F3E58"/>
    <w:rsid w:val="0030542C"/>
    <w:rsid w:val="003075D4"/>
    <w:rsid w:val="00311B7A"/>
    <w:rsid w:val="003126B6"/>
    <w:rsid w:val="00313D9C"/>
    <w:rsid w:val="00314231"/>
    <w:rsid w:val="00325215"/>
    <w:rsid w:val="0033339C"/>
    <w:rsid w:val="0036386B"/>
    <w:rsid w:val="00371FDA"/>
    <w:rsid w:val="0039520A"/>
    <w:rsid w:val="003B6D37"/>
    <w:rsid w:val="003D2708"/>
    <w:rsid w:val="003D2C2F"/>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C7381"/>
    <w:rsid w:val="006D0030"/>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2763"/>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76FFF"/>
    <w:rsid w:val="00881692"/>
    <w:rsid w:val="008858FF"/>
    <w:rsid w:val="0089075B"/>
    <w:rsid w:val="008A62DA"/>
    <w:rsid w:val="008A6576"/>
    <w:rsid w:val="008A6D3B"/>
    <w:rsid w:val="008B08D9"/>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5BB"/>
    <w:rsid w:val="00954B2C"/>
    <w:rsid w:val="0096626E"/>
    <w:rsid w:val="00966C5C"/>
    <w:rsid w:val="00973104"/>
    <w:rsid w:val="009750F8"/>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4188"/>
    <w:rsid w:val="00CD52C7"/>
    <w:rsid w:val="00CE01BA"/>
    <w:rsid w:val="00CE143B"/>
    <w:rsid w:val="00CE3A91"/>
    <w:rsid w:val="00D00653"/>
    <w:rsid w:val="00D07DBA"/>
    <w:rsid w:val="00D23C16"/>
    <w:rsid w:val="00D27003"/>
    <w:rsid w:val="00D270FD"/>
    <w:rsid w:val="00D324AD"/>
    <w:rsid w:val="00D56115"/>
    <w:rsid w:val="00D86ED8"/>
    <w:rsid w:val="00D9012D"/>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96310"/>
    <w:rsid w:val="00EB53A2"/>
    <w:rsid w:val="00EB7A80"/>
    <w:rsid w:val="00EC17CA"/>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2F718AF"/>
    <w:rsid w:val="03D97BAB"/>
    <w:rsid w:val="04076940"/>
    <w:rsid w:val="0AA12D83"/>
    <w:rsid w:val="0BF56832"/>
    <w:rsid w:val="0D1621FD"/>
    <w:rsid w:val="0EE743E3"/>
    <w:rsid w:val="11A006E2"/>
    <w:rsid w:val="11E23663"/>
    <w:rsid w:val="11E5240E"/>
    <w:rsid w:val="1A8D2D14"/>
    <w:rsid w:val="1B454C8C"/>
    <w:rsid w:val="1DDC5A90"/>
    <w:rsid w:val="223A5B4F"/>
    <w:rsid w:val="22551EEA"/>
    <w:rsid w:val="22A75E85"/>
    <w:rsid w:val="23077DD9"/>
    <w:rsid w:val="2D273896"/>
    <w:rsid w:val="2ED916F2"/>
    <w:rsid w:val="310B5E3E"/>
    <w:rsid w:val="31B905E8"/>
    <w:rsid w:val="34A11D39"/>
    <w:rsid w:val="3DFE033C"/>
    <w:rsid w:val="40936B2D"/>
    <w:rsid w:val="45137FE1"/>
    <w:rsid w:val="45C269AF"/>
    <w:rsid w:val="484A62AE"/>
    <w:rsid w:val="499F5094"/>
    <w:rsid w:val="4A6D528E"/>
    <w:rsid w:val="4D984762"/>
    <w:rsid w:val="53700192"/>
    <w:rsid w:val="53A40EB9"/>
    <w:rsid w:val="553D135E"/>
    <w:rsid w:val="58C13A19"/>
    <w:rsid w:val="593B4656"/>
    <w:rsid w:val="5C0D6DC4"/>
    <w:rsid w:val="5C21288B"/>
    <w:rsid w:val="5D5712E8"/>
    <w:rsid w:val="648057FB"/>
    <w:rsid w:val="6508537F"/>
    <w:rsid w:val="65FD5A1D"/>
    <w:rsid w:val="67AC2450"/>
    <w:rsid w:val="6A9D284E"/>
    <w:rsid w:val="6AD0108F"/>
    <w:rsid w:val="6E490B5D"/>
    <w:rsid w:val="6F6B31F1"/>
    <w:rsid w:val="760434DE"/>
    <w:rsid w:val="7E5971A9"/>
    <w:rsid w:val="7F3B3F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alloon Text"/>
    <w:basedOn w:val="1"/>
    <w:link w:val="23"/>
    <w:unhideWhenUsed/>
    <w:qFormat/>
    <w:uiPriority w:val="99"/>
    <w:rPr>
      <w:sz w:val="18"/>
      <w:szCs w:val="18"/>
    </w:rPr>
  </w:style>
  <w:style w:type="paragraph" w:styleId="3">
    <w:name w:val="footer"/>
    <w:basedOn w:val="1"/>
    <w:link w:val="2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2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24"/>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footnote reference"/>
    <w:unhideWhenUsed/>
    <w:qFormat/>
    <w:uiPriority w:val="99"/>
    <w:rPr>
      <w:vertAlign w:val="superscript"/>
    </w:rPr>
  </w:style>
  <w:style w:type="paragraph" w:customStyle="1" w:styleId="11">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2">
    <w:name w:val="单元格样式1"/>
    <w:basedOn w:val="1"/>
    <w:qFormat/>
    <w:uiPriority w:val="0"/>
    <w:pPr>
      <w:widowControl/>
      <w:jc w:val="center"/>
    </w:pPr>
    <w:rPr>
      <w:rFonts w:ascii="方正书宋_GBK" w:hAnsi="方正书宋_GBK" w:eastAsia="方正书宋_GBK" w:cs="方正书宋_GBK"/>
      <w:b/>
      <w:kern w:val="0"/>
      <w:szCs w:val="24"/>
    </w:rPr>
  </w:style>
  <w:style w:type="paragraph" w:customStyle="1" w:styleId="13">
    <w:name w:val="单元格样式4"/>
    <w:basedOn w:val="1"/>
    <w:qFormat/>
    <w:uiPriority w:val="0"/>
    <w:pPr>
      <w:widowControl/>
      <w:jc w:val="right"/>
    </w:pPr>
    <w:rPr>
      <w:rFonts w:ascii="方正书宋_GBK" w:hAnsi="方正书宋_GBK" w:eastAsia="方正书宋_GBK" w:cs="方正书宋_GBK"/>
      <w:kern w:val="0"/>
      <w:szCs w:val="24"/>
    </w:rPr>
  </w:style>
  <w:style w:type="paragraph" w:customStyle="1" w:styleId="14">
    <w:name w:val="单元格样式2"/>
    <w:basedOn w:val="1"/>
    <w:qFormat/>
    <w:uiPriority w:val="0"/>
    <w:pPr>
      <w:widowControl/>
      <w:jc w:val="left"/>
    </w:pPr>
    <w:rPr>
      <w:rFonts w:ascii="方正书宋_GBK" w:hAnsi="方正书宋_GBK" w:eastAsia="方正书宋_GBK" w:cs="方正书宋_GBK"/>
      <w:kern w:val="0"/>
      <w:szCs w:val="24"/>
    </w:rPr>
  </w:style>
  <w:style w:type="paragraph" w:customStyle="1" w:styleId="15">
    <w:name w:val="单元格样式3"/>
    <w:basedOn w:val="1"/>
    <w:qFormat/>
    <w:uiPriority w:val="0"/>
    <w:pPr>
      <w:widowControl/>
      <w:jc w:val="center"/>
    </w:pPr>
    <w:rPr>
      <w:rFonts w:ascii="方正书宋_GBK" w:hAnsi="方正书宋_GBK" w:eastAsia="方正书宋_GBK" w:cs="方正书宋_GBK"/>
      <w:kern w:val="0"/>
      <w:szCs w:val="24"/>
    </w:rPr>
  </w:style>
  <w:style w:type="paragraph" w:customStyle="1" w:styleId="16">
    <w:name w:val="单元格样式6"/>
    <w:basedOn w:val="1"/>
    <w:qFormat/>
    <w:uiPriority w:val="0"/>
    <w:pPr>
      <w:widowControl/>
      <w:jc w:val="center"/>
    </w:pPr>
    <w:rPr>
      <w:rFonts w:ascii="方正书宋_GBK" w:hAnsi="方正书宋_GBK" w:eastAsia="方正书宋_GBK" w:cs="方正书宋_GBK"/>
      <w:b/>
      <w:kern w:val="0"/>
      <w:szCs w:val="24"/>
    </w:rPr>
  </w:style>
  <w:style w:type="paragraph" w:customStyle="1" w:styleId="17">
    <w:name w:val="单元格样式7"/>
    <w:basedOn w:val="1"/>
    <w:qFormat/>
    <w:uiPriority w:val="0"/>
    <w:pPr>
      <w:widowControl/>
      <w:jc w:val="right"/>
    </w:pPr>
    <w:rPr>
      <w:rFonts w:ascii="方正书宋_GBK" w:hAnsi="方正书宋_GBK" w:eastAsia="方正书宋_GBK" w:cs="方正书宋_GBK"/>
      <w:b/>
      <w:kern w:val="0"/>
      <w:szCs w:val="24"/>
    </w:rPr>
  </w:style>
  <w:style w:type="paragraph" w:customStyle="1" w:styleId="18">
    <w:name w:val="单元格样式5"/>
    <w:basedOn w:val="1"/>
    <w:qFormat/>
    <w:uiPriority w:val="0"/>
    <w:pPr>
      <w:widowControl/>
      <w:jc w:val="left"/>
    </w:pPr>
    <w:rPr>
      <w:rFonts w:ascii="方正书宋_GBK" w:hAnsi="方正书宋_GBK" w:eastAsia="方正书宋_GBK" w:cs="方正书宋_GBK"/>
      <w:b/>
      <w:kern w:val="0"/>
      <w:szCs w:val="24"/>
    </w:rPr>
  </w:style>
  <w:style w:type="paragraph" w:customStyle="1" w:styleId="19">
    <w:name w:val="插入文本样式-插入职责分类绩效目标文件"/>
    <w:basedOn w:val="1"/>
    <w:qFormat/>
    <w:uiPriority w:val="0"/>
    <w:pPr>
      <w:widowControl/>
      <w:spacing w:line="500" w:lineRule="exact"/>
      <w:ind w:firstLine="560"/>
      <w:jc w:val="left"/>
    </w:pPr>
    <w:rPr>
      <w:rFonts w:ascii="Times New Roman" w:hAnsi="Times New Roman" w:eastAsia="方正仿宋_GBK"/>
      <w:kern w:val="0"/>
      <w:sz w:val="28"/>
      <w:szCs w:val="24"/>
    </w:rPr>
  </w:style>
  <w:style w:type="paragraph" w:customStyle="1" w:styleId="20">
    <w:name w:val="插入文本样式-插入实现年度发展规划目标的保障措施文件"/>
    <w:basedOn w:val="1"/>
    <w:qFormat/>
    <w:uiPriority w:val="0"/>
    <w:pPr>
      <w:widowControl/>
      <w:spacing w:line="500" w:lineRule="exact"/>
      <w:ind w:firstLine="560"/>
      <w:jc w:val="left"/>
    </w:pPr>
    <w:rPr>
      <w:rFonts w:ascii="Times New Roman" w:hAnsi="Times New Roman" w:eastAsia="方正仿宋_GBK"/>
      <w:kern w:val="0"/>
      <w:sz w:val="28"/>
      <w:szCs w:val="24"/>
    </w:rPr>
  </w:style>
  <w:style w:type="character" w:customStyle="1" w:styleId="21">
    <w:name w:val="页眉 字符"/>
    <w:basedOn w:val="9"/>
    <w:link w:val="4"/>
    <w:qFormat/>
    <w:uiPriority w:val="99"/>
    <w:rPr>
      <w:rFonts w:ascii="Times New Roman" w:hAnsi="Times New Roman" w:eastAsia="宋体" w:cs="Times New Roman"/>
      <w:sz w:val="18"/>
      <w:szCs w:val="18"/>
    </w:rPr>
  </w:style>
  <w:style w:type="character" w:customStyle="1" w:styleId="22">
    <w:name w:val="页脚 字符"/>
    <w:basedOn w:val="9"/>
    <w:link w:val="3"/>
    <w:qFormat/>
    <w:uiPriority w:val="99"/>
    <w:rPr>
      <w:rFonts w:ascii="Times New Roman" w:hAnsi="Times New Roman" w:eastAsia="宋体" w:cs="Times New Roman"/>
      <w:sz w:val="18"/>
      <w:szCs w:val="18"/>
    </w:rPr>
  </w:style>
  <w:style w:type="character" w:customStyle="1" w:styleId="23">
    <w:name w:val="批注框文本 字符"/>
    <w:basedOn w:val="9"/>
    <w:link w:val="2"/>
    <w:semiHidden/>
    <w:qFormat/>
    <w:uiPriority w:val="99"/>
    <w:rPr>
      <w:sz w:val="18"/>
      <w:szCs w:val="18"/>
    </w:rPr>
  </w:style>
  <w:style w:type="character" w:customStyle="1" w:styleId="24">
    <w:name w:val="脚注文本 字符"/>
    <w:basedOn w:val="9"/>
    <w:link w:val="6"/>
    <w:semiHidden/>
    <w:qFormat/>
    <w:uiPriority w:val="99"/>
    <w:rPr>
      <w:rFonts w:ascii="Calibri" w:hAnsi="Calibri" w:eastAsia="宋体" w:cs="Times New Roman"/>
      <w:sz w:val="18"/>
      <w:szCs w:val="18"/>
    </w:rPr>
  </w:style>
  <w:style w:type="paragraph" w:customStyle="1" w:styleId="25">
    <w:name w:val="插入文本样式-插入总体目标文件"/>
    <w:basedOn w:val="1"/>
    <w:qFormat/>
    <w:uiPriority w:val="0"/>
    <w:pPr>
      <w:spacing w:line="500" w:lineRule="exact"/>
      <w:ind w:firstLine="560"/>
    </w:pPr>
    <w:rPr>
      <w:rFonts w:eastAsia="方正仿宋_GBK"/>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28</Pages>
  <Words>11088</Words>
  <Characters>11514</Characters>
  <Lines>24</Lines>
  <Paragraphs>6</Paragraphs>
  <TotalTime>2</TotalTime>
  <ScaleCrop>false</ScaleCrop>
  <LinksUpToDate>false</LinksUpToDate>
  <CharactersWithSpaces>12022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2023-02-07T08:07:00Z</dcterms:created>
  <dc:creator>guest</dc:creator>
  <cp:lastModifiedBy>lenovo399</cp:lastModifiedBy>
  <cp:lastPrinted>2022-01-26T02:42:00Z</cp:lastPrinted>
  <dcterms:modified xsi:type="dcterms:W3CDTF">2024-10-31T02:39:22Z</dcterms:modified>
  <dc:title>永清县三圣口乡人民政府2023年部门预算信息公开情况说明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585DF40B7DCB4BD6A0BB48EB64304553_13</vt:lpwstr>
  </property>
</Properties>
</file>