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F04204">
      <w:pPr>
        <w:spacing w:line="584" w:lineRule="exact"/>
        <w:ind w:firstLine="880" w:firstLineChars="200"/>
        <w:jc w:val="center"/>
        <w:rPr>
          <w:rFonts w:ascii="Times New Roman" w:hAnsi="Times New Roman" w:eastAsia="仿宋_GB2312" w:cs="Times New Roman"/>
          <w:sz w:val="44"/>
          <w:szCs w:val="44"/>
        </w:rPr>
      </w:pPr>
    </w:p>
    <w:p w14:paraId="4673F03C">
      <w:pPr>
        <w:spacing w:line="584" w:lineRule="exact"/>
        <w:ind w:firstLine="880" w:firstLineChars="200"/>
        <w:jc w:val="center"/>
        <w:rPr>
          <w:rFonts w:ascii="Times New Roman" w:hAnsi="Times New Roman" w:eastAsia="方正小标宋简体" w:cs="Times New Roman"/>
          <w:sz w:val="44"/>
          <w:szCs w:val="44"/>
        </w:rPr>
      </w:pPr>
      <w:bookmarkStart w:id="2" w:name="_GoBack"/>
      <w:r>
        <w:rPr>
          <w:rFonts w:hint="eastAsia" w:ascii="Times New Roman" w:hAnsi="Times New Roman" w:eastAsia="方正小标宋简体" w:cs="Times New Roman"/>
          <w:sz w:val="44"/>
          <w:szCs w:val="44"/>
        </w:rPr>
        <w:t>永清县</w:t>
      </w:r>
      <w:r>
        <w:rPr>
          <w:rFonts w:hint="eastAsia" w:ascii="Times New Roman" w:hAnsi="Times New Roman" w:eastAsia="方正小标宋简体" w:cs="Times New Roman"/>
          <w:sz w:val="44"/>
          <w:szCs w:val="44"/>
          <w:lang w:val="en-US" w:eastAsia="zh-CN"/>
        </w:rPr>
        <w:t>审计局</w:t>
      </w:r>
      <w:r>
        <w:rPr>
          <w:rFonts w:ascii="Times New Roman" w:hAnsi="Times New Roman" w:eastAsia="方正小标宋简体" w:cs="Times New Roman"/>
          <w:sz w:val="44"/>
          <w:szCs w:val="44"/>
        </w:rPr>
        <w:t>20</w:t>
      </w:r>
      <w:r>
        <w:rPr>
          <w:rFonts w:hint="eastAsia" w:ascii="Times New Roman" w:hAnsi="Times New Roman" w:eastAsia="方正小标宋简体" w:cs="Times New Roman"/>
          <w:sz w:val="44"/>
          <w:szCs w:val="44"/>
        </w:rPr>
        <w:t>21</w:t>
      </w:r>
      <w:r>
        <w:rPr>
          <w:rFonts w:ascii="Times New Roman" w:hAnsi="Times New Roman" w:eastAsia="方正小标宋简体" w:cs="Times New Roman"/>
          <w:sz w:val="44"/>
          <w:szCs w:val="44"/>
        </w:rPr>
        <w:t>年部门预算信息公开</w:t>
      </w:r>
      <w:r>
        <w:rPr>
          <w:rFonts w:hint="eastAsia" w:ascii="Times New Roman" w:hAnsi="Times New Roman" w:eastAsia="方正小标宋简体" w:cs="Times New Roman"/>
          <w:sz w:val="44"/>
          <w:szCs w:val="44"/>
        </w:rPr>
        <w:t>情况说明</w:t>
      </w:r>
    </w:p>
    <w:bookmarkEnd w:id="2"/>
    <w:p w14:paraId="5FA250C3">
      <w:pPr>
        <w:spacing w:line="584" w:lineRule="exact"/>
        <w:ind w:firstLine="880" w:firstLineChars="200"/>
        <w:jc w:val="center"/>
        <w:rPr>
          <w:rFonts w:ascii="Times New Roman" w:hAnsi="Times New Roman" w:eastAsia="仿宋_GB2312" w:cs="Times New Roman"/>
          <w:sz w:val="44"/>
          <w:szCs w:val="44"/>
        </w:rPr>
      </w:pPr>
    </w:p>
    <w:p w14:paraId="625D2601">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w:t>
      </w:r>
      <w:r>
        <w:rPr>
          <w:rFonts w:hint="eastAsia" w:ascii="Times New Roman" w:hAnsi="Times New Roman" w:eastAsia="仿宋_GB2312" w:cs="Times New Roman"/>
          <w:sz w:val="32"/>
          <w:szCs w:val="32"/>
          <w:lang w:val="en-US" w:eastAsia="zh-CN"/>
        </w:rPr>
        <w:t>中华人民共和国</w:t>
      </w:r>
      <w:r>
        <w:rPr>
          <w:rFonts w:ascii="Times New Roman" w:hAnsi="Times New Roman" w:eastAsia="仿宋_GB2312" w:cs="Times New Roman"/>
          <w:sz w:val="32"/>
          <w:szCs w:val="32"/>
        </w:rPr>
        <w:t>预算法》、《地方预决算公开操作规程》和《河北省省级预算公开办法》规定，现将永清县</w:t>
      </w:r>
      <w:r>
        <w:rPr>
          <w:rFonts w:hint="eastAsia" w:ascii="Times New Roman" w:hAnsi="Times New Roman" w:eastAsia="仿宋_GB2312" w:cs="Times New Roman"/>
          <w:sz w:val="32"/>
          <w:szCs w:val="32"/>
          <w:lang w:val="en-US" w:eastAsia="zh-CN"/>
        </w:rPr>
        <w:t>审计局</w:t>
      </w:r>
      <w:r>
        <w:rPr>
          <w:rFonts w:ascii="Times New Roman" w:hAnsi="Times New Roman" w:eastAsia="仿宋_GB2312" w:cs="Times New Roman"/>
          <w:sz w:val="32"/>
          <w:szCs w:val="32"/>
        </w:rPr>
        <w:t>2021年部门预算公开如下：</w:t>
      </w:r>
    </w:p>
    <w:p w14:paraId="1F253102">
      <w:p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一、部门职责及机构设置情况</w:t>
      </w:r>
    </w:p>
    <w:p w14:paraId="7E3DF5D8">
      <w:pPr>
        <w:spacing w:line="584"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部门职责：</w:t>
      </w:r>
    </w:p>
    <w:p w14:paraId="2A177F38">
      <w:pPr>
        <w:spacing w:line="584" w:lineRule="exact"/>
        <w:ind w:firstLine="66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根据《审计法》和《审计法实施细则》的有关规定，审计机关的职责是：</w:t>
      </w:r>
    </w:p>
    <w:p w14:paraId="7D1FCADE">
      <w:pPr>
        <w:spacing w:line="584" w:lineRule="exact"/>
        <w:ind w:firstLine="66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（一）对本级预算执行情况、县政府各部门的财政财务收支及预算外资金的管理使用情况进行审计监督；</w:t>
      </w:r>
    </w:p>
    <w:p w14:paraId="1AEFFE0A">
      <w:pPr>
        <w:spacing w:line="584" w:lineRule="exact"/>
        <w:ind w:firstLine="66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（二）对国有企业的资产负债和损益情况进行审计监督；</w:t>
      </w:r>
    </w:p>
    <w:p w14:paraId="44DB15A8">
      <w:pPr>
        <w:spacing w:line="584" w:lineRule="exact"/>
        <w:ind w:firstLine="66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（三）对国家建设资金的管理使用情况，进行审计监督；</w:t>
      </w:r>
    </w:p>
    <w:p w14:paraId="2D1E12BC">
      <w:pPr>
        <w:spacing w:line="584" w:lineRule="exact"/>
        <w:ind w:firstLine="66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（四）对国有资产的保值增值进行审计监督；</w:t>
      </w:r>
    </w:p>
    <w:p w14:paraId="4CA73B14">
      <w:pPr>
        <w:spacing w:line="584" w:lineRule="exact"/>
        <w:ind w:firstLine="66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（五）对县级以下党政领导干部和国有企业及国有控股企业领导人员任期经济责任进行审计；</w:t>
      </w:r>
    </w:p>
    <w:p w14:paraId="386387A8">
      <w:pPr>
        <w:spacing w:line="584" w:lineRule="exact"/>
        <w:ind w:firstLine="66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（六）接受上级审计机关授权、委托的审计项目及本级政府交办的审计事项。</w:t>
      </w:r>
    </w:p>
    <w:p w14:paraId="50E3B890">
      <w:pPr>
        <w:autoSpaceDE w:val="0"/>
        <w:autoSpaceDN w:val="0"/>
        <w:adjustRightInd w:val="0"/>
        <w:spacing w:line="584" w:lineRule="exact"/>
        <w:ind w:firstLine="630" w:firstLineChars="19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机构设置：</w:t>
      </w:r>
    </w:p>
    <w:p w14:paraId="182334F4">
      <w:pPr>
        <w:spacing w:line="584" w:lineRule="exact"/>
        <w:jc w:val="center"/>
        <w:outlineLvl w:val="0"/>
        <w:rPr>
          <w:rFonts w:ascii="Times New Roman" w:hAnsi="Times New Roman" w:eastAsia="仿宋_GB2312" w:cs="Times New Roman"/>
          <w:b/>
          <w:sz w:val="32"/>
          <w:szCs w:val="24"/>
        </w:rPr>
      </w:pPr>
      <w:r>
        <w:rPr>
          <w:rFonts w:ascii="Times New Roman" w:hAnsi="Times New Roman" w:eastAsia="仿宋_GB2312" w:cs="Times New Roman"/>
          <w:b/>
          <w:sz w:val="32"/>
          <w:szCs w:val="24"/>
        </w:rPr>
        <w:t>部门机构设置情况</w:t>
      </w:r>
    </w:p>
    <w:tbl>
      <w:tblPr>
        <w:tblStyle w:val="8"/>
        <w:tblW w:w="975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43"/>
        <w:gridCol w:w="1134"/>
        <w:gridCol w:w="1276"/>
        <w:gridCol w:w="2902"/>
      </w:tblGrid>
      <w:tr w14:paraId="22D656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restart"/>
            <w:shd w:val="clear" w:color="auto" w:fill="auto"/>
            <w:vAlign w:val="center"/>
          </w:tcPr>
          <w:p w14:paraId="1B5F0311">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单位名称</w:t>
            </w:r>
          </w:p>
        </w:tc>
        <w:tc>
          <w:tcPr>
            <w:tcW w:w="1134" w:type="dxa"/>
            <w:vMerge w:val="restart"/>
            <w:shd w:val="clear" w:color="auto" w:fill="auto"/>
            <w:vAlign w:val="center"/>
          </w:tcPr>
          <w:p w14:paraId="1C020928">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单位性质</w:t>
            </w:r>
          </w:p>
        </w:tc>
        <w:tc>
          <w:tcPr>
            <w:tcW w:w="1276" w:type="dxa"/>
            <w:vMerge w:val="restart"/>
            <w:shd w:val="clear" w:color="auto" w:fill="auto"/>
            <w:vAlign w:val="center"/>
          </w:tcPr>
          <w:p w14:paraId="6A5DA07B">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单位规格</w:t>
            </w:r>
          </w:p>
        </w:tc>
        <w:tc>
          <w:tcPr>
            <w:tcW w:w="2902" w:type="dxa"/>
            <w:vMerge w:val="restart"/>
            <w:shd w:val="clear" w:color="auto" w:fill="auto"/>
            <w:vAlign w:val="center"/>
          </w:tcPr>
          <w:p w14:paraId="6E18D651">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经费保障形式</w:t>
            </w:r>
          </w:p>
        </w:tc>
      </w:tr>
      <w:tr w14:paraId="7A92E1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continue"/>
            <w:shd w:val="clear" w:color="auto" w:fill="auto"/>
            <w:vAlign w:val="center"/>
          </w:tcPr>
          <w:p w14:paraId="2B1E64A6"/>
        </w:tc>
        <w:tc>
          <w:tcPr>
            <w:tcW w:w="1134" w:type="dxa"/>
            <w:vMerge w:val="continue"/>
            <w:shd w:val="clear" w:color="auto" w:fill="auto"/>
            <w:vAlign w:val="center"/>
          </w:tcPr>
          <w:p w14:paraId="33C43BA4"/>
        </w:tc>
        <w:tc>
          <w:tcPr>
            <w:tcW w:w="1276" w:type="dxa"/>
            <w:vMerge w:val="continue"/>
            <w:shd w:val="clear" w:color="auto" w:fill="auto"/>
            <w:vAlign w:val="center"/>
          </w:tcPr>
          <w:p w14:paraId="6D529874"/>
        </w:tc>
        <w:tc>
          <w:tcPr>
            <w:tcW w:w="2902" w:type="dxa"/>
            <w:vMerge w:val="continue"/>
            <w:shd w:val="clear" w:color="auto" w:fill="auto"/>
            <w:vAlign w:val="center"/>
          </w:tcPr>
          <w:p w14:paraId="67FF30A6"/>
        </w:tc>
      </w:tr>
      <w:tr w14:paraId="305855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4B5EF52B">
            <w:pPr>
              <w:spacing w:line="584" w:lineRule="exact"/>
              <w:jc w:val="center"/>
              <w:rPr>
                <w:rFonts w:hint="default" w:ascii="Times New Roman" w:hAnsi="Times New Roman" w:eastAsia="仿宋_GB2312" w:cs="Times New Roman"/>
                <w:b/>
                <w:lang w:val="en-US" w:eastAsia="zh-CN"/>
              </w:rPr>
            </w:pPr>
            <w:r>
              <w:rPr>
                <w:rFonts w:hint="eastAsia" w:ascii="Times New Roman" w:hAnsi="Times New Roman" w:eastAsia="仿宋_GB2312" w:cs="Times New Roman"/>
                <w:b/>
                <w:lang w:val="en-US" w:eastAsia="zh-CN"/>
              </w:rPr>
              <w:t>永清县审计局</w:t>
            </w:r>
          </w:p>
        </w:tc>
        <w:tc>
          <w:tcPr>
            <w:tcW w:w="1134" w:type="dxa"/>
            <w:shd w:val="clear" w:color="auto" w:fill="auto"/>
            <w:vAlign w:val="center"/>
          </w:tcPr>
          <w:p w14:paraId="2155E340">
            <w:pPr>
              <w:spacing w:line="584" w:lineRule="exact"/>
              <w:jc w:val="center"/>
              <w:rPr>
                <w:rFonts w:hint="eastAsia" w:ascii="Times New Roman" w:hAnsi="Times New Roman" w:eastAsia="仿宋_GB2312" w:cs="Times New Roman"/>
                <w:b/>
                <w:lang w:val="en-US" w:eastAsia="zh-CN"/>
              </w:rPr>
            </w:pPr>
            <w:r>
              <w:rPr>
                <w:rFonts w:hint="eastAsia" w:ascii="Times New Roman" w:hAnsi="Times New Roman" w:eastAsia="仿宋_GB2312" w:cs="Times New Roman"/>
                <w:b/>
                <w:lang w:val="en-US" w:eastAsia="zh-CN"/>
              </w:rPr>
              <w:t>行政单位</w:t>
            </w:r>
          </w:p>
        </w:tc>
        <w:tc>
          <w:tcPr>
            <w:tcW w:w="1276" w:type="dxa"/>
            <w:shd w:val="clear" w:color="auto" w:fill="auto"/>
            <w:vAlign w:val="center"/>
          </w:tcPr>
          <w:p w14:paraId="3E855C1E">
            <w:pPr>
              <w:spacing w:line="584" w:lineRule="exact"/>
              <w:jc w:val="center"/>
              <w:rPr>
                <w:rFonts w:hint="eastAsia" w:ascii="Times New Roman" w:hAnsi="Times New Roman" w:eastAsia="仿宋_GB2312" w:cs="Times New Roman"/>
                <w:b/>
                <w:lang w:val="en-US" w:eastAsia="zh-CN"/>
              </w:rPr>
            </w:pPr>
            <w:r>
              <w:rPr>
                <w:rFonts w:hint="eastAsia" w:ascii="Times New Roman" w:hAnsi="Times New Roman" w:eastAsia="仿宋_GB2312" w:cs="Times New Roman"/>
                <w:b/>
                <w:lang w:val="en-US" w:eastAsia="zh-CN"/>
              </w:rPr>
              <w:t>正科级</w:t>
            </w:r>
          </w:p>
        </w:tc>
        <w:tc>
          <w:tcPr>
            <w:tcW w:w="2902" w:type="dxa"/>
            <w:shd w:val="clear" w:color="auto" w:fill="auto"/>
            <w:vAlign w:val="center"/>
          </w:tcPr>
          <w:p w14:paraId="034D5A7B">
            <w:pPr>
              <w:spacing w:line="584" w:lineRule="exact"/>
              <w:jc w:val="center"/>
              <w:rPr>
                <w:rFonts w:hint="eastAsia" w:ascii="Times New Roman" w:hAnsi="Times New Roman" w:eastAsia="仿宋_GB2312" w:cs="Times New Roman"/>
                <w:b/>
                <w:lang w:val="en-US" w:eastAsia="zh-CN"/>
              </w:rPr>
            </w:pPr>
            <w:r>
              <w:rPr>
                <w:rFonts w:hint="eastAsia" w:ascii="Times New Roman" w:hAnsi="Times New Roman" w:eastAsia="仿宋_GB2312" w:cs="Times New Roman"/>
                <w:b/>
                <w:lang w:val="en-US" w:eastAsia="zh-CN"/>
              </w:rPr>
              <w:t>财政拨款</w:t>
            </w:r>
          </w:p>
        </w:tc>
      </w:tr>
      <w:tr w14:paraId="16E958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6CDBB0B5">
            <w:pPr>
              <w:spacing w:line="584" w:lineRule="exact"/>
              <w:jc w:val="left"/>
              <w:rPr>
                <w:rFonts w:ascii="Times New Roman" w:hAnsi="Times New Roman" w:eastAsia="仿宋_GB2312" w:cs="Times New Roman"/>
              </w:rPr>
            </w:pPr>
          </w:p>
        </w:tc>
        <w:tc>
          <w:tcPr>
            <w:tcW w:w="1134" w:type="dxa"/>
            <w:shd w:val="clear" w:color="auto" w:fill="auto"/>
            <w:vAlign w:val="center"/>
          </w:tcPr>
          <w:p w14:paraId="57FDDB27">
            <w:pPr>
              <w:spacing w:line="584" w:lineRule="exact"/>
              <w:jc w:val="center"/>
              <w:rPr>
                <w:rFonts w:ascii="Times New Roman" w:hAnsi="Times New Roman" w:eastAsia="仿宋_GB2312" w:cs="Times New Roman"/>
              </w:rPr>
            </w:pPr>
          </w:p>
        </w:tc>
        <w:tc>
          <w:tcPr>
            <w:tcW w:w="1276" w:type="dxa"/>
            <w:shd w:val="clear" w:color="auto" w:fill="auto"/>
            <w:vAlign w:val="center"/>
          </w:tcPr>
          <w:p w14:paraId="74005AF4">
            <w:pPr>
              <w:spacing w:line="584" w:lineRule="exact"/>
              <w:jc w:val="center"/>
              <w:rPr>
                <w:rFonts w:ascii="Times New Roman" w:hAnsi="Times New Roman" w:eastAsia="仿宋_GB2312" w:cs="Times New Roman"/>
              </w:rPr>
            </w:pPr>
          </w:p>
        </w:tc>
        <w:tc>
          <w:tcPr>
            <w:tcW w:w="2902" w:type="dxa"/>
            <w:shd w:val="clear" w:color="auto" w:fill="auto"/>
            <w:vAlign w:val="center"/>
          </w:tcPr>
          <w:p w14:paraId="4C50A370">
            <w:pPr>
              <w:spacing w:line="584" w:lineRule="exact"/>
              <w:jc w:val="center"/>
              <w:rPr>
                <w:rFonts w:ascii="Times New Roman" w:hAnsi="Times New Roman" w:eastAsia="仿宋_GB2312" w:cs="Times New Roman"/>
              </w:rPr>
            </w:pPr>
          </w:p>
        </w:tc>
      </w:tr>
      <w:tr w14:paraId="138167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3B494C99">
            <w:pPr>
              <w:spacing w:line="584" w:lineRule="exact"/>
              <w:jc w:val="left"/>
              <w:rPr>
                <w:rFonts w:ascii="Times New Roman" w:hAnsi="Times New Roman" w:eastAsia="仿宋_GB2312" w:cs="Times New Roman"/>
              </w:rPr>
            </w:pPr>
          </w:p>
        </w:tc>
        <w:tc>
          <w:tcPr>
            <w:tcW w:w="1134" w:type="dxa"/>
            <w:shd w:val="clear" w:color="auto" w:fill="auto"/>
            <w:vAlign w:val="center"/>
          </w:tcPr>
          <w:p w14:paraId="36FAD218">
            <w:pPr>
              <w:spacing w:line="584" w:lineRule="exact"/>
              <w:jc w:val="center"/>
              <w:rPr>
                <w:rFonts w:ascii="Times New Roman" w:hAnsi="Times New Roman" w:eastAsia="仿宋_GB2312" w:cs="Times New Roman"/>
              </w:rPr>
            </w:pPr>
          </w:p>
        </w:tc>
        <w:tc>
          <w:tcPr>
            <w:tcW w:w="1276" w:type="dxa"/>
            <w:shd w:val="clear" w:color="auto" w:fill="auto"/>
            <w:vAlign w:val="center"/>
          </w:tcPr>
          <w:p w14:paraId="517823B5">
            <w:pPr>
              <w:spacing w:line="584" w:lineRule="exact"/>
              <w:jc w:val="center"/>
              <w:rPr>
                <w:rFonts w:ascii="Times New Roman" w:hAnsi="Times New Roman" w:eastAsia="仿宋_GB2312" w:cs="Times New Roman"/>
              </w:rPr>
            </w:pPr>
          </w:p>
        </w:tc>
        <w:tc>
          <w:tcPr>
            <w:tcW w:w="2902" w:type="dxa"/>
            <w:shd w:val="clear" w:color="auto" w:fill="auto"/>
            <w:vAlign w:val="center"/>
          </w:tcPr>
          <w:p w14:paraId="60C6C030">
            <w:pPr>
              <w:spacing w:line="584" w:lineRule="exact"/>
              <w:jc w:val="center"/>
              <w:rPr>
                <w:rFonts w:ascii="Times New Roman" w:hAnsi="Times New Roman" w:eastAsia="仿宋_GB2312" w:cs="Times New Roman"/>
              </w:rPr>
            </w:pPr>
          </w:p>
        </w:tc>
      </w:tr>
    </w:tbl>
    <w:p w14:paraId="5DA57418">
      <w:p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二、部门预算安排的总体情况</w:t>
      </w:r>
    </w:p>
    <w:p w14:paraId="35396251">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按照预算管理有关规定，目前我县部门预算的编制实行综合预算制度，即全部收入和支出都反映在预算中。永清县</w:t>
      </w:r>
      <w:r>
        <w:rPr>
          <w:rFonts w:hint="eastAsia" w:ascii="Times New Roman" w:hAnsi="Times New Roman" w:eastAsia="仿宋_GB2312" w:cs="Times New Roman"/>
          <w:sz w:val="32"/>
          <w:szCs w:val="32"/>
          <w:lang w:val="en-US" w:eastAsia="zh-CN"/>
        </w:rPr>
        <w:t>审计局</w:t>
      </w:r>
      <w:r>
        <w:rPr>
          <w:rFonts w:ascii="Times New Roman" w:hAnsi="Times New Roman" w:eastAsia="仿宋_GB2312" w:cs="Times New Roman"/>
          <w:sz w:val="32"/>
          <w:szCs w:val="32"/>
        </w:rPr>
        <w:t>机关的收支包含在部门预算中。</w:t>
      </w:r>
    </w:p>
    <w:p w14:paraId="3DE04685">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1、收入说明</w:t>
      </w:r>
    </w:p>
    <w:p w14:paraId="28B81B49">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反映本部门当年全部收入。20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年预算收入</w:t>
      </w:r>
      <w:r>
        <w:rPr>
          <w:rFonts w:hint="eastAsia" w:ascii="Times New Roman" w:hAnsi="Times New Roman" w:eastAsia="仿宋_GB2312" w:cs="Times New Roman"/>
          <w:sz w:val="32"/>
          <w:szCs w:val="32"/>
          <w:lang w:val="en-US" w:eastAsia="zh-CN"/>
        </w:rPr>
        <w:t>1016.21</w:t>
      </w:r>
      <w:r>
        <w:rPr>
          <w:rFonts w:ascii="Times New Roman" w:hAnsi="Times New Roman" w:eastAsia="仿宋_GB2312" w:cs="Times New Roman"/>
          <w:sz w:val="32"/>
          <w:szCs w:val="32"/>
        </w:rPr>
        <w:t>万元，其中：一般公共预算收入</w:t>
      </w:r>
      <w:r>
        <w:rPr>
          <w:rFonts w:hint="eastAsia" w:ascii="Times New Roman" w:hAnsi="Times New Roman" w:eastAsia="仿宋_GB2312" w:cs="Times New Roman"/>
          <w:sz w:val="32"/>
          <w:szCs w:val="32"/>
          <w:lang w:val="en-US" w:eastAsia="zh-CN"/>
        </w:rPr>
        <w:t>1016.21</w:t>
      </w:r>
      <w:r>
        <w:rPr>
          <w:rFonts w:ascii="Times New Roman" w:hAnsi="Times New Roman" w:eastAsia="仿宋_GB2312" w:cs="Times New Roman"/>
          <w:sz w:val="32"/>
          <w:szCs w:val="32"/>
        </w:rPr>
        <w:t>万元，基金预算收入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万元，财政专户核拨收入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万元，其他来源收入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上年结转</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w:t>
      </w:r>
    </w:p>
    <w:p w14:paraId="02018074">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2、支出说明</w:t>
      </w:r>
    </w:p>
    <w:p w14:paraId="41A96049">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收支预算总表支出栏、基本支出表、项目支出表按经济分类和支出功能分类科目编制，反映永清县</w:t>
      </w:r>
      <w:r>
        <w:rPr>
          <w:rFonts w:hint="eastAsia" w:ascii="Times New Roman" w:hAnsi="Times New Roman" w:eastAsia="仿宋_GB2312" w:cs="Times New Roman"/>
          <w:sz w:val="32"/>
          <w:szCs w:val="32"/>
          <w:lang w:val="en-US" w:eastAsia="zh-CN"/>
        </w:rPr>
        <w:t>审计局</w:t>
      </w:r>
      <w:r>
        <w:rPr>
          <w:rFonts w:ascii="Times New Roman" w:hAnsi="Times New Roman" w:eastAsia="仿宋_GB2312" w:cs="Times New Roman"/>
          <w:sz w:val="32"/>
          <w:szCs w:val="32"/>
        </w:rPr>
        <w:t>年度部门预算中支出预算的总体情况。20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年支出预算</w:t>
      </w:r>
      <w:r>
        <w:rPr>
          <w:rFonts w:hint="eastAsia" w:ascii="Times New Roman" w:hAnsi="Times New Roman" w:eastAsia="仿宋_GB2312" w:cs="Times New Roman"/>
          <w:sz w:val="32"/>
          <w:szCs w:val="32"/>
          <w:lang w:val="en-US" w:eastAsia="zh-CN"/>
        </w:rPr>
        <w:t>1016.21</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757.01</w:t>
      </w:r>
      <w:r>
        <w:rPr>
          <w:rFonts w:ascii="Times New Roman" w:hAnsi="Times New Roman" w:eastAsia="仿宋_GB2312" w:cs="Times New Roman"/>
          <w:sz w:val="32"/>
          <w:szCs w:val="32"/>
        </w:rPr>
        <w:t>万元，包括人员类项目经费</w:t>
      </w:r>
      <w:r>
        <w:rPr>
          <w:rFonts w:hint="eastAsia" w:ascii="Times New Roman" w:hAnsi="Times New Roman" w:eastAsia="仿宋_GB2312" w:cs="Times New Roman"/>
          <w:sz w:val="32"/>
          <w:szCs w:val="32"/>
          <w:lang w:val="en-US" w:eastAsia="zh-CN"/>
        </w:rPr>
        <w:t>684.07</w:t>
      </w:r>
      <w:r>
        <w:rPr>
          <w:rFonts w:ascii="Times New Roman" w:hAnsi="Times New Roman" w:eastAsia="仿宋_GB2312" w:cs="Times New Roman"/>
          <w:sz w:val="32"/>
          <w:szCs w:val="32"/>
        </w:rPr>
        <w:t>万元和</w:t>
      </w:r>
      <w:r>
        <w:rPr>
          <w:rFonts w:hint="eastAsia" w:ascii="Times New Roman" w:hAnsi="Times New Roman" w:eastAsia="仿宋_GB2312" w:cs="Times New Roman"/>
          <w:sz w:val="32"/>
          <w:szCs w:val="32"/>
        </w:rPr>
        <w:t>运转类</w:t>
      </w:r>
      <w:r>
        <w:rPr>
          <w:rFonts w:ascii="Times New Roman" w:hAnsi="Times New Roman" w:eastAsia="仿宋_GB2312" w:cs="Times New Roman"/>
          <w:sz w:val="32"/>
          <w:szCs w:val="32"/>
        </w:rPr>
        <w:t>公用项目经费</w:t>
      </w:r>
      <w:r>
        <w:rPr>
          <w:rFonts w:hint="eastAsia" w:ascii="Times New Roman" w:hAnsi="Times New Roman" w:eastAsia="仿宋_GB2312" w:cs="Times New Roman"/>
          <w:sz w:val="32"/>
          <w:szCs w:val="32"/>
          <w:lang w:val="en-US" w:eastAsia="zh-CN"/>
        </w:rPr>
        <w:t>72.94</w:t>
      </w:r>
      <w:r>
        <w:rPr>
          <w:rFonts w:ascii="Times New Roman" w:hAnsi="Times New Roman" w:eastAsia="仿宋_GB2312" w:cs="Times New Roman"/>
          <w:sz w:val="32"/>
          <w:szCs w:val="32"/>
        </w:rPr>
        <w:t>万元；运转类其他及特定目标类项目支出</w:t>
      </w:r>
      <w:r>
        <w:rPr>
          <w:rFonts w:hint="eastAsia" w:ascii="Times New Roman" w:hAnsi="Times New Roman" w:eastAsia="仿宋_GB2312" w:cs="Times New Roman"/>
          <w:sz w:val="32"/>
          <w:szCs w:val="32"/>
          <w:lang w:val="en-US" w:eastAsia="zh-CN"/>
        </w:rPr>
        <w:t>259.20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val="en-US" w:eastAsia="zh-CN"/>
        </w:rPr>
        <w:t>全部为</w:t>
      </w:r>
      <w:r>
        <w:rPr>
          <w:rFonts w:ascii="Times New Roman" w:hAnsi="Times New Roman" w:eastAsia="仿宋_GB2312" w:cs="Times New Roman"/>
          <w:sz w:val="32"/>
          <w:szCs w:val="32"/>
        </w:rPr>
        <w:t>本级支出，主要为</w:t>
      </w:r>
      <w:r>
        <w:rPr>
          <w:rFonts w:hint="eastAsia" w:ascii="Times New Roman" w:hAnsi="Times New Roman" w:eastAsia="仿宋_GB2312" w:cs="Times New Roman"/>
          <w:sz w:val="32"/>
          <w:szCs w:val="32"/>
          <w:lang w:val="en-US" w:eastAsia="zh-CN"/>
        </w:rPr>
        <w:t>审计业务费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房屋修缮</w:t>
      </w:r>
      <w:r>
        <w:rPr>
          <w:rFonts w:ascii="Times New Roman" w:hAnsi="Times New Roman" w:eastAsia="仿宋_GB2312" w:cs="Times New Roman"/>
          <w:sz w:val="32"/>
          <w:szCs w:val="32"/>
        </w:rPr>
        <w:t>等。</w:t>
      </w:r>
    </w:p>
    <w:p w14:paraId="0B0CB79A">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3、比上年增减情况</w:t>
      </w:r>
    </w:p>
    <w:p w14:paraId="0A472C70">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年预算收支安排</w:t>
      </w:r>
      <w:r>
        <w:rPr>
          <w:rFonts w:hint="eastAsia" w:ascii="Times New Roman" w:hAnsi="Times New Roman" w:eastAsia="仿宋_GB2312" w:cs="Times New Roman"/>
          <w:sz w:val="32"/>
          <w:szCs w:val="32"/>
          <w:lang w:val="en-US" w:eastAsia="zh-CN"/>
        </w:rPr>
        <w:t>1016.21</w:t>
      </w:r>
      <w:r>
        <w:rPr>
          <w:rFonts w:ascii="Times New Roman" w:hAnsi="Times New Roman" w:eastAsia="仿宋_GB2312" w:cs="Times New Roman"/>
          <w:sz w:val="32"/>
          <w:szCs w:val="32"/>
        </w:rPr>
        <w:t>万元，较20</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年预算</w:t>
      </w:r>
      <w:r>
        <w:rPr>
          <w:rFonts w:ascii="Times New Roman" w:hAnsi="Times New Roman" w:eastAsia="仿宋_GB2312" w:cs="Times New Roman"/>
          <w:color w:val="auto"/>
          <w:sz w:val="32"/>
          <w:szCs w:val="32"/>
          <w:highlight w:val="none"/>
        </w:rPr>
        <w:t>减少</w:t>
      </w:r>
      <w:r>
        <w:rPr>
          <w:rFonts w:hint="eastAsia" w:ascii="Times New Roman" w:hAnsi="Times New Roman" w:eastAsia="仿宋_GB2312" w:cs="Times New Roman"/>
          <w:sz w:val="32"/>
          <w:szCs w:val="32"/>
          <w:lang w:val="en-US" w:eastAsia="zh-CN"/>
        </w:rPr>
        <w:t>4.09</w:t>
      </w:r>
      <w:r>
        <w:rPr>
          <w:rFonts w:ascii="Times New Roman" w:hAnsi="Times New Roman" w:eastAsia="仿宋_GB2312" w:cs="Times New Roman"/>
          <w:sz w:val="32"/>
          <w:szCs w:val="32"/>
        </w:rPr>
        <w:t>万元，其中：基本支出</w:t>
      </w:r>
      <w:r>
        <w:rPr>
          <w:rFonts w:ascii="Times New Roman" w:hAnsi="Times New Roman" w:eastAsia="仿宋_GB2312" w:cs="Times New Roman"/>
          <w:sz w:val="32"/>
          <w:szCs w:val="32"/>
          <w:highlight w:val="none"/>
        </w:rPr>
        <w:t>减少</w:t>
      </w:r>
      <w:r>
        <w:rPr>
          <w:rFonts w:hint="eastAsia" w:ascii="Times New Roman" w:hAnsi="Times New Roman" w:eastAsia="仿宋_GB2312" w:cs="Times New Roman"/>
          <w:sz w:val="32"/>
          <w:szCs w:val="32"/>
          <w:lang w:val="en-US" w:eastAsia="zh-CN"/>
        </w:rPr>
        <w:t>27.29</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lang w:val="en-US" w:eastAsia="zh-CN"/>
        </w:rPr>
        <w:t>人员经费</w:t>
      </w:r>
      <w:r>
        <w:rPr>
          <w:rFonts w:ascii="Times New Roman" w:hAnsi="Times New Roman" w:eastAsia="仿宋_GB2312" w:cs="Times New Roman"/>
          <w:sz w:val="32"/>
          <w:szCs w:val="32"/>
        </w:rPr>
        <w:t>支出；项目支出增加</w:t>
      </w:r>
      <w:r>
        <w:rPr>
          <w:rFonts w:hint="eastAsia" w:ascii="Times New Roman" w:hAnsi="Times New Roman" w:eastAsia="仿宋_GB2312" w:cs="Times New Roman"/>
          <w:sz w:val="32"/>
          <w:szCs w:val="32"/>
          <w:lang w:val="en-US" w:eastAsia="zh-CN"/>
        </w:rPr>
        <w:t>23.2</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lang w:val="en-US" w:eastAsia="zh-CN"/>
        </w:rPr>
        <w:t>审计业务费</w:t>
      </w:r>
      <w:r>
        <w:rPr>
          <w:rFonts w:ascii="Times New Roman" w:hAnsi="Times New Roman" w:eastAsia="仿宋_GB2312" w:cs="Times New Roman"/>
          <w:sz w:val="32"/>
          <w:szCs w:val="32"/>
        </w:rPr>
        <w:t>项目支出。</w:t>
      </w:r>
    </w:p>
    <w:p w14:paraId="4A796D14">
      <w:pPr>
        <w:autoSpaceDE w:val="0"/>
        <w:autoSpaceDN w:val="0"/>
        <w:adjustRightInd w:val="0"/>
        <w:spacing w:line="584" w:lineRule="exact"/>
        <w:ind w:left="198"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三、机关运行经费安排情况</w:t>
      </w:r>
    </w:p>
    <w:p w14:paraId="1CA460F0">
      <w:pPr>
        <w:autoSpaceDE w:val="0"/>
        <w:autoSpaceDN w:val="0"/>
        <w:adjustRightInd w:val="0"/>
        <w:spacing w:line="584" w:lineRule="exact"/>
        <w:ind w:left="198"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年，我局机关运行经费共计安排</w:t>
      </w:r>
      <w:r>
        <w:rPr>
          <w:rFonts w:hint="eastAsia" w:ascii="Times New Roman" w:hAnsi="Times New Roman" w:eastAsia="仿宋_GB2312" w:cs="Times New Roman"/>
          <w:sz w:val="32"/>
          <w:szCs w:val="32"/>
          <w:lang w:val="en-US" w:eastAsia="zh-CN"/>
        </w:rPr>
        <w:t>72.94</w:t>
      </w:r>
      <w:r>
        <w:rPr>
          <w:rFonts w:ascii="Times New Roman" w:hAnsi="Times New Roman" w:eastAsia="仿宋_GB2312" w:cs="Times New Roman"/>
          <w:sz w:val="32"/>
          <w:szCs w:val="32"/>
        </w:rPr>
        <w:t>万元，主要用于</w:t>
      </w:r>
      <w:r>
        <w:rPr>
          <w:rFonts w:hint="eastAsia" w:ascii="Times New Roman" w:hAnsi="Times New Roman" w:eastAsia="仿宋_GB2312" w:cs="Times New Roman"/>
          <w:sz w:val="32"/>
          <w:szCs w:val="32"/>
          <w:lang w:val="en-US" w:eastAsia="zh-CN"/>
        </w:rPr>
        <w:t>审计局</w:t>
      </w:r>
      <w:r>
        <w:rPr>
          <w:rFonts w:ascii="Times New Roman" w:hAnsi="Times New Roman" w:eastAsia="仿宋_GB2312" w:cs="Times New Roman"/>
          <w:sz w:val="32"/>
          <w:szCs w:val="32"/>
        </w:rPr>
        <w:t>办公区的日常维修、办公用房水电费、办公用房取暖费等日常运行支出。</w:t>
      </w:r>
    </w:p>
    <w:p w14:paraId="7F8D1162">
      <w:pPr>
        <w:autoSpaceDE w:val="0"/>
        <w:autoSpaceDN w:val="0"/>
        <w:adjustRightInd w:val="0"/>
        <w:spacing w:line="584" w:lineRule="exact"/>
        <w:ind w:firstLine="947" w:firstLineChars="296"/>
        <w:jc w:val="left"/>
        <w:rPr>
          <w:rFonts w:ascii="Times New Roman" w:hAnsi="Times New Roman" w:eastAsia="黑体" w:cs="Times New Roman"/>
          <w:sz w:val="32"/>
          <w:szCs w:val="32"/>
        </w:rPr>
      </w:pPr>
      <w:r>
        <w:rPr>
          <w:rFonts w:ascii="Times New Roman" w:hAnsi="Times New Roman" w:eastAsia="黑体" w:cs="Times New Roman"/>
          <w:sz w:val="32"/>
          <w:szCs w:val="32"/>
        </w:rPr>
        <w:t>四、财政拨款“三公”经费预算情况及增减变化原因</w:t>
      </w:r>
    </w:p>
    <w:p w14:paraId="334B2E0F">
      <w:pPr>
        <w:autoSpaceDE w:val="0"/>
        <w:autoSpaceDN w:val="0"/>
        <w:adjustRightInd w:val="0"/>
        <w:spacing w:line="584" w:lineRule="exact"/>
        <w:ind w:left="197" w:leftChars="94"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年，我局财政拨款“三公”经费预算安排</w:t>
      </w:r>
      <w:r>
        <w:rPr>
          <w:rFonts w:hint="eastAsia" w:ascii="Times New Roman" w:hAnsi="Times New Roman" w:eastAsia="仿宋_GB2312" w:cs="Times New Roman"/>
          <w:sz w:val="32"/>
          <w:szCs w:val="32"/>
          <w:lang w:val="en-US" w:eastAsia="zh-CN"/>
        </w:rPr>
        <w:t>1.37</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因公出国（境）费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万元；公务用车购置及运维费</w:t>
      </w:r>
      <w:r>
        <w:rPr>
          <w:rFonts w:hint="eastAsia" w:ascii="Times New Roman" w:hAnsi="Times New Roman" w:eastAsia="仿宋_GB2312" w:cs="Times New Roman"/>
          <w:sz w:val="32"/>
          <w:szCs w:val="32"/>
          <w:lang w:val="en-US" w:eastAsia="zh-CN"/>
        </w:rPr>
        <w:t>1.17</w:t>
      </w:r>
      <w:r>
        <w:rPr>
          <w:rFonts w:ascii="Times New Roman" w:hAnsi="Times New Roman" w:eastAsia="仿宋_GB2312" w:cs="Times New Roman"/>
          <w:sz w:val="32"/>
          <w:szCs w:val="32"/>
        </w:rPr>
        <w:t>万元（其中：公务用车购置费为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万元，公务用车运维费</w:t>
      </w:r>
      <w:r>
        <w:rPr>
          <w:rFonts w:hint="eastAsia" w:ascii="Times New Roman" w:hAnsi="Times New Roman" w:eastAsia="仿宋_GB2312" w:cs="Times New Roman"/>
          <w:sz w:val="32"/>
          <w:szCs w:val="32"/>
          <w:lang w:val="en-US" w:eastAsia="zh-CN"/>
        </w:rPr>
        <w:t>1.17</w:t>
      </w:r>
      <w:r>
        <w:rPr>
          <w:rFonts w:ascii="Times New Roman" w:hAnsi="Times New Roman" w:eastAsia="仿宋_GB2312" w:cs="Times New Roman"/>
          <w:sz w:val="32"/>
          <w:szCs w:val="32"/>
        </w:rPr>
        <w:t>万元)；公务接待费</w:t>
      </w:r>
      <w:r>
        <w:rPr>
          <w:rFonts w:hint="eastAsia" w:ascii="Times New Roman" w:hAnsi="Times New Roman" w:eastAsia="仿宋_GB2312" w:cs="Times New Roman"/>
          <w:sz w:val="32"/>
          <w:szCs w:val="32"/>
          <w:lang w:val="en-US" w:eastAsia="zh-CN"/>
        </w:rPr>
        <w:t>0.19</w:t>
      </w:r>
      <w:r>
        <w:rPr>
          <w:rFonts w:ascii="Times New Roman" w:hAnsi="Times New Roman" w:eastAsia="仿宋_GB2312" w:cs="Times New Roman"/>
          <w:sz w:val="32"/>
          <w:szCs w:val="32"/>
        </w:rPr>
        <w:t>万元。与20</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相比</w:t>
      </w:r>
      <w:r>
        <w:rPr>
          <w:rFonts w:ascii="Times New Roman" w:hAnsi="Times New Roman" w:eastAsia="仿宋_GB2312" w:cs="Times New Roman"/>
          <w:sz w:val="32"/>
          <w:szCs w:val="32"/>
          <w:highlight w:val="none"/>
        </w:rPr>
        <w:t>持平</w:t>
      </w:r>
      <w:r>
        <w:rPr>
          <w:rFonts w:hint="eastAsia" w:ascii="Times New Roman" w:hAnsi="Times New Roman" w:eastAsia="仿宋_GB2312" w:cs="Times New Roman"/>
          <w:sz w:val="32"/>
          <w:szCs w:val="32"/>
        </w:rPr>
        <w:t>，</w:t>
      </w:r>
      <w:r>
        <w:rPr>
          <w:rFonts w:ascii="Times New Roman" w:hAnsi="Times New Roman" w:eastAsia="仿宋_GB2312" w:cs="Times New Roman"/>
          <w:color w:val="auto"/>
          <w:sz w:val="32"/>
          <w:szCs w:val="32"/>
        </w:rPr>
        <w:t>无增减变化。</w:t>
      </w:r>
    </w:p>
    <w:p w14:paraId="6EDA6513">
      <w:pPr>
        <w:spacing w:line="584" w:lineRule="exact"/>
        <w:ind w:firstLine="640" w:firstLineChars="200"/>
        <w:rPr>
          <w:rFonts w:ascii="Times New Roman" w:hAnsi="Times New Roman" w:eastAsia="黑体" w:cs="Times New Roman"/>
          <w:color w:val="FF0000"/>
          <w:sz w:val="32"/>
          <w:szCs w:val="32"/>
        </w:rPr>
      </w:pPr>
      <w:r>
        <w:rPr>
          <w:rFonts w:ascii="Times New Roman" w:hAnsi="Times New Roman" w:eastAsia="黑体" w:cs="Times New Roman"/>
          <w:sz w:val="32"/>
          <w:szCs w:val="32"/>
        </w:rPr>
        <w:t>五、绩效预算信息</w:t>
      </w:r>
    </w:p>
    <w:p w14:paraId="4D1DE179">
      <w:pPr>
        <w:spacing w:line="584"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第一部分 部门整体绩效目标</w:t>
      </w:r>
    </w:p>
    <w:p w14:paraId="34A17B81">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（一）总体绩效目标</w:t>
      </w:r>
    </w:p>
    <w:p w14:paraId="485E7E9D">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以习近平新时代中国特色社会主义思想为指导，协调推进和督促落实党中央、中央审计委员会、省委省政府和省委审计委员会、市委市政府和市委审计委员会、县委县政府和县委审计委员决策部署，坚持审计“促改革、促发展”，做到“应审尽审、凡审必严、严肃问责”，努力构建集中统一、全面覆盖、权威高效的审计监督体系；坚持创新审计理念，及时揭示和反映经济社会各领域的新情况、新问题、新趋势，准确把握“三个区分开来”要求，推动建立健全容错纠错机制；坚持“党建强审、科技强审”，加强审计机关自身建设，以审计精神立身、以创新规范立业、以自身建设立信；科学合理制定2021年审计项目计划，提出审计领域坚持党的领导、加强党的建设的政策建议，建设一支信念坚定、业务精通、作风务实、清正廉洁的高素质专业化审计干部队伍。</w:t>
      </w:r>
    </w:p>
    <w:p w14:paraId="2139541D">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一是深入学习习近平新时代中国特色社会主义思想和十九大精神，努力提升审计干部队伍政治素质。继续深入开展“两学一做”学习教育和十九大精神集中学习活动，进一步学习《党章》《廉洁自律准则》和《习近平新时代中国特色社会主义思想解读》等有关文件和资料。通过学习，对决胜全面建成小康社会、进而全面建设社会主义现代化强国的新时代目标，对以人民为中心的发展理念，对“五位一体”总体布局和“四个全面”战略布局，都有了更加深刻的认识，更加坚定了在思想上行动上同党中央保持高度一致的政治自觉。</w:t>
      </w:r>
    </w:p>
    <w:p w14:paraId="61A8165E">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二是加强业务培训，提高审计干部专业水平。积极组织全体审计干部参加审计署部署重大政策跟踪审计网络培训班和每月进行的《审计大讲堂》，鼓励支持参加专业技术资格考试。全局初步形成比学习提素质的良好氛围。同时采取“以老带新”的方式，促进新人尽快成长。在实施审计项目中，新老结合，进行“传、帮、带”，促进</w:t>
      </w:r>
      <w:r>
        <w:rPr>
          <w:rFonts w:hint="eastAsia" w:ascii="仿宋_GB2312" w:eastAsia="仿宋_GB2312" w:cs="Times New Roman"/>
          <w:sz w:val="32"/>
          <w:szCs w:val="32"/>
          <w:lang w:eastAsia="zh-CN"/>
        </w:rPr>
        <w:t>年轻</w:t>
      </w:r>
      <w:r>
        <w:rPr>
          <w:rFonts w:hint="eastAsia" w:ascii="仿宋_GB2312" w:eastAsia="仿宋_GB2312" w:cs="Times New Roman"/>
          <w:sz w:val="32"/>
          <w:szCs w:val="32"/>
        </w:rPr>
        <w:t>干部职业水平提高承担重任。</w:t>
      </w:r>
    </w:p>
    <w:p w14:paraId="694AC534">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三是抓好廉政教育和廉政建设。落实党风廉政建设主体责任，健全完善党风廉政建设各项工作制度。加强思想教育，把廉政教育作为队伍建设一项重要内容，常抓不懈，防微杜渐。加强监控机制建设，防范廉政风险，坚持审计处理集体讨论制度和廉政反馈卡制度，夯实廉政建设。</w:t>
      </w:r>
    </w:p>
    <w:p w14:paraId="290ABE5F">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四是加强审计干部的作风建设，将“一问责八清理”和省委巡视“回头看”专项行动与审计工作实际相结合，审计中，增强工作的自觉性、主动性和创新性，不推诿、不懈怠，进一步规范审计行为，坚持依法审计、文明审计，努力建设信念坚定、业务精通、作风务实、清正廉洁的高素质审计干部队伍。</w:t>
      </w:r>
    </w:p>
    <w:p w14:paraId="01AFFA1D">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五是认真履行审计监督职责，加大服务力度，突出对重点领域、重点部门、重点资金的审计监督，为服务政府决策和推动全县经济发展</w:t>
      </w:r>
      <w:r>
        <w:rPr>
          <w:rFonts w:hint="eastAsia" w:ascii="仿宋_GB2312" w:eastAsia="仿宋_GB2312" w:cs="Times New Roman"/>
          <w:sz w:val="32"/>
          <w:szCs w:val="32"/>
          <w:lang w:eastAsia="zh-CN"/>
        </w:rPr>
        <w:t>作出贡献</w:t>
      </w:r>
      <w:r>
        <w:rPr>
          <w:rFonts w:hint="eastAsia" w:ascii="仿宋_GB2312" w:eastAsia="仿宋_GB2312" w:cs="Times New Roman"/>
          <w:sz w:val="32"/>
          <w:szCs w:val="32"/>
        </w:rPr>
        <w:t>。</w:t>
      </w:r>
    </w:p>
    <w:p w14:paraId="303174FC">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六是加强对扶贫资金、社会保障、教育、文化、医疗等重点民生领域资金和项目的审计，把推动各项政府惠民政策措施的落实、服务民生、维护群众利益作为审计工作的重中之重，切实维护好广大人民群众的切身利益。</w:t>
      </w:r>
    </w:p>
    <w:p w14:paraId="71CE99B5">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七是通过财政财务收支审计真实、合法和效益情况，维护国家财政经济秩序，促进廉政建设，保障国民经济的健康运行。</w:t>
      </w:r>
    </w:p>
    <w:p w14:paraId="729F16A5">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（二）分项绩效目标</w:t>
      </w:r>
    </w:p>
    <w:p w14:paraId="43670338">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lang w:val="en-US" w:eastAsia="zh-CN"/>
        </w:rPr>
        <w:t>1、</w:t>
      </w:r>
      <w:r>
        <w:rPr>
          <w:rFonts w:hint="eastAsia" w:ascii="仿宋_GB2312" w:eastAsia="仿宋_GB2312" w:cs="Times New Roman"/>
          <w:sz w:val="32"/>
          <w:szCs w:val="32"/>
        </w:rPr>
        <w:t>大力推进审计全覆盖，加大审计监督力度。</w:t>
      </w:r>
    </w:p>
    <w:p w14:paraId="5B59E521">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目标：改进审计模式和组织方式，创新审计理念，充分利用大数据的收集、整理、分析，推行审计全覆盖。加大审计监督力度，充分发挥审计监督作用，维护国家财政经济秩序，提高资金使用效益，促进廉政建设，保障全县经济和社会健康发展。</w:t>
      </w:r>
    </w:p>
    <w:p w14:paraId="28B64788">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绩效指标：审计计划完成率达到90%以上，重大政策落实跟踪审计部署完成率达到100%，保障审计程序合法合规，审计通知书按时送达，审计底稿取证合规，审计报告全部征求意见，审计档案及时归档。</w:t>
      </w:r>
    </w:p>
    <w:p w14:paraId="06E8E8B4">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lang w:val="en-US" w:eastAsia="zh-CN"/>
        </w:rPr>
        <w:t>2、</w:t>
      </w:r>
      <w:r>
        <w:rPr>
          <w:rFonts w:hint="eastAsia" w:ascii="仿宋_GB2312" w:eastAsia="仿宋_GB2312" w:cs="Times New Roman"/>
          <w:sz w:val="32"/>
          <w:szCs w:val="32"/>
        </w:rPr>
        <w:t>大力推进审计工作统筹，提升审计效能。</w:t>
      </w:r>
    </w:p>
    <w:p w14:paraId="61A4D8DE">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目标：加强审计项目审计组织方式“两统筹”，保障审计项目的质量；优化资源配置，建立健全全县内部审计机构建设，监督内部审计职责履行情况，检查内部审计业务质量；通过向社会购买服务的方式，形成审计监督合力。</w:t>
      </w:r>
    </w:p>
    <w:p w14:paraId="54F952B4">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绩效指标：审计项目数量达到30个以上，其中重大审计项目完成1个以上。</w:t>
      </w:r>
    </w:p>
    <w:p w14:paraId="540389B2">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lang w:val="en-US" w:eastAsia="zh-CN"/>
        </w:rPr>
        <w:t>3、</w:t>
      </w:r>
      <w:r>
        <w:rPr>
          <w:rFonts w:hint="eastAsia" w:ascii="仿宋_GB2312" w:eastAsia="仿宋_GB2312" w:cs="Times New Roman"/>
          <w:sz w:val="32"/>
          <w:szCs w:val="32"/>
        </w:rPr>
        <w:t>大力推进科技强审，加强审计信息化建设。</w:t>
      </w:r>
    </w:p>
    <w:p w14:paraId="72DAF4EA">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目标：积极稳妥推进信息化建设，保障审计系统安全运行。建设审计应用系统和审计业务平台，完善审计信息职能，通过数字化审计方式进行“集中分析、系统研究、发现疑点、分散核实、精准定位”，实现数据的清洗、关联、存储、分析、挖掘、共享，提升审计效能，防范审计风险。</w:t>
      </w:r>
    </w:p>
    <w:p w14:paraId="76090D53">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绩效指标：完成审计应用系统的建设，完成审计整改业务平台等建设，积极推行计算机技术应用，一级预算单位数据分析完成率达到90%，系统运行无故障率达到90%，支持省、市、县三级联网安全通畅。</w:t>
      </w:r>
    </w:p>
    <w:p w14:paraId="7A8D6266">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lang w:val="en-US" w:eastAsia="zh-CN"/>
        </w:rPr>
        <w:t>4、</w:t>
      </w:r>
      <w:r>
        <w:rPr>
          <w:rFonts w:hint="eastAsia" w:ascii="仿宋_GB2312" w:eastAsia="仿宋_GB2312" w:cs="Times New Roman"/>
          <w:sz w:val="32"/>
          <w:szCs w:val="32"/>
        </w:rPr>
        <w:t>大力推进审计成果应用，彰显审计价值。</w:t>
      </w:r>
    </w:p>
    <w:p w14:paraId="4CBABC0C">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目标：审计成果运用是审计工作非常重要的一环。通过提炼审计工作经验、推广制度创新做法，进行经验交流和学习，促使审计机关、审计人员共同进步；通过提出或采取相关措施，推动被审计单位对审计发现的问题进行整改或进行体制、机制、制度的完善，为县委、县府决策提供依据。</w:t>
      </w:r>
    </w:p>
    <w:p w14:paraId="76C3268C">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绩效指标：政策建议采纳率达到85%以上，审计问题整改率达到85%以上，根据审计建议推动被审计单位建立健全规章制度。</w:t>
      </w:r>
    </w:p>
    <w:p w14:paraId="759363FE">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（三）工作保障措施</w:t>
      </w:r>
    </w:p>
    <w:p w14:paraId="22A3F359">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我局将进一步贯彻落实党的十九大精神，紧紧围绕县委县政府的中心和重点工作，结合审计工作实际，依法履行审计监督职责，当好公共资金的“守护者”，不断提高审计的能力和水平，为县经济和社会科学发展作出更大贡献。</w:t>
      </w:r>
    </w:p>
    <w:p w14:paraId="07551E5F">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一是继续开展重大政策措施落实情况跟踪审计。根据省厅及市局统一安排，紧紧围绕打好“三大攻坚战”，重点对政策措施落实、防范地方债务风险、</w:t>
      </w:r>
      <w:r>
        <w:rPr>
          <w:rFonts w:hint="eastAsia" w:ascii="仿宋_GB2312" w:eastAsia="仿宋_GB2312" w:cs="Times New Roman"/>
          <w:sz w:val="32"/>
          <w:szCs w:val="32"/>
          <w:lang w:eastAsia="zh-CN"/>
        </w:rPr>
        <w:t>脱贫攻坚</w:t>
      </w:r>
      <w:r>
        <w:rPr>
          <w:rFonts w:hint="eastAsia" w:ascii="仿宋_GB2312" w:eastAsia="仿宋_GB2312" w:cs="Times New Roman"/>
          <w:sz w:val="32"/>
          <w:szCs w:val="32"/>
        </w:rPr>
        <w:t>等方面开展跟踪审计，从资金的申请、拨付、使用各环节，对资金全链条进行审计监督，确保国家资金的运行安全和国家各项重大政策的落实到位。</w:t>
      </w:r>
    </w:p>
    <w:p w14:paraId="73A19729">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二是深化财政预算执行审计。以加强财政管理、完善预算制度、规范资金分配行为、提高财政资金使用效益为目标，着力揭示预算管理中存在的突出问题、财政运行中的不安全因素和潜在风险。重点关注政府预算与部门预算的匹配情况及科学性、合理合规性，关注政府性基金项目收支的规范性和政策目标的实现程度等情况，进一步规范和细化基金预算管理，推动进一步提高财政管理的科学化和精细化水平。通过审计，把握部门预算管理总体情况及其执行结果，关注涉及民生的专项资金管理使用情况以及效益性。促进部门预算编报科学、合理，预算执行严格规范。</w:t>
      </w:r>
    </w:p>
    <w:p w14:paraId="6BE3BBEB">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三是继续加强经济责任审计工作。以促进领导干部贯彻执行党和国家有关经济方针政策和决策部署，推动本地区、本部门、本单位科学发展和守法、守纪、守规、尽责为目标，着力发挥经济责任审计在坚持五大发展理念、协调推进“五位一体”和“四个全面”总体布局、加强党组织建设、促进领导干部更好践行新发展理念等方面的积极作用，继续组织开展对科级领导干部的经济责任审计工作。加强与县委组织部、县纪委监委等部门的协调联系和配合，协调建立我县经济责任审计联席会议制度，加大被审单位存在问题的整改力度，进一步提高经济责任审计的作用和效果。</w:t>
      </w:r>
    </w:p>
    <w:p w14:paraId="18B90593">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四是强化对财政投资项目的审计。严格落实县政府提出的财政评审和结算审计相结合的原则，实施财政投资项目审计全覆盖，确保财政资金的安全和效益。</w:t>
      </w:r>
    </w:p>
    <w:p w14:paraId="38B0DC93">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五是围绕县委县政府重点工作落实，配合有关部门开展工作，发挥审计在党和国家监督体系中的重要作用。配合各拆迁指挥部做好拆迁和回迁安置工作；配合纪委做好巡察办案工作。</w:t>
      </w:r>
    </w:p>
    <w:p w14:paraId="7FBE5EB8">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六是全力做好县委县政府和市局交办各项工作。按照时间、质量和目标要求，制定详细具体的工作方案，上报准确有说服力的审计报告，为县委县政府决策提供有价值的服务。</w:t>
      </w:r>
    </w:p>
    <w:p w14:paraId="63A056BE">
      <w:pPr>
        <w:overflowPunct w:val="0"/>
        <w:adjustRightInd w:val="0"/>
        <w:snapToGrid w:val="0"/>
        <w:spacing w:after="156" w:afterLines="50" w:line="580" w:lineRule="exact"/>
        <w:ind w:firstLine="630" w:firstLineChars="196"/>
        <w:jc w:val="left"/>
        <w:rPr>
          <w:rFonts w:ascii="楷体_GB2312" w:eastAsia="楷体_GB2312" w:cs="Times New Roman"/>
          <w:b/>
          <w:sz w:val="32"/>
          <w:szCs w:val="32"/>
        </w:rPr>
      </w:pPr>
      <w:r>
        <w:rPr>
          <w:rFonts w:hint="eastAsia" w:ascii="楷体_GB2312" w:eastAsia="楷体_GB2312" w:cs="Times New Roman"/>
          <w:b/>
          <w:sz w:val="32"/>
          <w:szCs w:val="32"/>
        </w:rPr>
        <w:t>（四）部门整体支出绩效指标</w:t>
      </w:r>
    </w:p>
    <w:tbl>
      <w:tblPr>
        <w:tblStyle w:val="8"/>
        <w:tblW w:w="8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558"/>
        <w:gridCol w:w="825"/>
        <w:gridCol w:w="897"/>
        <w:gridCol w:w="2172"/>
        <w:gridCol w:w="1483"/>
        <w:gridCol w:w="543"/>
        <w:gridCol w:w="488"/>
        <w:gridCol w:w="573"/>
        <w:gridCol w:w="1277"/>
      </w:tblGrid>
      <w:tr w14:paraId="6B1DD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26" w:hRule="atLeast"/>
          <w:tblHeader/>
          <w:jc w:val="center"/>
        </w:trPr>
        <w:tc>
          <w:tcPr>
            <w:tcW w:w="558" w:type="dxa"/>
            <w:vMerge w:val="restart"/>
            <w:tcBorders>
              <w:tl2br w:val="nil"/>
              <w:tr2bl w:val="nil"/>
            </w:tcBorders>
            <w:vAlign w:val="center"/>
          </w:tcPr>
          <w:p w14:paraId="25C522F0">
            <w:pPr>
              <w:widowControl/>
              <w:adjustRightInd w:val="0"/>
              <w:snapToGrid w:val="0"/>
              <w:jc w:val="center"/>
              <w:rPr>
                <w:rFonts w:ascii="方正书宋_GBK" w:eastAsia="方正书宋_GBK"/>
                <w:b/>
              </w:rPr>
            </w:pPr>
            <w:r>
              <w:rPr>
                <w:rFonts w:ascii="方正书宋_GBK" w:eastAsia="方正书宋_GBK"/>
                <w:b/>
              </w:rPr>
              <w:t>一级指标</w:t>
            </w:r>
          </w:p>
        </w:tc>
        <w:tc>
          <w:tcPr>
            <w:tcW w:w="825" w:type="dxa"/>
            <w:vMerge w:val="restart"/>
            <w:tcBorders>
              <w:tl2br w:val="nil"/>
              <w:tr2bl w:val="nil"/>
            </w:tcBorders>
            <w:vAlign w:val="center"/>
          </w:tcPr>
          <w:p w14:paraId="52509AD5">
            <w:pPr>
              <w:widowControl/>
              <w:adjustRightInd w:val="0"/>
              <w:snapToGrid w:val="0"/>
              <w:jc w:val="center"/>
              <w:rPr>
                <w:rFonts w:ascii="方正书宋_GBK" w:eastAsia="方正书宋_GBK"/>
                <w:b/>
              </w:rPr>
            </w:pPr>
            <w:r>
              <w:rPr>
                <w:rFonts w:ascii="方正书宋_GBK" w:eastAsia="方正书宋_GBK"/>
                <w:b/>
              </w:rPr>
              <w:t>二级</w:t>
            </w:r>
          </w:p>
          <w:p w14:paraId="200AAE57">
            <w:pPr>
              <w:widowControl/>
              <w:adjustRightInd w:val="0"/>
              <w:snapToGrid w:val="0"/>
              <w:jc w:val="center"/>
              <w:rPr>
                <w:rFonts w:ascii="方正书宋_GBK" w:eastAsia="方正书宋_GBK"/>
                <w:b/>
              </w:rPr>
            </w:pPr>
            <w:r>
              <w:rPr>
                <w:rFonts w:ascii="方正书宋_GBK" w:eastAsia="方正书宋_GBK"/>
                <w:b/>
              </w:rPr>
              <w:t>指标</w:t>
            </w:r>
          </w:p>
        </w:tc>
        <w:tc>
          <w:tcPr>
            <w:tcW w:w="897" w:type="dxa"/>
            <w:vMerge w:val="restart"/>
            <w:tcBorders>
              <w:tl2br w:val="nil"/>
              <w:tr2bl w:val="nil"/>
            </w:tcBorders>
            <w:vAlign w:val="center"/>
          </w:tcPr>
          <w:p w14:paraId="79B1F054">
            <w:pPr>
              <w:widowControl/>
              <w:adjustRightInd w:val="0"/>
              <w:snapToGrid w:val="0"/>
              <w:jc w:val="center"/>
              <w:rPr>
                <w:rFonts w:ascii="方正书宋_GBK" w:eastAsia="方正书宋_GBK"/>
                <w:b/>
              </w:rPr>
            </w:pPr>
            <w:r>
              <w:rPr>
                <w:rFonts w:ascii="方正书宋_GBK" w:eastAsia="方正书宋_GBK"/>
                <w:b/>
              </w:rPr>
              <w:t>三级</w:t>
            </w:r>
          </w:p>
          <w:p w14:paraId="28683BE5">
            <w:pPr>
              <w:widowControl/>
              <w:adjustRightInd w:val="0"/>
              <w:snapToGrid w:val="0"/>
              <w:jc w:val="center"/>
              <w:rPr>
                <w:rFonts w:ascii="方正书宋_GBK" w:eastAsia="方正书宋_GBK"/>
                <w:b/>
              </w:rPr>
            </w:pPr>
            <w:r>
              <w:rPr>
                <w:rFonts w:ascii="方正书宋_GBK" w:eastAsia="方正书宋_GBK"/>
                <w:b/>
              </w:rPr>
              <w:t>指标</w:t>
            </w:r>
          </w:p>
        </w:tc>
        <w:tc>
          <w:tcPr>
            <w:tcW w:w="2172" w:type="dxa"/>
            <w:vMerge w:val="restart"/>
            <w:tcBorders>
              <w:tl2br w:val="nil"/>
              <w:tr2bl w:val="nil"/>
            </w:tcBorders>
            <w:vAlign w:val="center"/>
          </w:tcPr>
          <w:p w14:paraId="23CAB789">
            <w:pPr>
              <w:widowControl/>
              <w:adjustRightInd w:val="0"/>
              <w:snapToGrid w:val="0"/>
              <w:jc w:val="center"/>
              <w:rPr>
                <w:rFonts w:ascii="方正书宋_GBK" w:eastAsia="方正书宋_GBK"/>
                <w:b/>
              </w:rPr>
            </w:pPr>
            <w:r>
              <w:rPr>
                <w:rFonts w:ascii="方正书宋_GBK" w:eastAsia="方正书宋_GBK"/>
                <w:b/>
              </w:rPr>
              <w:t>评（扣）分标准</w:t>
            </w:r>
          </w:p>
        </w:tc>
        <w:tc>
          <w:tcPr>
            <w:tcW w:w="1483" w:type="dxa"/>
            <w:vMerge w:val="restart"/>
            <w:tcBorders>
              <w:tl2br w:val="nil"/>
              <w:tr2bl w:val="nil"/>
            </w:tcBorders>
            <w:vAlign w:val="center"/>
          </w:tcPr>
          <w:p w14:paraId="1803F490">
            <w:pPr>
              <w:widowControl/>
              <w:adjustRightInd w:val="0"/>
              <w:snapToGrid w:val="0"/>
              <w:jc w:val="center"/>
              <w:rPr>
                <w:rFonts w:ascii="方正书宋_GBK" w:eastAsia="方正书宋_GBK"/>
                <w:b/>
              </w:rPr>
            </w:pPr>
            <w:r>
              <w:rPr>
                <w:rFonts w:ascii="方正书宋_GBK" w:eastAsia="方正书宋_GBK"/>
                <w:b/>
              </w:rPr>
              <w:t>绩效指标</w:t>
            </w:r>
          </w:p>
          <w:p w14:paraId="20EF0DF1">
            <w:pPr>
              <w:widowControl/>
              <w:adjustRightInd w:val="0"/>
              <w:snapToGrid w:val="0"/>
              <w:jc w:val="center"/>
              <w:rPr>
                <w:rFonts w:ascii="方正书宋_GBK" w:eastAsia="方正书宋_GBK"/>
                <w:b/>
              </w:rPr>
            </w:pPr>
            <w:r>
              <w:rPr>
                <w:rFonts w:ascii="方正书宋_GBK" w:eastAsia="方正书宋_GBK"/>
                <w:b/>
              </w:rPr>
              <w:t>描述</w:t>
            </w:r>
          </w:p>
        </w:tc>
        <w:tc>
          <w:tcPr>
            <w:tcW w:w="1604" w:type="dxa"/>
            <w:gridSpan w:val="3"/>
            <w:tcBorders>
              <w:tl2br w:val="nil"/>
              <w:tr2bl w:val="nil"/>
            </w:tcBorders>
            <w:vAlign w:val="center"/>
          </w:tcPr>
          <w:p w14:paraId="1C044D4C">
            <w:pPr>
              <w:widowControl/>
              <w:adjustRightInd w:val="0"/>
              <w:snapToGrid w:val="0"/>
              <w:jc w:val="center"/>
              <w:rPr>
                <w:rFonts w:ascii="方正书宋_GBK" w:eastAsia="方正书宋_GBK"/>
                <w:b/>
              </w:rPr>
            </w:pPr>
            <w:r>
              <w:rPr>
                <w:rFonts w:ascii="方正书宋_GBK" w:eastAsia="方正书宋_GBK"/>
                <w:b/>
              </w:rPr>
              <w:t>指标值</w:t>
            </w:r>
          </w:p>
        </w:tc>
        <w:tc>
          <w:tcPr>
            <w:tcW w:w="1277" w:type="dxa"/>
            <w:vMerge w:val="restart"/>
            <w:tcBorders>
              <w:tl2br w:val="nil"/>
              <w:tr2bl w:val="nil"/>
            </w:tcBorders>
            <w:vAlign w:val="center"/>
          </w:tcPr>
          <w:p w14:paraId="7D8082A1">
            <w:pPr>
              <w:widowControl/>
              <w:adjustRightInd w:val="0"/>
              <w:snapToGrid w:val="0"/>
              <w:jc w:val="center"/>
              <w:rPr>
                <w:rFonts w:ascii="方正书宋_GBK" w:eastAsia="方正书宋_GBK"/>
                <w:b/>
              </w:rPr>
            </w:pPr>
            <w:r>
              <w:rPr>
                <w:rFonts w:ascii="方正书宋_GBK" w:eastAsia="方正书宋_GBK"/>
                <w:b/>
              </w:rPr>
              <w:t>指标值</w:t>
            </w:r>
          </w:p>
          <w:p w14:paraId="51170E74">
            <w:pPr>
              <w:widowControl/>
              <w:adjustRightInd w:val="0"/>
              <w:snapToGrid w:val="0"/>
              <w:jc w:val="center"/>
              <w:rPr>
                <w:rFonts w:ascii="方正书宋_GBK" w:eastAsia="方正书宋_GBK"/>
                <w:b/>
              </w:rPr>
            </w:pPr>
            <w:r>
              <w:rPr>
                <w:rFonts w:ascii="方正书宋_GBK" w:eastAsia="方正书宋_GBK"/>
                <w:b/>
              </w:rPr>
              <w:t>确定依据</w:t>
            </w:r>
          </w:p>
        </w:tc>
      </w:tr>
      <w:tr w14:paraId="14145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33" w:hRule="atLeast"/>
          <w:tblHeader/>
          <w:jc w:val="center"/>
        </w:trPr>
        <w:tc>
          <w:tcPr>
            <w:tcW w:w="558" w:type="dxa"/>
            <w:vMerge w:val="continue"/>
            <w:tcBorders>
              <w:tl2br w:val="nil"/>
              <w:tr2bl w:val="nil"/>
            </w:tcBorders>
            <w:vAlign w:val="center"/>
          </w:tcPr>
          <w:p w14:paraId="5FB8744E"/>
        </w:tc>
        <w:tc>
          <w:tcPr>
            <w:tcW w:w="825" w:type="dxa"/>
            <w:vMerge w:val="continue"/>
            <w:tcBorders>
              <w:tl2br w:val="nil"/>
              <w:tr2bl w:val="nil"/>
            </w:tcBorders>
            <w:vAlign w:val="center"/>
          </w:tcPr>
          <w:p w14:paraId="4745A10F"/>
        </w:tc>
        <w:tc>
          <w:tcPr>
            <w:tcW w:w="897" w:type="dxa"/>
            <w:vMerge w:val="continue"/>
            <w:tcBorders>
              <w:tl2br w:val="nil"/>
              <w:tr2bl w:val="nil"/>
            </w:tcBorders>
            <w:vAlign w:val="center"/>
          </w:tcPr>
          <w:p w14:paraId="6C96D318"/>
        </w:tc>
        <w:tc>
          <w:tcPr>
            <w:tcW w:w="2172" w:type="dxa"/>
            <w:vMerge w:val="continue"/>
            <w:tcBorders>
              <w:tl2br w:val="nil"/>
              <w:tr2bl w:val="nil"/>
            </w:tcBorders>
            <w:vAlign w:val="center"/>
          </w:tcPr>
          <w:p w14:paraId="099979AA"/>
        </w:tc>
        <w:tc>
          <w:tcPr>
            <w:tcW w:w="1483" w:type="dxa"/>
            <w:vMerge w:val="continue"/>
            <w:tcBorders>
              <w:tl2br w:val="nil"/>
              <w:tr2bl w:val="nil"/>
            </w:tcBorders>
            <w:vAlign w:val="center"/>
          </w:tcPr>
          <w:p w14:paraId="713E4ED9"/>
        </w:tc>
        <w:tc>
          <w:tcPr>
            <w:tcW w:w="543" w:type="dxa"/>
            <w:tcBorders>
              <w:tl2br w:val="nil"/>
              <w:tr2bl w:val="nil"/>
            </w:tcBorders>
            <w:vAlign w:val="center"/>
          </w:tcPr>
          <w:p w14:paraId="5D349D6D">
            <w:pPr>
              <w:widowControl/>
              <w:adjustRightInd w:val="0"/>
              <w:snapToGrid w:val="0"/>
              <w:jc w:val="center"/>
              <w:rPr>
                <w:rFonts w:ascii="方正书宋_GBK" w:eastAsia="方正书宋_GBK"/>
                <w:b/>
              </w:rPr>
            </w:pPr>
            <w:r>
              <w:rPr>
                <w:rFonts w:ascii="方正书宋_GBK" w:eastAsia="方正书宋_GBK"/>
                <w:b/>
              </w:rPr>
              <w:t>符号</w:t>
            </w:r>
          </w:p>
        </w:tc>
        <w:tc>
          <w:tcPr>
            <w:tcW w:w="488" w:type="dxa"/>
            <w:tcBorders>
              <w:tl2br w:val="nil"/>
              <w:tr2bl w:val="nil"/>
            </w:tcBorders>
            <w:vAlign w:val="center"/>
          </w:tcPr>
          <w:p w14:paraId="40644298">
            <w:pPr>
              <w:widowControl/>
              <w:adjustRightInd w:val="0"/>
              <w:snapToGrid w:val="0"/>
              <w:jc w:val="center"/>
              <w:rPr>
                <w:rFonts w:ascii="方正书宋_GBK" w:eastAsia="方正书宋_GBK"/>
                <w:b/>
              </w:rPr>
            </w:pPr>
            <w:r>
              <w:rPr>
                <w:rFonts w:ascii="方正书宋_GBK" w:eastAsia="方正书宋_GBK"/>
                <w:b/>
              </w:rPr>
              <w:t>值</w:t>
            </w:r>
          </w:p>
        </w:tc>
        <w:tc>
          <w:tcPr>
            <w:tcW w:w="573" w:type="dxa"/>
            <w:tcBorders>
              <w:tl2br w:val="nil"/>
              <w:tr2bl w:val="nil"/>
            </w:tcBorders>
            <w:vAlign w:val="center"/>
          </w:tcPr>
          <w:p w14:paraId="335E3BC6">
            <w:pPr>
              <w:widowControl/>
              <w:adjustRightInd w:val="0"/>
              <w:snapToGrid w:val="0"/>
              <w:jc w:val="center"/>
              <w:rPr>
                <w:rFonts w:ascii="方正书宋_GBK" w:eastAsia="方正书宋_GBK"/>
                <w:b/>
              </w:rPr>
            </w:pPr>
            <w:r>
              <w:rPr>
                <w:rFonts w:ascii="方正书宋_GBK" w:eastAsia="方正书宋_GBK"/>
                <w:b/>
              </w:rPr>
              <w:t>单位</w:t>
            </w:r>
          </w:p>
        </w:tc>
        <w:tc>
          <w:tcPr>
            <w:tcW w:w="1277" w:type="dxa"/>
            <w:vMerge w:val="continue"/>
            <w:tcBorders>
              <w:tl2br w:val="nil"/>
              <w:tr2bl w:val="nil"/>
            </w:tcBorders>
            <w:vAlign w:val="center"/>
          </w:tcPr>
          <w:p w14:paraId="3B315617"/>
        </w:tc>
      </w:tr>
      <w:tr w14:paraId="35308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94" w:hRule="atLeast"/>
          <w:jc w:val="center"/>
        </w:trPr>
        <w:tc>
          <w:tcPr>
            <w:tcW w:w="558" w:type="dxa"/>
            <w:vMerge w:val="restart"/>
            <w:tcBorders>
              <w:tl2br w:val="nil"/>
              <w:tr2bl w:val="nil"/>
            </w:tcBorders>
            <w:vAlign w:val="center"/>
          </w:tcPr>
          <w:p w14:paraId="79C0932C">
            <w:pPr>
              <w:widowControl/>
              <w:adjustRightInd w:val="0"/>
              <w:snapToGrid w:val="0"/>
              <w:jc w:val="center"/>
              <w:rPr>
                <w:rFonts w:ascii="方正书宋_GBK" w:eastAsia="方正书宋_GBK"/>
              </w:rPr>
            </w:pPr>
            <w:r>
              <w:rPr>
                <w:rFonts w:ascii="方正书宋_GBK" w:eastAsia="方正书宋_GBK"/>
              </w:rPr>
              <w:t>部门产出</w:t>
            </w:r>
          </w:p>
        </w:tc>
        <w:tc>
          <w:tcPr>
            <w:tcW w:w="825" w:type="dxa"/>
            <w:tcBorders>
              <w:tl2br w:val="nil"/>
              <w:tr2bl w:val="nil"/>
            </w:tcBorders>
            <w:vAlign w:val="center"/>
          </w:tcPr>
          <w:p w14:paraId="7EE78174">
            <w:pPr>
              <w:widowControl/>
              <w:adjustRightInd w:val="0"/>
              <w:snapToGrid w:val="0"/>
              <w:jc w:val="center"/>
              <w:rPr>
                <w:rFonts w:ascii="方正书宋_GBK" w:eastAsia="方正书宋_GBK"/>
              </w:rPr>
            </w:pPr>
            <w:r>
              <w:rPr>
                <w:rFonts w:ascii="方正书宋_GBK" w:eastAsia="方正书宋_GBK"/>
              </w:rPr>
              <w:t>数量</w:t>
            </w:r>
          </w:p>
        </w:tc>
        <w:tc>
          <w:tcPr>
            <w:tcW w:w="897" w:type="dxa"/>
            <w:tcBorders>
              <w:tl2br w:val="nil"/>
              <w:tr2bl w:val="nil"/>
            </w:tcBorders>
            <w:vAlign w:val="center"/>
          </w:tcPr>
          <w:p w14:paraId="0595FADC">
            <w:pPr>
              <w:widowControl/>
              <w:adjustRightInd w:val="0"/>
              <w:snapToGrid w:val="0"/>
              <w:rPr>
                <w:rFonts w:hint="default" w:ascii="方正书宋_GBK" w:eastAsia="方正书宋_GBK"/>
                <w:lang w:val="en-US" w:eastAsia="zh-CN"/>
              </w:rPr>
            </w:pPr>
            <w:r>
              <w:rPr>
                <w:rFonts w:hint="eastAsia" w:ascii="方正书宋_GBK" w:eastAsia="方正书宋_GBK"/>
                <w:lang w:val="en-US" w:eastAsia="zh-CN"/>
              </w:rPr>
              <w:t>审计项目数量</w:t>
            </w:r>
          </w:p>
        </w:tc>
        <w:tc>
          <w:tcPr>
            <w:tcW w:w="2172" w:type="dxa"/>
            <w:tcBorders>
              <w:tl2br w:val="nil"/>
              <w:tr2bl w:val="nil"/>
            </w:tcBorders>
            <w:vAlign w:val="center"/>
          </w:tcPr>
          <w:p w14:paraId="09B468BD">
            <w:pPr>
              <w:widowControl/>
              <w:adjustRightInd w:val="0"/>
              <w:snapToGrid w:val="0"/>
              <w:rPr>
                <w:rFonts w:ascii="方正书宋_GBK" w:eastAsia="方正书宋_GBK"/>
              </w:rPr>
            </w:pPr>
            <w:r>
              <w:rPr>
                <w:rFonts w:hint="eastAsia" w:ascii="方正书宋_GBK" w:eastAsia="方正书宋_GBK"/>
                <w:lang w:val="en-US" w:eastAsia="zh-CN"/>
              </w:rPr>
              <w:t>审计项目数量</w:t>
            </w:r>
          </w:p>
        </w:tc>
        <w:tc>
          <w:tcPr>
            <w:tcW w:w="1483" w:type="dxa"/>
            <w:tcBorders>
              <w:tl2br w:val="nil"/>
              <w:tr2bl w:val="nil"/>
            </w:tcBorders>
            <w:vAlign w:val="center"/>
          </w:tcPr>
          <w:p w14:paraId="049B520F">
            <w:pPr>
              <w:widowControl/>
              <w:adjustRightInd w:val="0"/>
              <w:snapToGrid w:val="0"/>
              <w:rPr>
                <w:rFonts w:hint="default" w:ascii="方正书宋_GBK" w:eastAsia="方正书宋_GBK"/>
                <w:lang w:val="en-US" w:eastAsia="zh-CN"/>
              </w:rPr>
            </w:pPr>
            <w:r>
              <w:rPr>
                <w:rFonts w:hint="eastAsia" w:ascii="方正书宋_GBK" w:eastAsia="方正书宋_GBK"/>
                <w:lang w:val="en-US" w:eastAsia="zh-CN"/>
              </w:rPr>
              <w:t>审计项目数量</w:t>
            </w:r>
          </w:p>
        </w:tc>
        <w:tc>
          <w:tcPr>
            <w:tcW w:w="543" w:type="dxa"/>
            <w:tcBorders>
              <w:tl2br w:val="nil"/>
              <w:tr2bl w:val="nil"/>
            </w:tcBorders>
            <w:vAlign w:val="center"/>
          </w:tcPr>
          <w:p w14:paraId="56CE57DB">
            <w:pPr>
              <w:widowControl/>
              <w:adjustRightInd w:val="0"/>
              <w:snapToGrid w:val="0"/>
              <w:jc w:val="center"/>
              <w:rPr>
                <w:rFonts w:ascii="方正书宋_GBK" w:eastAsia="方正书宋_GBK"/>
              </w:rPr>
            </w:pPr>
            <w:r>
              <w:rPr>
                <w:rFonts w:hint="eastAsia" w:ascii="宋体" w:hAnsi="宋体" w:eastAsia="宋体" w:cs="宋体"/>
              </w:rPr>
              <w:t>≧</w:t>
            </w:r>
          </w:p>
        </w:tc>
        <w:tc>
          <w:tcPr>
            <w:tcW w:w="488" w:type="dxa"/>
            <w:tcBorders>
              <w:tl2br w:val="nil"/>
              <w:tr2bl w:val="nil"/>
            </w:tcBorders>
            <w:vAlign w:val="center"/>
          </w:tcPr>
          <w:p w14:paraId="580B8554">
            <w:pPr>
              <w:widowControl/>
              <w:adjustRightInd w:val="0"/>
              <w:snapToGrid w:val="0"/>
              <w:jc w:val="center"/>
              <w:rPr>
                <w:rFonts w:hint="default" w:ascii="方正书宋_GBK" w:eastAsia="方正书宋_GBK"/>
                <w:lang w:val="en-US" w:eastAsia="zh-CN"/>
              </w:rPr>
            </w:pPr>
            <w:r>
              <w:rPr>
                <w:rFonts w:hint="eastAsia" w:ascii="方正书宋_GBK" w:eastAsia="方正书宋_GBK"/>
                <w:lang w:val="en-US" w:eastAsia="zh-CN"/>
              </w:rPr>
              <w:t>30</w:t>
            </w:r>
          </w:p>
        </w:tc>
        <w:tc>
          <w:tcPr>
            <w:tcW w:w="573" w:type="dxa"/>
            <w:tcBorders>
              <w:tl2br w:val="nil"/>
              <w:tr2bl w:val="nil"/>
            </w:tcBorders>
            <w:vAlign w:val="center"/>
          </w:tcPr>
          <w:p w14:paraId="3FAB7104">
            <w:pPr>
              <w:widowControl/>
              <w:adjustRightInd w:val="0"/>
              <w:snapToGrid w:val="0"/>
              <w:jc w:val="center"/>
              <w:rPr>
                <w:rFonts w:hint="eastAsia" w:ascii="方正书宋_GBK" w:eastAsia="方正书宋_GBK"/>
                <w:lang w:val="en-US" w:eastAsia="zh-CN"/>
              </w:rPr>
            </w:pPr>
            <w:r>
              <w:rPr>
                <w:rFonts w:hint="eastAsia" w:ascii="方正书宋_GBK" w:eastAsia="方正书宋_GBK"/>
                <w:lang w:val="en-US" w:eastAsia="zh-CN"/>
              </w:rPr>
              <w:t>项目</w:t>
            </w:r>
          </w:p>
        </w:tc>
        <w:tc>
          <w:tcPr>
            <w:tcW w:w="1277" w:type="dxa"/>
            <w:tcBorders>
              <w:tl2br w:val="nil"/>
              <w:tr2bl w:val="nil"/>
            </w:tcBorders>
            <w:vAlign w:val="center"/>
          </w:tcPr>
          <w:p w14:paraId="7B57EF4D">
            <w:pPr>
              <w:widowControl/>
              <w:adjustRightInd w:val="0"/>
              <w:snapToGrid w:val="0"/>
              <w:rPr>
                <w:rFonts w:hint="eastAsia" w:ascii="方正书宋_GBK" w:eastAsia="方正书宋_GBK"/>
                <w:lang w:val="en-US" w:eastAsia="zh-CN"/>
              </w:rPr>
            </w:pPr>
            <w:r>
              <w:rPr>
                <w:rFonts w:hint="eastAsia" w:ascii="方正书宋_GBK" w:eastAsia="方正书宋_GBK"/>
                <w:lang w:val="en-US" w:eastAsia="zh-CN"/>
              </w:rPr>
              <w:t>历史标准</w:t>
            </w:r>
          </w:p>
        </w:tc>
      </w:tr>
      <w:tr w14:paraId="2FA63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31CE47EB"/>
        </w:tc>
        <w:tc>
          <w:tcPr>
            <w:tcW w:w="825" w:type="dxa"/>
            <w:tcBorders>
              <w:tl2br w:val="nil"/>
              <w:tr2bl w:val="nil"/>
            </w:tcBorders>
            <w:vAlign w:val="center"/>
          </w:tcPr>
          <w:p w14:paraId="5E9D467D">
            <w:pPr>
              <w:widowControl/>
              <w:adjustRightInd w:val="0"/>
              <w:snapToGrid w:val="0"/>
              <w:jc w:val="center"/>
              <w:rPr>
                <w:rFonts w:ascii="方正书宋_GBK" w:eastAsia="方正书宋_GBK"/>
              </w:rPr>
            </w:pPr>
            <w:r>
              <w:rPr>
                <w:rFonts w:ascii="方正书宋_GBK" w:eastAsia="方正书宋_GBK"/>
              </w:rPr>
              <w:t>质量</w:t>
            </w:r>
          </w:p>
        </w:tc>
        <w:tc>
          <w:tcPr>
            <w:tcW w:w="897" w:type="dxa"/>
            <w:tcBorders>
              <w:tl2br w:val="nil"/>
              <w:tr2bl w:val="nil"/>
            </w:tcBorders>
            <w:vAlign w:val="center"/>
          </w:tcPr>
          <w:p w14:paraId="4C1E86BD">
            <w:pPr>
              <w:widowControl/>
              <w:adjustRightInd w:val="0"/>
              <w:snapToGrid w:val="0"/>
              <w:rPr>
                <w:rFonts w:hint="default" w:ascii="方正书宋_GBK" w:eastAsia="方正书宋_GBK"/>
                <w:lang w:val="en-US" w:eastAsia="zh-CN"/>
              </w:rPr>
            </w:pPr>
            <w:r>
              <w:rPr>
                <w:rFonts w:hint="eastAsia" w:ascii="方正书宋_GBK" w:eastAsia="方正书宋_GBK"/>
                <w:lang w:val="en-US" w:eastAsia="zh-CN"/>
              </w:rPr>
              <w:t>审计项目质量评比合格率</w:t>
            </w:r>
          </w:p>
        </w:tc>
        <w:tc>
          <w:tcPr>
            <w:tcW w:w="2172" w:type="dxa"/>
            <w:tcBorders>
              <w:tl2br w:val="nil"/>
              <w:tr2bl w:val="nil"/>
            </w:tcBorders>
            <w:vAlign w:val="center"/>
          </w:tcPr>
          <w:p w14:paraId="6F8DADAB">
            <w:pPr>
              <w:widowControl/>
              <w:adjustRightInd w:val="0"/>
              <w:snapToGrid w:val="0"/>
              <w:rPr>
                <w:rFonts w:ascii="方正书宋_GBK" w:eastAsia="方正书宋_GBK"/>
              </w:rPr>
            </w:pPr>
            <w:r>
              <w:rPr>
                <w:rFonts w:hint="eastAsia" w:ascii="方正书宋_GBK" w:eastAsia="方正书宋_GBK"/>
                <w:lang w:val="en-US" w:eastAsia="zh-CN"/>
              </w:rPr>
              <w:t>审计项目质量评比合格率</w:t>
            </w:r>
          </w:p>
        </w:tc>
        <w:tc>
          <w:tcPr>
            <w:tcW w:w="1483" w:type="dxa"/>
            <w:tcBorders>
              <w:tl2br w:val="nil"/>
              <w:tr2bl w:val="nil"/>
            </w:tcBorders>
            <w:vAlign w:val="center"/>
          </w:tcPr>
          <w:p w14:paraId="359CBAD2">
            <w:pPr>
              <w:widowControl/>
              <w:adjustRightInd w:val="0"/>
              <w:snapToGrid w:val="0"/>
              <w:rPr>
                <w:rFonts w:ascii="方正书宋_GBK" w:eastAsia="方正书宋_GBK"/>
              </w:rPr>
            </w:pPr>
            <w:r>
              <w:rPr>
                <w:rFonts w:hint="eastAsia" w:ascii="方正书宋_GBK" w:eastAsia="方正书宋_GBK"/>
                <w:lang w:val="en-US" w:eastAsia="zh-CN"/>
              </w:rPr>
              <w:t>审计项目质量评比合格率</w:t>
            </w:r>
          </w:p>
        </w:tc>
        <w:tc>
          <w:tcPr>
            <w:tcW w:w="543" w:type="dxa"/>
            <w:tcBorders>
              <w:tl2br w:val="nil"/>
              <w:tr2bl w:val="nil"/>
            </w:tcBorders>
            <w:vAlign w:val="center"/>
          </w:tcPr>
          <w:p w14:paraId="07AF4D93">
            <w:pPr>
              <w:widowControl/>
              <w:adjustRightInd w:val="0"/>
              <w:snapToGrid w:val="0"/>
              <w:jc w:val="center"/>
              <w:rPr>
                <w:rFonts w:ascii="方正书宋_GBK" w:eastAsia="方正书宋_GBK"/>
              </w:rPr>
            </w:pPr>
            <w:r>
              <w:rPr>
                <w:rFonts w:hint="eastAsia" w:ascii="宋体" w:hAnsi="宋体" w:eastAsia="宋体" w:cs="宋体"/>
              </w:rPr>
              <w:t>≧</w:t>
            </w:r>
          </w:p>
        </w:tc>
        <w:tc>
          <w:tcPr>
            <w:tcW w:w="488" w:type="dxa"/>
            <w:tcBorders>
              <w:tl2br w:val="nil"/>
              <w:tr2bl w:val="nil"/>
            </w:tcBorders>
            <w:vAlign w:val="center"/>
          </w:tcPr>
          <w:p w14:paraId="6037B990">
            <w:pPr>
              <w:widowControl/>
              <w:adjustRightInd w:val="0"/>
              <w:snapToGrid w:val="0"/>
              <w:jc w:val="center"/>
              <w:rPr>
                <w:rFonts w:hint="default" w:ascii="方正书宋_GBK" w:eastAsia="方正书宋_GBK"/>
                <w:lang w:val="en-US" w:eastAsia="zh-CN"/>
              </w:rPr>
            </w:pPr>
            <w:r>
              <w:rPr>
                <w:rFonts w:hint="eastAsia" w:ascii="方正书宋_GBK" w:eastAsia="方正书宋_GBK"/>
                <w:lang w:val="en-US" w:eastAsia="zh-CN"/>
              </w:rPr>
              <w:t>95</w:t>
            </w:r>
          </w:p>
        </w:tc>
        <w:tc>
          <w:tcPr>
            <w:tcW w:w="573" w:type="dxa"/>
            <w:tcBorders>
              <w:tl2br w:val="nil"/>
              <w:tr2bl w:val="nil"/>
            </w:tcBorders>
            <w:vAlign w:val="center"/>
          </w:tcPr>
          <w:p w14:paraId="5BC73C9D">
            <w:pPr>
              <w:widowControl/>
              <w:adjustRightInd w:val="0"/>
              <w:snapToGrid w:val="0"/>
              <w:jc w:val="center"/>
              <w:rPr>
                <w:rFonts w:hint="eastAsia" w:ascii="方正书宋_GBK" w:eastAsia="方正书宋_GBK"/>
                <w:lang w:val="en-US" w:eastAsia="zh-CN"/>
              </w:rPr>
            </w:pPr>
            <w:r>
              <w:rPr>
                <w:rFonts w:hint="eastAsia" w:ascii="方正书宋_GBK" w:eastAsia="方正书宋_GBK"/>
                <w:lang w:val="en-US" w:eastAsia="zh-CN"/>
              </w:rPr>
              <w:t>%</w:t>
            </w:r>
          </w:p>
        </w:tc>
        <w:tc>
          <w:tcPr>
            <w:tcW w:w="1277" w:type="dxa"/>
            <w:tcBorders>
              <w:tl2br w:val="nil"/>
              <w:tr2bl w:val="nil"/>
            </w:tcBorders>
            <w:vAlign w:val="center"/>
          </w:tcPr>
          <w:p w14:paraId="20E0A7D6">
            <w:pPr>
              <w:widowControl/>
              <w:adjustRightInd w:val="0"/>
              <w:snapToGrid w:val="0"/>
              <w:rPr>
                <w:rFonts w:hint="eastAsia" w:ascii="方正书宋_GBK" w:eastAsia="方正书宋_GBK"/>
                <w:lang w:eastAsia="zh-CN"/>
              </w:rPr>
            </w:pPr>
            <w:r>
              <w:rPr>
                <w:rFonts w:hint="eastAsia" w:ascii="方正书宋_GBK" w:eastAsia="方正书宋_GBK"/>
                <w:lang w:eastAsia="zh-CN"/>
              </w:rPr>
              <w:t>《</w:t>
            </w:r>
            <w:r>
              <w:rPr>
                <w:rFonts w:hint="eastAsia" w:ascii="方正书宋_GBK" w:eastAsia="方正书宋_GBK"/>
                <w:lang w:val="en-US" w:eastAsia="zh-CN"/>
              </w:rPr>
              <w:t>审计法</w:t>
            </w:r>
            <w:r>
              <w:rPr>
                <w:rFonts w:hint="eastAsia" w:ascii="方正书宋_GBK" w:eastAsia="方正书宋_GBK"/>
                <w:lang w:eastAsia="zh-CN"/>
              </w:rPr>
              <w:t>》</w:t>
            </w:r>
          </w:p>
        </w:tc>
      </w:tr>
      <w:tr w14:paraId="6F597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58" w:hRule="atLeast"/>
          <w:jc w:val="center"/>
        </w:trPr>
        <w:tc>
          <w:tcPr>
            <w:tcW w:w="558" w:type="dxa"/>
            <w:vMerge w:val="continue"/>
            <w:tcBorders>
              <w:tl2br w:val="nil"/>
              <w:tr2bl w:val="nil"/>
            </w:tcBorders>
            <w:vAlign w:val="center"/>
          </w:tcPr>
          <w:p w14:paraId="472A9844"/>
        </w:tc>
        <w:tc>
          <w:tcPr>
            <w:tcW w:w="825" w:type="dxa"/>
            <w:tcBorders>
              <w:tl2br w:val="nil"/>
              <w:tr2bl w:val="nil"/>
            </w:tcBorders>
            <w:vAlign w:val="center"/>
          </w:tcPr>
          <w:p w14:paraId="5169EF53">
            <w:pPr>
              <w:widowControl/>
              <w:adjustRightInd w:val="0"/>
              <w:snapToGrid w:val="0"/>
              <w:jc w:val="center"/>
              <w:rPr>
                <w:rFonts w:ascii="方正书宋_GBK" w:eastAsia="方正书宋_GBK"/>
              </w:rPr>
            </w:pPr>
            <w:r>
              <w:rPr>
                <w:rFonts w:ascii="方正书宋_GBK" w:eastAsia="方正书宋_GBK"/>
              </w:rPr>
              <w:t>时效</w:t>
            </w:r>
          </w:p>
        </w:tc>
        <w:tc>
          <w:tcPr>
            <w:tcW w:w="897" w:type="dxa"/>
            <w:tcBorders>
              <w:tl2br w:val="nil"/>
              <w:tr2bl w:val="nil"/>
            </w:tcBorders>
            <w:vAlign w:val="center"/>
          </w:tcPr>
          <w:p w14:paraId="2BFA88F9">
            <w:pPr>
              <w:widowControl/>
              <w:adjustRightInd w:val="0"/>
              <w:snapToGrid w:val="0"/>
              <w:rPr>
                <w:rFonts w:hint="default" w:ascii="方正书宋_GBK" w:eastAsia="方正书宋_GBK"/>
                <w:lang w:val="en-US" w:eastAsia="zh-CN"/>
              </w:rPr>
            </w:pPr>
            <w:r>
              <w:rPr>
                <w:rFonts w:hint="eastAsia" w:ascii="方正书宋_GBK" w:eastAsia="方正书宋_GBK"/>
                <w:lang w:val="en-US" w:eastAsia="zh-CN"/>
              </w:rPr>
              <w:t>审计项目完成时间</w:t>
            </w:r>
          </w:p>
        </w:tc>
        <w:tc>
          <w:tcPr>
            <w:tcW w:w="2172" w:type="dxa"/>
            <w:tcBorders>
              <w:tl2br w:val="nil"/>
              <w:tr2bl w:val="nil"/>
            </w:tcBorders>
            <w:vAlign w:val="center"/>
          </w:tcPr>
          <w:p w14:paraId="01FDEDDF">
            <w:pPr>
              <w:widowControl/>
              <w:adjustRightInd w:val="0"/>
              <w:snapToGrid w:val="0"/>
              <w:rPr>
                <w:rFonts w:ascii="方正书宋_GBK" w:eastAsia="方正书宋_GBK"/>
              </w:rPr>
            </w:pPr>
            <w:r>
              <w:rPr>
                <w:rFonts w:hint="eastAsia" w:ascii="方正书宋_GBK" w:eastAsia="方正书宋_GBK"/>
                <w:lang w:val="en-US" w:eastAsia="zh-CN"/>
              </w:rPr>
              <w:t>审计项目完成时间</w:t>
            </w:r>
          </w:p>
        </w:tc>
        <w:tc>
          <w:tcPr>
            <w:tcW w:w="1483" w:type="dxa"/>
            <w:tcBorders>
              <w:tl2br w:val="nil"/>
              <w:tr2bl w:val="nil"/>
            </w:tcBorders>
            <w:vAlign w:val="center"/>
          </w:tcPr>
          <w:p w14:paraId="0B10C6F0">
            <w:pPr>
              <w:widowControl/>
              <w:adjustRightInd w:val="0"/>
              <w:snapToGrid w:val="0"/>
              <w:rPr>
                <w:rFonts w:hint="default" w:ascii="方正书宋_GBK" w:eastAsia="方正书宋_GBK"/>
                <w:lang w:val="en-US"/>
              </w:rPr>
            </w:pPr>
            <w:r>
              <w:rPr>
                <w:rFonts w:hint="eastAsia" w:ascii="方正书宋_GBK" w:eastAsia="方正书宋_GBK"/>
                <w:lang w:val="en-US" w:eastAsia="zh-CN"/>
              </w:rPr>
              <w:t>审计项目完成时间</w:t>
            </w:r>
          </w:p>
        </w:tc>
        <w:tc>
          <w:tcPr>
            <w:tcW w:w="543" w:type="dxa"/>
            <w:tcBorders>
              <w:tl2br w:val="nil"/>
              <w:tr2bl w:val="nil"/>
            </w:tcBorders>
            <w:vAlign w:val="center"/>
          </w:tcPr>
          <w:p w14:paraId="12BF0E0C">
            <w:pPr>
              <w:widowControl/>
              <w:adjustRightInd w:val="0"/>
              <w:snapToGrid w:val="0"/>
              <w:jc w:val="center"/>
              <w:rPr>
                <w:rFonts w:ascii="方正书宋_GBK" w:eastAsia="方正书宋_GBK"/>
              </w:rPr>
            </w:pPr>
            <w:r>
              <w:rPr>
                <w:rFonts w:hint="eastAsia" w:ascii="宋体" w:hAnsi="宋体" w:eastAsia="宋体" w:cs="宋体"/>
              </w:rPr>
              <w:t>≦</w:t>
            </w:r>
          </w:p>
        </w:tc>
        <w:tc>
          <w:tcPr>
            <w:tcW w:w="488" w:type="dxa"/>
            <w:tcBorders>
              <w:tl2br w:val="nil"/>
              <w:tr2bl w:val="nil"/>
            </w:tcBorders>
            <w:vAlign w:val="center"/>
          </w:tcPr>
          <w:p w14:paraId="4767423B">
            <w:pPr>
              <w:widowControl/>
              <w:adjustRightInd w:val="0"/>
              <w:snapToGrid w:val="0"/>
              <w:jc w:val="center"/>
              <w:rPr>
                <w:rFonts w:hint="default" w:ascii="方正书宋_GBK" w:eastAsia="方正书宋_GBK"/>
                <w:lang w:val="en-US" w:eastAsia="zh-CN"/>
              </w:rPr>
            </w:pPr>
            <w:r>
              <w:rPr>
                <w:rFonts w:hint="eastAsia" w:ascii="方正书宋_GBK" w:eastAsia="方正书宋_GBK"/>
                <w:lang w:val="en-US" w:eastAsia="zh-CN"/>
              </w:rPr>
              <w:t>12</w:t>
            </w:r>
          </w:p>
        </w:tc>
        <w:tc>
          <w:tcPr>
            <w:tcW w:w="573" w:type="dxa"/>
            <w:tcBorders>
              <w:tl2br w:val="nil"/>
              <w:tr2bl w:val="nil"/>
            </w:tcBorders>
            <w:vAlign w:val="center"/>
          </w:tcPr>
          <w:p w14:paraId="173419CC">
            <w:pPr>
              <w:widowControl/>
              <w:adjustRightInd w:val="0"/>
              <w:snapToGrid w:val="0"/>
              <w:jc w:val="center"/>
              <w:rPr>
                <w:rFonts w:hint="eastAsia" w:ascii="方正书宋_GBK" w:eastAsia="方正书宋_GBK"/>
                <w:lang w:val="en-US" w:eastAsia="zh-CN"/>
              </w:rPr>
            </w:pPr>
            <w:r>
              <w:rPr>
                <w:rFonts w:hint="eastAsia" w:ascii="方正书宋_GBK" w:eastAsia="方正书宋_GBK"/>
                <w:lang w:val="en-US" w:eastAsia="zh-CN"/>
              </w:rPr>
              <w:t>月</w:t>
            </w:r>
          </w:p>
        </w:tc>
        <w:tc>
          <w:tcPr>
            <w:tcW w:w="1277" w:type="dxa"/>
            <w:tcBorders>
              <w:tl2br w:val="nil"/>
              <w:tr2bl w:val="nil"/>
            </w:tcBorders>
            <w:vAlign w:val="center"/>
          </w:tcPr>
          <w:p w14:paraId="4315B13C">
            <w:pPr>
              <w:widowControl/>
              <w:adjustRightInd w:val="0"/>
              <w:snapToGrid w:val="0"/>
              <w:rPr>
                <w:rFonts w:hint="eastAsia" w:ascii="方正书宋_GBK" w:eastAsia="方正书宋_GBK"/>
                <w:lang w:val="en-US" w:eastAsia="zh-CN"/>
              </w:rPr>
            </w:pPr>
            <w:r>
              <w:rPr>
                <w:rFonts w:hint="eastAsia" w:ascii="方正书宋_GBK" w:eastAsia="方正书宋_GBK"/>
                <w:lang w:val="en-US" w:eastAsia="zh-CN"/>
              </w:rPr>
              <w:t>审计实施方案</w:t>
            </w:r>
          </w:p>
        </w:tc>
      </w:tr>
      <w:tr w14:paraId="362E9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7B553021"/>
        </w:tc>
        <w:tc>
          <w:tcPr>
            <w:tcW w:w="825" w:type="dxa"/>
            <w:tcBorders>
              <w:tl2br w:val="nil"/>
              <w:tr2bl w:val="nil"/>
            </w:tcBorders>
            <w:vAlign w:val="center"/>
          </w:tcPr>
          <w:p w14:paraId="68A444FB">
            <w:pPr>
              <w:widowControl/>
              <w:adjustRightInd w:val="0"/>
              <w:snapToGrid w:val="0"/>
              <w:jc w:val="center"/>
              <w:rPr>
                <w:rFonts w:ascii="方正书宋_GBK" w:eastAsia="方正书宋_GBK"/>
              </w:rPr>
            </w:pPr>
            <w:r>
              <w:rPr>
                <w:rFonts w:ascii="方正书宋_GBK" w:eastAsia="方正书宋_GBK"/>
              </w:rPr>
              <w:t>成本</w:t>
            </w:r>
          </w:p>
        </w:tc>
        <w:tc>
          <w:tcPr>
            <w:tcW w:w="897" w:type="dxa"/>
            <w:tcBorders>
              <w:tl2br w:val="nil"/>
              <w:tr2bl w:val="nil"/>
            </w:tcBorders>
            <w:vAlign w:val="center"/>
          </w:tcPr>
          <w:p w14:paraId="283F47CF">
            <w:pPr>
              <w:widowControl/>
              <w:adjustRightInd w:val="0"/>
              <w:snapToGrid w:val="0"/>
              <w:rPr>
                <w:rFonts w:hint="eastAsia" w:ascii="方正书宋_GBK" w:eastAsia="方正书宋_GBK"/>
                <w:lang w:eastAsia="zh-CN"/>
              </w:rPr>
            </w:pPr>
            <w:r>
              <w:rPr>
                <w:rFonts w:hint="eastAsia" w:ascii="方正书宋_GBK" w:eastAsia="方正书宋_GBK"/>
                <w:lang w:eastAsia="zh-CN"/>
              </w:rPr>
              <w:t>经费开支按标准执行</w:t>
            </w:r>
          </w:p>
        </w:tc>
        <w:tc>
          <w:tcPr>
            <w:tcW w:w="2172" w:type="dxa"/>
            <w:tcBorders>
              <w:tl2br w:val="nil"/>
              <w:tr2bl w:val="nil"/>
            </w:tcBorders>
            <w:vAlign w:val="center"/>
          </w:tcPr>
          <w:p w14:paraId="0FD54D98">
            <w:pPr>
              <w:widowControl/>
              <w:adjustRightInd w:val="0"/>
              <w:snapToGrid w:val="0"/>
              <w:rPr>
                <w:rFonts w:hint="default" w:ascii="方正书宋_GBK" w:eastAsia="方正书宋_GBK"/>
                <w:lang w:val="en-US" w:eastAsia="zh-CN"/>
              </w:rPr>
            </w:pPr>
            <w:r>
              <w:rPr>
                <w:rFonts w:hint="eastAsia" w:ascii="方正书宋_GBK" w:eastAsia="方正书宋_GBK"/>
                <w:lang w:val="en-US" w:eastAsia="zh-CN"/>
              </w:rPr>
              <w:t>按统一规定执行</w:t>
            </w:r>
          </w:p>
        </w:tc>
        <w:tc>
          <w:tcPr>
            <w:tcW w:w="1483" w:type="dxa"/>
            <w:tcBorders>
              <w:tl2br w:val="nil"/>
              <w:tr2bl w:val="nil"/>
            </w:tcBorders>
            <w:vAlign w:val="center"/>
          </w:tcPr>
          <w:p w14:paraId="3C4BB97E">
            <w:pPr>
              <w:widowControl/>
              <w:adjustRightInd w:val="0"/>
              <w:snapToGrid w:val="0"/>
              <w:rPr>
                <w:rFonts w:hint="default" w:ascii="方正书宋_GBK" w:eastAsia="方正书宋_GBK"/>
                <w:lang w:val="en-US" w:eastAsia="zh-CN"/>
              </w:rPr>
            </w:pPr>
            <w:r>
              <w:rPr>
                <w:rFonts w:hint="eastAsia" w:ascii="方正书宋_GBK" w:eastAsia="方正书宋_GBK"/>
                <w:lang w:val="en-US" w:eastAsia="zh-CN"/>
              </w:rPr>
              <w:t>日常公用经费及审计业务费的开支标准</w:t>
            </w:r>
          </w:p>
        </w:tc>
        <w:tc>
          <w:tcPr>
            <w:tcW w:w="543" w:type="dxa"/>
            <w:tcBorders>
              <w:tl2br w:val="nil"/>
              <w:tr2bl w:val="nil"/>
            </w:tcBorders>
            <w:vAlign w:val="center"/>
          </w:tcPr>
          <w:p w14:paraId="2356A0A6">
            <w:pPr>
              <w:widowControl/>
              <w:adjustRightInd w:val="0"/>
              <w:snapToGrid w:val="0"/>
              <w:jc w:val="center"/>
              <w:rPr>
                <w:rFonts w:hint="eastAsia" w:ascii="方正书宋_GBK" w:eastAsia="方正书宋_GBK"/>
                <w:lang w:val="en-US" w:eastAsia="zh-CN"/>
              </w:rPr>
            </w:pPr>
            <w:r>
              <w:rPr>
                <w:rFonts w:hint="eastAsia" w:ascii="方正书宋_GBK" w:eastAsia="方正书宋_GBK"/>
                <w:lang w:val="en-US" w:eastAsia="zh-CN"/>
              </w:rPr>
              <w:t>文字描述</w:t>
            </w:r>
          </w:p>
        </w:tc>
        <w:tc>
          <w:tcPr>
            <w:tcW w:w="488" w:type="dxa"/>
            <w:tcBorders>
              <w:tl2br w:val="nil"/>
              <w:tr2bl w:val="nil"/>
            </w:tcBorders>
            <w:vAlign w:val="center"/>
          </w:tcPr>
          <w:p w14:paraId="56A6B617">
            <w:pPr>
              <w:widowControl/>
              <w:adjustRightInd w:val="0"/>
              <w:snapToGrid w:val="0"/>
              <w:jc w:val="center"/>
              <w:rPr>
                <w:rFonts w:ascii="方正书宋_GBK" w:eastAsia="方正书宋_GBK"/>
              </w:rPr>
            </w:pPr>
          </w:p>
        </w:tc>
        <w:tc>
          <w:tcPr>
            <w:tcW w:w="573" w:type="dxa"/>
            <w:tcBorders>
              <w:tl2br w:val="nil"/>
              <w:tr2bl w:val="nil"/>
            </w:tcBorders>
            <w:vAlign w:val="center"/>
          </w:tcPr>
          <w:p w14:paraId="5FBAC5FF">
            <w:pPr>
              <w:widowControl/>
              <w:adjustRightInd w:val="0"/>
              <w:snapToGrid w:val="0"/>
              <w:jc w:val="center"/>
              <w:rPr>
                <w:rFonts w:hint="default" w:ascii="方正书宋_GBK" w:eastAsia="方正书宋_GBK"/>
                <w:lang w:val="en-US" w:eastAsia="zh-CN"/>
              </w:rPr>
            </w:pPr>
            <w:r>
              <w:rPr>
                <w:rFonts w:hint="eastAsia" w:ascii="方正书宋_GBK" w:eastAsia="方正书宋_GBK"/>
                <w:lang w:eastAsia="zh-CN"/>
              </w:rPr>
              <w:t>按</w:t>
            </w:r>
            <w:r>
              <w:rPr>
                <w:rFonts w:hint="eastAsia" w:ascii="方正书宋_GBK" w:eastAsia="方正书宋_GBK"/>
                <w:lang w:val="en-US" w:eastAsia="zh-CN"/>
              </w:rPr>
              <w:t>统一规定执行</w:t>
            </w:r>
          </w:p>
        </w:tc>
        <w:tc>
          <w:tcPr>
            <w:tcW w:w="1277" w:type="dxa"/>
            <w:tcBorders>
              <w:tl2br w:val="nil"/>
              <w:tr2bl w:val="nil"/>
            </w:tcBorders>
            <w:vAlign w:val="center"/>
          </w:tcPr>
          <w:p w14:paraId="6E4BE3E3">
            <w:pPr>
              <w:widowControl/>
              <w:adjustRightInd w:val="0"/>
              <w:snapToGrid w:val="0"/>
              <w:rPr>
                <w:rFonts w:hint="eastAsia" w:ascii="方正书宋_GBK" w:eastAsia="方正书宋_GBK"/>
                <w:lang w:val="en-US" w:eastAsia="zh-CN"/>
              </w:rPr>
            </w:pPr>
            <w:r>
              <w:rPr>
                <w:rFonts w:hint="eastAsia" w:ascii="方正书宋_GBK" w:eastAsia="方正书宋_GBK"/>
                <w:lang w:val="en-US" w:eastAsia="zh-CN"/>
              </w:rPr>
              <w:t>按统一规定执行</w:t>
            </w:r>
          </w:p>
        </w:tc>
      </w:tr>
      <w:tr w14:paraId="36C10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restart"/>
            <w:tcBorders>
              <w:tl2br w:val="nil"/>
              <w:tr2bl w:val="nil"/>
            </w:tcBorders>
            <w:vAlign w:val="center"/>
          </w:tcPr>
          <w:p w14:paraId="3CF6121C">
            <w:pPr>
              <w:adjustRightInd w:val="0"/>
              <w:snapToGrid w:val="0"/>
              <w:jc w:val="center"/>
              <w:rPr>
                <w:rFonts w:ascii="方正书宋_GBK" w:eastAsia="方正书宋_GBK"/>
              </w:rPr>
            </w:pPr>
            <w:r>
              <w:rPr>
                <w:rFonts w:ascii="方正书宋_GBK" w:eastAsia="方正书宋_GBK"/>
              </w:rPr>
              <w:t>部门</w:t>
            </w:r>
            <w:r>
              <w:rPr>
                <w:rFonts w:hint="eastAsia" w:ascii="方正书宋_GBK" w:eastAsia="方正书宋_GBK"/>
              </w:rPr>
              <w:t>效果</w:t>
            </w:r>
          </w:p>
        </w:tc>
        <w:tc>
          <w:tcPr>
            <w:tcW w:w="825" w:type="dxa"/>
            <w:tcBorders>
              <w:tl2br w:val="nil"/>
              <w:tr2bl w:val="nil"/>
            </w:tcBorders>
            <w:vAlign w:val="center"/>
          </w:tcPr>
          <w:p w14:paraId="2740288F">
            <w:pPr>
              <w:widowControl/>
              <w:adjustRightInd w:val="0"/>
              <w:snapToGrid w:val="0"/>
              <w:jc w:val="center"/>
              <w:rPr>
                <w:rFonts w:ascii="方正书宋_GBK" w:eastAsia="方正书宋_GBK"/>
              </w:rPr>
            </w:pPr>
            <w:r>
              <w:rPr>
                <w:rFonts w:ascii="方正书宋_GBK" w:eastAsia="方正书宋_GBK"/>
              </w:rPr>
              <w:t>社会</w:t>
            </w:r>
          </w:p>
          <w:p w14:paraId="046658D6">
            <w:pPr>
              <w:widowControl/>
              <w:adjustRightInd w:val="0"/>
              <w:snapToGrid w:val="0"/>
              <w:jc w:val="center"/>
              <w:rPr>
                <w:rFonts w:ascii="方正书宋_GBK" w:eastAsia="方正书宋_GBK"/>
              </w:rPr>
            </w:pPr>
            <w:r>
              <w:rPr>
                <w:rFonts w:ascii="方正书宋_GBK" w:eastAsia="方正书宋_GBK"/>
              </w:rPr>
              <w:t>效益</w:t>
            </w:r>
          </w:p>
        </w:tc>
        <w:tc>
          <w:tcPr>
            <w:tcW w:w="897" w:type="dxa"/>
            <w:tcBorders>
              <w:tl2br w:val="nil"/>
              <w:tr2bl w:val="nil"/>
            </w:tcBorders>
            <w:vAlign w:val="center"/>
          </w:tcPr>
          <w:p w14:paraId="07BF5FE5">
            <w:pPr>
              <w:widowControl/>
              <w:adjustRightInd w:val="0"/>
              <w:snapToGrid w:val="0"/>
              <w:rPr>
                <w:rFonts w:hint="eastAsia" w:ascii="方正书宋_GBK" w:eastAsia="方正书宋_GBK"/>
                <w:lang w:val="en-US" w:eastAsia="zh-CN"/>
              </w:rPr>
            </w:pPr>
            <w:r>
              <w:rPr>
                <w:rFonts w:hint="eastAsia" w:ascii="方正书宋_GBK" w:eastAsia="方正书宋_GBK"/>
                <w:lang w:val="en-US" w:eastAsia="zh-CN"/>
              </w:rPr>
              <w:t>保障经济健康运行</w:t>
            </w:r>
          </w:p>
        </w:tc>
        <w:tc>
          <w:tcPr>
            <w:tcW w:w="2172" w:type="dxa"/>
            <w:tcBorders>
              <w:tl2br w:val="nil"/>
              <w:tr2bl w:val="nil"/>
            </w:tcBorders>
            <w:vAlign w:val="center"/>
          </w:tcPr>
          <w:p w14:paraId="0B35046F">
            <w:pPr>
              <w:widowControl/>
              <w:adjustRightInd w:val="0"/>
              <w:snapToGrid w:val="0"/>
              <w:rPr>
                <w:rFonts w:ascii="方正书宋_GBK" w:eastAsia="方正书宋_GBK"/>
              </w:rPr>
            </w:pPr>
            <w:r>
              <w:rPr>
                <w:rFonts w:hint="eastAsia" w:ascii="方正书宋_GBK" w:eastAsia="方正书宋_GBK"/>
                <w:lang w:val="en-US" w:eastAsia="zh-CN"/>
              </w:rPr>
              <w:t>保障经济健康运行</w:t>
            </w:r>
          </w:p>
        </w:tc>
        <w:tc>
          <w:tcPr>
            <w:tcW w:w="1483" w:type="dxa"/>
            <w:tcBorders>
              <w:tl2br w:val="nil"/>
              <w:tr2bl w:val="nil"/>
            </w:tcBorders>
            <w:vAlign w:val="center"/>
          </w:tcPr>
          <w:p w14:paraId="3EB5A5D8">
            <w:pPr>
              <w:widowControl/>
              <w:adjustRightInd w:val="0"/>
              <w:snapToGrid w:val="0"/>
              <w:rPr>
                <w:rFonts w:ascii="方正书宋_GBK" w:eastAsia="方正书宋_GBK"/>
              </w:rPr>
            </w:pPr>
            <w:r>
              <w:rPr>
                <w:rFonts w:hint="eastAsia" w:ascii="方正书宋_GBK" w:eastAsia="方正书宋_GBK"/>
                <w:lang w:val="en-US" w:eastAsia="zh-CN"/>
              </w:rPr>
              <w:t>保障经济健康运行</w:t>
            </w:r>
          </w:p>
        </w:tc>
        <w:tc>
          <w:tcPr>
            <w:tcW w:w="543" w:type="dxa"/>
            <w:tcBorders>
              <w:tl2br w:val="nil"/>
              <w:tr2bl w:val="nil"/>
            </w:tcBorders>
            <w:vAlign w:val="center"/>
          </w:tcPr>
          <w:p w14:paraId="658561F1">
            <w:pPr>
              <w:widowControl/>
              <w:adjustRightInd w:val="0"/>
              <w:snapToGrid w:val="0"/>
              <w:jc w:val="center"/>
              <w:rPr>
                <w:rFonts w:hint="eastAsia" w:ascii="方正书宋_GBK" w:eastAsia="方正书宋_GBK"/>
                <w:lang w:eastAsia="zh-CN"/>
              </w:rPr>
            </w:pPr>
            <w:r>
              <w:rPr>
                <w:rFonts w:hint="eastAsia" w:ascii="方正书宋_GBK" w:eastAsia="方正书宋_GBK"/>
                <w:lang w:eastAsia="zh-CN"/>
              </w:rPr>
              <w:t>文字描述</w:t>
            </w:r>
          </w:p>
        </w:tc>
        <w:tc>
          <w:tcPr>
            <w:tcW w:w="488" w:type="dxa"/>
            <w:tcBorders>
              <w:tl2br w:val="nil"/>
              <w:tr2bl w:val="nil"/>
            </w:tcBorders>
            <w:vAlign w:val="center"/>
          </w:tcPr>
          <w:p w14:paraId="527F5309">
            <w:pPr>
              <w:widowControl/>
              <w:adjustRightInd w:val="0"/>
              <w:snapToGrid w:val="0"/>
              <w:jc w:val="center"/>
              <w:rPr>
                <w:rFonts w:ascii="方正书宋_GBK" w:eastAsia="方正书宋_GBK"/>
              </w:rPr>
            </w:pPr>
          </w:p>
        </w:tc>
        <w:tc>
          <w:tcPr>
            <w:tcW w:w="573" w:type="dxa"/>
            <w:tcBorders>
              <w:tl2br w:val="nil"/>
              <w:tr2bl w:val="nil"/>
            </w:tcBorders>
            <w:vAlign w:val="center"/>
          </w:tcPr>
          <w:p w14:paraId="38D7723F">
            <w:pPr>
              <w:widowControl/>
              <w:adjustRightInd w:val="0"/>
              <w:snapToGrid w:val="0"/>
              <w:jc w:val="center"/>
              <w:rPr>
                <w:rFonts w:hint="eastAsia" w:ascii="方正书宋_GBK" w:eastAsia="方正书宋_GBK"/>
                <w:lang w:val="en-US" w:eastAsia="zh-CN"/>
              </w:rPr>
            </w:pPr>
            <w:r>
              <w:rPr>
                <w:rFonts w:hint="eastAsia" w:ascii="方正书宋_GBK" w:eastAsia="方正书宋_GBK"/>
                <w:lang w:val="en-US" w:eastAsia="zh-CN"/>
              </w:rPr>
              <w:t>保障</w:t>
            </w:r>
          </w:p>
        </w:tc>
        <w:tc>
          <w:tcPr>
            <w:tcW w:w="1277" w:type="dxa"/>
            <w:tcBorders>
              <w:tl2br w:val="nil"/>
              <w:tr2bl w:val="nil"/>
            </w:tcBorders>
            <w:vAlign w:val="center"/>
          </w:tcPr>
          <w:p w14:paraId="2CC9DF74">
            <w:pPr>
              <w:widowControl/>
              <w:adjustRightInd w:val="0"/>
              <w:snapToGrid w:val="0"/>
              <w:rPr>
                <w:rFonts w:ascii="方正书宋_GBK" w:eastAsia="方正书宋_GBK"/>
              </w:rPr>
            </w:pPr>
            <w:r>
              <w:rPr>
                <w:rFonts w:hint="eastAsia" w:ascii="方正书宋_GBK" w:eastAsia="方正书宋_GBK"/>
                <w:lang w:eastAsia="zh-CN"/>
              </w:rPr>
              <w:t>《</w:t>
            </w:r>
            <w:r>
              <w:rPr>
                <w:rFonts w:hint="eastAsia" w:ascii="方正书宋_GBK" w:eastAsia="方正书宋_GBK"/>
                <w:lang w:val="en-US" w:eastAsia="zh-CN"/>
              </w:rPr>
              <w:t>审计法</w:t>
            </w:r>
            <w:r>
              <w:rPr>
                <w:rFonts w:hint="eastAsia" w:ascii="方正书宋_GBK" w:eastAsia="方正书宋_GBK"/>
                <w:lang w:eastAsia="zh-CN"/>
              </w:rPr>
              <w:t>》</w:t>
            </w:r>
          </w:p>
        </w:tc>
      </w:tr>
      <w:tr w14:paraId="72131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08657D81"/>
        </w:tc>
        <w:tc>
          <w:tcPr>
            <w:tcW w:w="825" w:type="dxa"/>
            <w:tcBorders>
              <w:tl2br w:val="nil"/>
              <w:tr2bl w:val="nil"/>
            </w:tcBorders>
            <w:vAlign w:val="center"/>
          </w:tcPr>
          <w:p w14:paraId="04BFC201">
            <w:pPr>
              <w:widowControl/>
              <w:adjustRightInd w:val="0"/>
              <w:snapToGrid w:val="0"/>
              <w:jc w:val="center"/>
              <w:rPr>
                <w:rFonts w:ascii="方正书宋_GBK" w:eastAsia="方正书宋_GBK"/>
              </w:rPr>
            </w:pPr>
            <w:r>
              <w:rPr>
                <w:rFonts w:hint="eastAsia" w:ascii="方正书宋_GBK" w:eastAsia="方正书宋_GBK"/>
              </w:rPr>
              <w:t>经济</w:t>
            </w:r>
          </w:p>
          <w:p w14:paraId="6A1277FD">
            <w:pPr>
              <w:widowControl/>
              <w:adjustRightInd w:val="0"/>
              <w:snapToGrid w:val="0"/>
              <w:jc w:val="center"/>
              <w:rPr>
                <w:rFonts w:ascii="方正书宋_GBK" w:eastAsia="方正书宋_GBK"/>
              </w:rPr>
            </w:pPr>
            <w:r>
              <w:rPr>
                <w:rFonts w:hint="eastAsia" w:ascii="方正书宋_GBK" w:eastAsia="方正书宋_GBK"/>
              </w:rPr>
              <w:t>效益</w:t>
            </w:r>
          </w:p>
        </w:tc>
        <w:tc>
          <w:tcPr>
            <w:tcW w:w="897" w:type="dxa"/>
            <w:tcBorders>
              <w:tl2br w:val="nil"/>
              <w:tr2bl w:val="nil"/>
            </w:tcBorders>
            <w:vAlign w:val="center"/>
          </w:tcPr>
          <w:p w14:paraId="10C46A67">
            <w:pPr>
              <w:widowControl/>
              <w:adjustRightInd w:val="0"/>
              <w:snapToGrid w:val="0"/>
              <w:rPr>
                <w:rFonts w:hint="default" w:ascii="方正书宋_GBK" w:eastAsia="方正书宋_GBK"/>
                <w:lang w:val="en-US" w:eastAsia="zh-CN"/>
              </w:rPr>
            </w:pPr>
            <w:r>
              <w:rPr>
                <w:rFonts w:hint="eastAsia" w:ascii="方正书宋_GBK" w:eastAsia="方正书宋_GBK"/>
                <w:lang w:val="en-US" w:eastAsia="zh-CN"/>
              </w:rPr>
              <w:t>违规资金金额与以前年度比较</w:t>
            </w:r>
          </w:p>
        </w:tc>
        <w:tc>
          <w:tcPr>
            <w:tcW w:w="2172" w:type="dxa"/>
            <w:tcBorders>
              <w:tl2br w:val="nil"/>
              <w:tr2bl w:val="nil"/>
            </w:tcBorders>
            <w:vAlign w:val="center"/>
          </w:tcPr>
          <w:p w14:paraId="735243C9">
            <w:pPr>
              <w:widowControl/>
              <w:adjustRightInd w:val="0"/>
              <w:snapToGrid w:val="0"/>
              <w:rPr>
                <w:rFonts w:ascii="方正书宋_GBK" w:eastAsia="方正书宋_GBK"/>
              </w:rPr>
            </w:pPr>
            <w:r>
              <w:rPr>
                <w:rFonts w:hint="eastAsia" w:ascii="方正书宋_GBK" w:eastAsia="方正书宋_GBK"/>
                <w:lang w:val="en-US" w:eastAsia="zh-CN"/>
              </w:rPr>
              <w:t>违规资金金额与以前年度比较</w:t>
            </w:r>
          </w:p>
        </w:tc>
        <w:tc>
          <w:tcPr>
            <w:tcW w:w="1483" w:type="dxa"/>
            <w:tcBorders>
              <w:tl2br w:val="nil"/>
              <w:tr2bl w:val="nil"/>
            </w:tcBorders>
            <w:vAlign w:val="center"/>
          </w:tcPr>
          <w:p w14:paraId="2A752F30">
            <w:pPr>
              <w:widowControl/>
              <w:adjustRightInd w:val="0"/>
              <w:snapToGrid w:val="0"/>
              <w:rPr>
                <w:rFonts w:ascii="方正书宋_GBK" w:eastAsia="方正书宋_GBK"/>
              </w:rPr>
            </w:pPr>
            <w:r>
              <w:rPr>
                <w:rFonts w:hint="eastAsia" w:ascii="方正书宋_GBK" w:eastAsia="方正书宋_GBK"/>
                <w:lang w:val="en-US" w:eastAsia="zh-CN"/>
              </w:rPr>
              <w:t>违规资金金额与以前年度比较</w:t>
            </w:r>
          </w:p>
        </w:tc>
        <w:tc>
          <w:tcPr>
            <w:tcW w:w="543" w:type="dxa"/>
            <w:tcBorders>
              <w:tl2br w:val="nil"/>
              <w:tr2bl w:val="nil"/>
            </w:tcBorders>
            <w:vAlign w:val="center"/>
          </w:tcPr>
          <w:p w14:paraId="7CA91C26">
            <w:pPr>
              <w:widowControl/>
              <w:adjustRightInd w:val="0"/>
              <w:snapToGrid w:val="0"/>
              <w:rPr>
                <w:rFonts w:hint="default" w:ascii="方正书宋_GBK" w:eastAsia="方正书宋_GBK"/>
                <w:lang w:val="en-US" w:eastAsia="zh-CN"/>
              </w:rPr>
            </w:pPr>
            <w:r>
              <w:rPr>
                <w:rFonts w:hint="eastAsia" w:ascii="方正书宋_GBK" w:eastAsia="方正书宋_GBK"/>
                <w:lang w:val="en-US" w:eastAsia="zh-CN"/>
              </w:rPr>
              <w:t>文字描述</w:t>
            </w:r>
          </w:p>
        </w:tc>
        <w:tc>
          <w:tcPr>
            <w:tcW w:w="488" w:type="dxa"/>
            <w:tcBorders>
              <w:tl2br w:val="nil"/>
              <w:tr2bl w:val="nil"/>
            </w:tcBorders>
            <w:vAlign w:val="center"/>
          </w:tcPr>
          <w:p w14:paraId="1B1B74AC">
            <w:pPr>
              <w:widowControl/>
              <w:adjustRightInd w:val="0"/>
              <w:snapToGrid w:val="0"/>
              <w:rPr>
                <w:rFonts w:ascii="方正书宋_GBK" w:eastAsia="方正书宋_GBK"/>
              </w:rPr>
            </w:pPr>
          </w:p>
        </w:tc>
        <w:tc>
          <w:tcPr>
            <w:tcW w:w="573" w:type="dxa"/>
            <w:tcBorders>
              <w:tl2br w:val="nil"/>
              <w:tr2bl w:val="nil"/>
            </w:tcBorders>
            <w:vAlign w:val="center"/>
          </w:tcPr>
          <w:p w14:paraId="63B7CF00">
            <w:pPr>
              <w:widowControl/>
              <w:adjustRightInd w:val="0"/>
              <w:snapToGrid w:val="0"/>
              <w:rPr>
                <w:rFonts w:hint="eastAsia" w:ascii="方正书宋_GBK" w:eastAsia="方正书宋_GBK"/>
                <w:lang w:val="en-US" w:eastAsia="zh-CN"/>
              </w:rPr>
            </w:pPr>
            <w:r>
              <w:rPr>
                <w:rFonts w:hint="eastAsia" w:ascii="方正书宋_GBK" w:eastAsia="方正书宋_GBK"/>
                <w:lang w:val="en-US" w:eastAsia="zh-CN"/>
              </w:rPr>
              <w:t>下降</w:t>
            </w:r>
          </w:p>
        </w:tc>
        <w:tc>
          <w:tcPr>
            <w:tcW w:w="1277" w:type="dxa"/>
            <w:tcBorders>
              <w:tl2br w:val="nil"/>
              <w:tr2bl w:val="nil"/>
            </w:tcBorders>
            <w:vAlign w:val="center"/>
          </w:tcPr>
          <w:p w14:paraId="0BFEA3B2">
            <w:pPr>
              <w:widowControl/>
              <w:adjustRightInd w:val="0"/>
              <w:snapToGrid w:val="0"/>
              <w:rPr>
                <w:rFonts w:ascii="方正书宋_GBK" w:eastAsia="方正书宋_GBK"/>
              </w:rPr>
            </w:pPr>
            <w:r>
              <w:rPr>
                <w:rFonts w:hint="eastAsia" w:ascii="方正书宋_GBK" w:eastAsia="方正书宋_GBK"/>
                <w:lang w:eastAsia="zh-CN"/>
              </w:rPr>
              <w:t>《</w:t>
            </w:r>
            <w:r>
              <w:rPr>
                <w:rFonts w:hint="eastAsia" w:ascii="方正书宋_GBK" w:eastAsia="方正书宋_GBK"/>
                <w:lang w:val="en-US" w:eastAsia="zh-CN"/>
              </w:rPr>
              <w:t>审计法</w:t>
            </w:r>
            <w:r>
              <w:rPr>
                <w:rFonts w:hint="eastAsia" w:ascii="方正书宋_GBK" w:eastAsia="方正书宋_GBK"/>
                <w:lang w:eastAsia="zh-CN"/>
              </w:rPr>
              <w:t>》</w:t>
            </w:r>
          </w:p>
        </w:tc>
      </w:tr>
      <w:tr w14:paraId="40EE3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70" w:hRule="atLeast"/>
          <w:jc w:val="center"/>
        </w:trPr>
        <w:tc>
          <w:tcPr>
            <w:tcW w:w="558" w:type="dxa"/>
            <w:vMerge w:val="continue"/>
            <w:tcBorders>
              <w:tl2br w:val="nil"/>
              <w:tr2bl w:val="nil"/>
            </w:tcBorders>
            <w:vAlign w:val="center"/>
          </w:tcPr>
          <w:p w14:paraId="7CBA91AF"/>
        </w:tc>
        <w:tc>
          <w:tcPr>
            <w:tcW w:w="825" w:type="dxa"/>
            <w:tcBorders>
              <w:tl2br w:val="nil"/>
              <w:tr2bl w:val="nil"/>
            </w:tcBorders>
            <w:vAlign w:val="center"/>
          </w:tcPr>
          <w:p w14:paraId="14F51CF0">
            <w:pPr>
              <w:adjustRightInd w:val="0"/>
              <w:snapToGrid w:val="0"/>
              <w:jc w:val="center"/>
              <w:rPr>
                <w:rFonts w:ascii="方正书宋_GBK" w:eastAsia="方正书宋_GBK"/>
              </w:rPr>
            </w:pPr>
            <w:r>
              <w:rPr>
                <w:rFonts w:hint="eastAsia" w:ascii="方正书宋_GBK" w:eastAsia="方正书宋_GBK"/>
              </w:rPr>
              <w:t>可持续影响</w:t>
            </w:r>
          </w:p>
        </w:tc>
        <w:tc>
          <w:tcPr>
            <w:tcW w:w="897" w:type="dxa"/>
            <w:tcBorders>
              <w:tl2br w:val="nil"/>
              <w:tr2bl w:val="nil"/>
            </w:tcBorders>
            <w:noWrap/>
            <w:vAlign w:val="center"/>
          </w:tcPr>
          <w:p w14:paraId="66BF6F3C">
            <w:pPr>
              <w:widowControl/>
              <w:adjustRightInd w:val="0"/>
              <w:snapToGrid w:val="0"/>
              <w:rPr>
                <w:rFonts w:hint="default" w:ascii="方正书宋_GBK" w:eastAsia="方正书宋_GBK"/>
                <w:lang w:val="en-US" w:eastAsia="zh-CN"/>
              </w:rPr>
            </w:pPr>
            <w:r>
              <w:rPr>
                <w:rFonts w:hint="eastAsia" w:ascii="方正书宋_GBK" w:eastAsia="方正书宋_GBK"/>
                <w:lang w:val="en-US" w:eastAsia="zh-CN"/>
              </w:rPr>
              <w:t>促进县域经济健康发展</w:t>
            </w:r>
          </w:p>
        </w:tc>
        <w:tc>
          <w:tcPr>
            <w:tcW w:w="2172" w:type="dxa"/>
            <w:tcBorders>
              <w:tl2br w:val="nil"/>
              <w:tr2bl w:val="nil"/>
            </w:tcBorders>
            <w:noWrap/>
            <w:vAlign w:val="center"/>
          </w:tcPr>
          <w:p w14:paraId="4CEA3FDF">
            <w:pPr>
              <w:widowControl/>
              <w:adjustRightInd w:val="0"/>
              <w:snapToGrid w:val="0"/>
              <w:rPr>
                <w:rFonts w:ascii="方正书宋_GBK" w:eastAsia="方正书宋_GBK"/>
              </w:rPr>
            </w:pPr>
            <w:r>
              <w:rPr>
                <w:rFonts w:hint="eastAsia" w:ascii="方正书宋_GBK" w:eastAsia="方正书宋_GBK"/>
                <w:lang w:val="en-US" w:eastAsia="zh-CN"/>
              </w:rPr>
              <w:t>促进县域经济健康发展</w:t>
            </w:r>
          </w:p>
        </w:tc>
        <w:tc>
          <w:tcPr>
            <w:tcW w:w="1483" w:type="dxa"/>
            <w:tcBorders>
              <w:tl2br w:val="nil"/>
              <w:tr2bl w:val="nil"/>
            </w:tcBorders>
            <w:noWrap/>
            <w:vAlign w:val="center"/>
          </w:tcPr>
          <w:p w14:paraId="738DD630">
            <w:pPr>
              <w:widowControl/>
              <w:adjustRightInd w:val="0"/>
              <w:snapToGrid w:val="0"/>
              <w:rPr>
                <w:rFonts w:ascii="方正书宋_GBK" w:eastAsia="方正书宋_GBK"/>
              </w:rPr>
            </w:pPr>
            <w:r>
              <w:rPr>
                <w:rFonts w:hint="eastAsia" w:ascii="方正书宋_GBK" w:eastAsia="方正书宋_GBK"/>
                <w:lang w:val="en-US" w:eastAsia="zh-CN"/>
              </w:rPr>
              <w:t>促进县域经济健康发展</w:t>
            </w:r>
          </w:p>
        </w:tc>
        <w:tc>
          <w:tcPr>
            <w:tcW w:w="543" w:type="dxa"/>
            <w:tcBorders>
              <w:tl2br w:val="nil"/>
              <w:tr2bl w:val="nil"/>
            </w:tcBorders>
            <w:vAlign w:val="center"/>
          </w:tcPr>
          <w:p w14:paraId="2B73BD87">
            <w:pPr>
              <w:widowControl/>
              <w:adjustRightInd w:val="0"/>
              <w:snapToGrid w:val="0"/>
              <w:jc w:val="center"/>
              <w:rPr>
                <w:rFonts w:hint="eastAsia" w:ascii="方正书宋_GBK" w:eastAsia="方正书宋_GBK"/>
                <w:lang w:val="en-US" w:eastAsia="zh-CN"/>
              </w:rPr>
            </w:pPr>
            <w:r>
              <w:rPr>
                <w:rFonts w:hint="eastAsia" w:ascii="方正书宋_GBK" w:eastAsia="方正书宋_GBK"/>
                <w:lang w:val="en-US" w:eastAsia="zh-CN"/>
              </w:rPr>
              <w:t>文字描述</w:t>
            </w:r>
          </w:p>
        </w:tc>
        <w:tc>
          <w:tcPr>
            <w:tcW w:w="488" w:type="dxa"/>
            <w:tcBorders>
              <w:tl2br w:val="nil"/>
              <w:tr2bl w:val="nil"/>
            </w:tcBorders>
            <w:vAlign w:val="center"/>
          </w:tcPr>
          <w:p w14:paraId="3909AB98">
            <w:pPr>
              <w:widowControl/>
              <w:adjustRightInd w:val="0"/>
              <w:snapToGrid w:val="0"/>
              <w:jc w:val="center"/>
              <w:rPr>
                <w:rFonts w:ascii="方正书宋_GBK" w:eastAsia="方正书宋_GBK"/>
              </w:rPr>
            </w:pPr>
          </w:p>
        </w:tc>
        <w:tc>
          <w:tcPr>
            <w:tcW w:w="573" w:type="dxa"/>
            <w:tcBorders>
              <w:tl2br w:val="nil"/>
              <w:tr2bl w:val="nil"/>
            </w:tcBorders>
            <w:vAlign w:val="center"/>
          </w:tcPr>
          <w:p w14:paraId="2DA8347C">
            <w:pPr>
              <w:widowControl/>
              <w:adjustRightInd w:val="0"/>
              <w:snapToGrid w:val="0"/>
              <w:jc w:val="center"/>
              <w:rPr>
                <w:rFonts w:hint="eastAsia" w:ascii="方正书宋_GBK" w:eastAsia="方正书宋_GBK"/>
                <w:lang w:val="en-US" w:eastAsia="zh-CN"/>
              </w:rPr>
            </w:pPr>
            <w:r>
              <w:rPr>
                <w:rFonts w:hint="eastAsia" w:ascii="方正书宋_GBK" w:eastAsia="方正书宋_GBK"/>
                <w:lang w:val="en-US" w:eastAsia="zh-CN"/>
              </w:rPr>
              <w:t>长期</w:t>
            </w:r>
          </w:p>
        </w:tc>
        <w:tc>
          <w:tcPr>
            <w:tcW w:w="1277" w:type="dxa"/>
            <w:tcBorders>
              <w:tl2br w:val="nil"/>
              <w:tr2bl w:val="nil"/>
            </w:tcBorders>
            <w:vAlign w:val="center"/>
          </w:tcPr>
          <w:p w14:paraId="3535D7D8">
            <w:pPr>
              <w:widowControl/>
              <w:adjustRightInd w:val="0"/>
              <w:snapToGrid w:val="0"/>
              <w:rPr>
                <w:rFonts w:ascii="方正书宋_GBK" w:eastAsia="方正书宋_GBK"/>
              </w:rPr>
            </w:pPr>
            <w:r>
              <w:rPr>
                <w:rFonts w:hint="eastAsia" w:ascii="方正书宋_GBK" w:eastAsia="方正书宋_GBK"/>
                <w:lang w:eastAsia="zh-CN"/>
              </w:rPr>
              <w:t>《</w:t>
            </w:r>
            <w:r>
              <w:rPr>
                <w:rFonts w:hint="eastAsia" w:ascii="方正书宋_GBK" w:eastAsia="方正书宋_GBK"/>
                <w:lang w:val="en-US" w:eastAsia="zh-CN"/>
              </w:rPr>
              <w:t>审计法</w:t>
            </w:r>
            <w:r>
              <w:rPr>
                <w:rFonts w:hint="eastAsia" w:ascii="方正书宋_GBK" w:eastAsia="方正书宋_GBK"/>
                <w:lang w:eastAsia="zh-CN"/>
              </w:rPr>
              <w:t>》</w:t>
            </w:r>
          </w:p>
        </w:tc>
      </w:tr>
      <w:tr w14:paraId="386DB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7240F63D"/>
        </w:tc>
        <w:tc>
          <w:tcPr>
            <w:tcW w:w="825" w:type="dxa"/>
            <w:tcBorders>
              <w:tl2br w:val="nil"/>
              <w:tr2bl w:val="nil"/>
            </w:tcBorders>
            <w:vAlign w:val="center"/>
          </w:tcPr>
          <w:p w14:paraId="2CDC2811">
            <w:pPr>
              <w:widowControl/>
              <w:adjustRightInd w:val="0"/>
              <w:snapToGrid w:val="0"/>
              <w:jc w:val="center"/>
              <w:rPr>
                <w:rFonts w:ascii="方正书宋_GBK" w:eastAsia="方正书宋_GBK"/>
              </w:rPr>
            </w:pPr>
            <w:r>
              <w:rPr>
                <w:rFonts w:hint="eastAsia" w:ascii="方正书宋_GBK" w:eastAsia="方正书宋_GBK"/>
              </w:rPr>
              <w:t>满意度</w:t>
            </w:r>
          </w:p>
        </w:tc>
        <w:tc>
          <w:tcPr>
            <w:tcW w:w="897" w:type="dxa"/>
            <w:tcBorders>
              <w:tl2br w:val="nil"/>
              <w:tr2bl w:val="nil"/>
            </w:tcBorders>
            <w:noWrap/>
            <w:vAlign w:val="center"/>
          </w:tcPr>
          <w:p w14:paraId="6E691780">
            <w:pPr>
              <w:widowControl/>
              <w:adjustRightInd w:val="0"/>
              <w:snapToGrid w:val="0"/>
              <w:rPr>
                <w:rFonts w:hint="eastAsia" w:ascii="方正书宋_GBK" w:eastAsia="方正书宋_GBK"/>
                <w:lang w:val="en-US" w:eastAsia="zh-CN"/>
              </w:rPr>
            </w:pPr>
            <w:r>
              <w:rPr>
                <w:rFonts w:hint="eastAsia" w:ascii="方正书宋_GBK" w:eastAsia="方正书宋_GBK"/>
                <w:lang w:val="en-US" w:eastAsia="zh-CN"/>
              </w:rPr>
              <w:t>群众满意度</w:t>
            </w:r>
          </w:p>
        </w:tc>
        <w:tc>
          <w:tcPr>
            <w:tcW w:w="2172" w:type="dxa"/>
            <w:tcBorders>
              <w:tl2br w:val="nil"/>
              <w:tr2bl w:val="nil"/>
            </w:tcBorders>
            <w:noWrap/>
            <w:vAlign w:val="center"/>
          </w:tcPr>
          <w:p w14:paraId="7639856A">
            <w:pPr>
              <w:widowControl/>
              <w:adjustRightInd w:val="0"/>
              <w:snapToGrid w:val="0"/>
              <w:rPr>
                <w:rFonts w:ascii="方正书宋_GBK" w:eastAsia="方正书宋_GBK"/>
              </w:rPr>
            </w:pPr>
            <w:r>
              <w:rPr>
                <w:rFonts w:hint="eastAsia" w:ascii="方正书宋_GBK" w:eastAsia="方正书宋_GBK"/>
                <w:lang w:val="en-US" w:eastAsia="zh-CN"/>
              </w:rPr>
              <w:t>群众满意数量占总数的比例</w:t>
            </w:r>
          </w:p>
        </w:tc>
        <w:tc>
          <w:tcPr>
            <w:tcW w:w="1483" w:type="dxa"/>
            <w:tcBorders>
              <w:tl2br w:val="nil"/>
              <w:tr2bl w:val="nil"/>
            </w:tcBorders>
            <w:noWrap/>
            <w:vAlign w:val="center"/>
          </w:tcPr>
          <w:p w14:paraId="3FB3FB5D">
            <w:pPr>
              <w:widowControl/>
              <w:adjustRightInd w:val="0"/>
              <w:snapToGrid w:val="0"/>
              <w:rPr>
                <w:rFonts w:hint="default" w:ascii="方正书宋_GBK" w:eastAsia="方正书宋_GBK"/>
                <w:lang w:val="en-US" w:eastAsia="zh-CN"/>
              </w:rPr>
            </w:pPr>
            <w:r>
              <w:rPr>
                <w:rFonts w:hint="eastAsia" w:ascii="方正书宋_GBK" w:eastAsia="方正书宋_GBK"/>
                <w:lang w:val="en-US" w:eastAsia="zh-CN"/>
              </w:rPr>
              <w:t>群众满意数量占总数的比例</w:t>
            </w:r>
          </w:p>
        </w:tc>
        <w:tc>
          <w:tcPr>
            <w:tcW w:w="543" w:type="dxa"/>
            <w:tcBorders>
              <w:tl2br w:val="nil"/>
              <w:tr2bl w:val="nil"/>
            </w:tcBorders>
            <w:vAlign w:val="center"/>
          </w:tcPr>
          <w:p w14:paraId="2B799783">
            <w:pPr>
              <w:widowControl/>
              <w:adjustRightInd w:val="0"/>
              <w:snapToGrid w:val="0"/>
              <w:rPr>
                <w:rFonts w:ascii="方正书宋_GBK" w:eastAsia="方正书宋_GBK"/>
              </w:rPr>
            </w:pPr>
            <w:r>
              <w:rPr>
                <w:rFonts w:hint="eastAsia" w:ascii="宋体" w:hAnsi="宋体" w:eastAsia="宋体" w:cs="宋体"/>
              </w:rPr>
              <w:t>≧</w:t>
            </w:r>
          </w:p>
        </w:tc>
        <w:tc>
          <w:tcPr>
            <w:tcW w:w="488" w:type="dxa"/>
            <w:tcBorders>
              <w:tl2br w:val="nil"/>
              <w:tr2bl w:val="nil"/>
            </w:tcBorders>
            <w:vAlign w:val="center"/>
          </w:tcPr>
          <w:p w14:paraId="2E52617D">
            <w:pPr>
              <w:widowControl/>
              <w:adjustRightInd w:val="0"/>
              <w:snapToGrid w:val="0"/>
              <w:rPr>
                <w:rFonts w:hint="default" w:ascii="方正书宋_GBK" w:eastAsia="方正书宋_GBK"/>
                <w:lang w:val="en-US" w:eastAsia="zh-CN"/>
              </w:rPr>
            </w:pPr>
            <w:r>
              <w:rPr>
                <w:rFonts w:hint="eastAsia" w:ascii="方正书宋_GBK" w:eastAsia="方正书宋_GBK"/>
                <w:lang w:val="en-US" w:eastAsia="zh-CN"/>
              </w:rPr>
              <w:t>95</w:t>
            </w:r>
          </w:p>
        </w:tc>
        <w:tc>
          <w:tcPr>
            <w:tcW w:w="573" w:type="dxa"/>
            <w:tcBorders>
              <w:tl2br w:val="nil"/>
              <w:tr2bl w:val="nil"/>
            </w:tcBorders>
            <w:vAlign w:val="center"/>
          </w:tcPr>
          <w:p w14:paraId="1925D0A0">
            <w:pPr>
              <w:widowControl/>
              <w:adjustRightInd w:val="0"/>
              <w:snapToGrid w:val="0"/>
              <w:rPr>
                <w:rFonts w:hint="eastAsia" w:ascii="方正书宋_GBK" w:eastAsia="方正书宋_GBK"/>
                <w:lang w:val="en-US" w:eastAsia="zh-CN"/>
              </w:rPr>
            </w:pPr>
            <w:r>
              <w:rPr>
                <w:rFonts w:hint="eastAsia" w:ascii="方正书宋_GBK" w:eastAsia="方正书宋_GBK"/>
                <w:lang w:val="en-US" w:eastAsia="zh-CN"/>
              </w:rPr>
              <w:t>%</w:t>
            </w:r>
          </w:p>
        </w:tc>
        <w:tc>
          <w:tcPr>
            <w:tcW w:w="1277" w:type="dxa"/>
            <w:tcBorders>
              <w:tl2br w:val="nil"/>
              <w:tr2bl w:val="nil"/>
            </w:tcBorders>
            <w:vAlign w:val="center"/>
          </w:tcPr>
          <w:p w14:paraId="59EF416B">
            <w:pPr>
              <w:widowControl/>
              <w:adjustRightInd w:val="0"/>
              <w:snapToGrid w:val="0"/>
              <w:rPr>
                <w:rFonts w:hint="eastAsia" w:ascii="方正书宋_GBK" w:eastAsia="方正书宋_GBK"/>
                <w:lang w:val="en-US" w:eastAsia="zh-CN"/>
              </w:rPr>
            </w:pPr>
            <w:r>
              <w:rPr>
                <w:rFonts w:hint="eastAsia" w:ascii="方正书宋_GBK" w:eastAsia="方正书宋_GBK"/>
                <w:lang w:val="en-US" w:eastAsia="zh-CN"/>
              </w:rPr>
              <w:t>满意度调查问卷</w:t>
            </w:r>
          </w:p>
        </w:tc>
      </w:tr>
    </w:tbl>
    <w:p w14:paraId="6EFA78CF">
      <w:pPr>
        <w:spacing w:line="584" w:lineRule="exact"/>
        <w:rPr>
          <w:rFonts w:ascii="仿宋_GB2312" w:eastAsia="仿宋_GB2312" w:cs="Times New Roman"/>
          <w:sz w:val="32"/>
          <w:szCs w:val="32"/>
        </w:rPr>
      </w:pPr>
    </w:p>
    <w:p w14:paraId="52785A70">
      <w:pPr>
        <w:spacing w:line="584"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第二部分 资金绩效目标</w:t>
      </w:r>
    </w:p>
    <w:p w14:paraId="60338E79">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1.</w:t>
      </w:r>
      <w:r>
        <w:rPr>
          <w:rFonts w:hint="eastAsia" w:ascii="Times New Roman" w:hAnsi="Times New Roman" w:eastAsia="仿宋_GB2312" w:cs="Times New Roman"/>
          <w:sz w:val="28"/>
          <w:lang w:val="en-US" w:eastAsia="zh-CN"/>
        </w:rPr>
        <w:t>房屋修缮</w:t>
      </w:r>
      <w:r>
        <w:rPr>
          <w:rFonts w:ascii="Times New Roman" w:hAnsi="Times New Roman" w:eastAsia="仿宋_GB2312" w:cs="Times New Roman"/>
          <w:sz w:val="28"/>
        </w:rPr>
        <w:t>绩效目标表</w:t>
      </w:r>
      <w:bookmarkStart w:id="0" w:name="_Toc29799657"/>
      <w:bookmarkEnd w:id="0"/>
      <w:r>
        <w:rPr>
          <w:rFonts w:ascii="Times New Roman" w:hAnsi="Times New Roman" w:eastAsia="仿宋_GB2312" w:cs="Times New Roman"/>
          <w:vanish/>
          <w:sz w:val="28"/>
        </w:rPr>
        <w:t>{ TC 2、办公自动化（OA）和督查督办系统升级及推广费绩效目标表 \f C \l 1 }</w:t>
      </w:r>
    </w:p>
    <w:p w14:paraId="7FD5F7E1">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5D032C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83CF3C9">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5AA27D13">
            <w:pPr>
              <w:spacing w:line="300" w:lineRule="exact"/>
              <w:rPr>
                <w:rFonts w:hint="default" w:ascii="Times New Roman" w:hAnsi="Times New Roman" w:eastAsia="仿宋_GB2312" w:cs="Times New Roman"/>
                <w:b/>
                <w:lang w:val="en-US" w:eastAsia="zh-CN"/>
              </w:rPr>
            </w:pPr>
            <w:r>
              <w:rPr>
                <w:rFonts w:hint="eastAsia" w:ascii="Times New Roman" w:hAnsi="Times New Roman" w:eastAsia="仿宋_GB2312" w:cs="Times New Roman"/>
                <w:b/>
                <w:lang w:val="en-US" w:eastAsia="zh-CN"/>
              </w:rPr>
              <w:t>1.本年度内完成房屋修缮工程，搞好服务，2.为广大干部职工提供安全、周到的工作环境。</w:t>
            </w:r>
          </w:p>
        </w:tc>
      </w:tr>
      <w:tr w14:paraId="462898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24999A8">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12A6FDE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48BC16B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72749747">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0D18CD2E">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38F775CE">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7CA6AD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2661FC37">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35F645CB">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数量指标</w:t>
            </w:r>
          </w:p>
        </w:tc>
        <w:tc>
          <w:tcPr>
            <w:tcW w:w="1985" w:type="dxa"/>
            <w:shd w:val="clear" w:color="auto" w:fill="auto"/>
            <w:vAlign w:val="center"/>
          </w:tcPr>
          <w:p w14:paraId="720EDD1E">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修缮面积</w:t>
            </w:r>
          </w:p>
        </w:tc>
        <w:tc>
          <w:tcPr>
            <w:tcW w:w="3402" w:type="dxa"/>
            <w:shd w:val="clear" w:color="auto" w:fill="auto"/>
            <w:vAlign w:val="center"/>
          </w:tcPr>
          <w:p w14:paraId="4AD9CBF9">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工程施工面积</w:t>
            </w:r>
            <w:r>
              <w:rPr>
                <w:rFonts w:hint="eastAsia" w:ascii="宋体" w:hAnsi="宋体" w:eastAsia="宋体" w:cs="宋体"/>
                <w:lang w:val="en-US" w:eastAsia="zh-CN"/>
              </w:rPr>
              <w:t>≧</w:t>
            </w:r>
            <w:r>
              <w:rPr>
                <w:rFonts w:hint="eastAsia" w:ascii="Times New Roman" w:hAnsi="Times New Roman" w:eastAsia="仿宋_GB2312" w:cs="Times New Roman"/>
                <w:lang w:val="en-US" w:eastAsia="zh-CN"/>
              </w:rPr>
              <w:t>100平方米</w:t>
            </w:r>
          </w:p>
        </w:tc>
        <w:tc>
          <w:tcPr>
            <w:tcW w:w="1843" w:type="dxa"/>
            <w:shd w:val="clear" w:color="auto" w:fill="auto"/>
            <w:vAlign w:val="center"/>
          </w:tcPr>
          <w:p w14:paraId="5AAB8778">
            <w:pPr>
              <w:spacing w:line="300" w:lineRule="exact"/>
              <w:jc w:val="left"/>
              <w:rPr>
                <w:rFonts w:hint="default" w:ascii="Times New Roman" w:hAnsi="Times New Roman" w:eastAsia="仿宋_GB2312" w:cs="Times New Roman"/>
                <w:lang w:val="en-US" w:eastAsia="zh-CN"/>
              </w:rPr>
            </w:pPr>
            <w:r>
              <w:rPr>
                <w:rFonts w:hint="eastAsia" w:ascii="宋体" w:hAnsi="宋体" w:eastAsia="宋体" w:cs="宋体"/>
              </w:rPr>
              <w:t>≧</w:t>
            </w:r>
            <w:r>
              <w:rPr>
                <w:rFonts w:hint="eastAsia" w:ascii="Times New Roman" w:hAnsi="Times New Roman" w:eastAsia="仿宋_GB2312" w:cs="Times New Roman"/>
                <w:lang w:val="en-US" w:eastAsia="zh-CN"/>
              </w:rPr>
              <w:t>100平方米</w:t>
            </w:r>
          </w:p>
        </w:tc>
        <w:tc>
          <w:tcPr>
            <w:tcW w:w="2155" w:type="dxa"/>
            <w:shd w:val="clear" w:color="auto" w:fill="auto"/>
            <w:vAlign w:val="center"/>
          </w:tcPr>
          <w:p w14:paraId="573802AD">
            <w:pPr>
              <w:spacing w:line="300" w:lineRule="exact"/>
              <w:jc w:val="left"/>
              <w:rPr>
                <w:rFonts w:hint="eastAsia" w:ascii="Times New Roman" w:hAnsi="Times New Roman" w:eastAsia="仿宋_GB2312" w:cs="Times New Roman"/>
                <w:lang w:eastAsia="zh-CN"/>
              </w:rPr>
            </w:pPr>
            <w:r>
              <w:rPr>
                <w:rFonts w:hint="eastAsia" w:ascii="Times New Roman" w:hAnsi="Times New Roman" w:eastAsia="仿宋_GB2312" w:cs="Times New Roman"/>
                <w:lang w:eastAsia="zh-CN"/>
              </w:rPr>
              <w:t>《</w:t>
            </w:r>
            <w:r>
              <w:rPr>
                <w:rFonts w:hint="eastAsia" w:ascii="Times New Roman" w:hAnsi="Times New Roman" w:eastAsia="仿宋_GB2312" w:cs="Times New Roman"/>
                <w:lang w:val="en-US" w:eastAsia="zh-CN"/>
              </w:rPr>
              <w:t>中华人民共和国建筑法</w:t>
            </w:r>
            <w:r>
              <w:rPr>
                <w:rFonts w:hint="eastAsia" w:ascii="Times New Roman" w:hAnsi="Times New Roman" w:eastAsia="仿宋_GB2312" w:cs="Times New Roman"/>
                <w:lang w:eastAsia="zh-CN"/>
              </w:rPr>
              <w:t>》</w:t>
            </w:r>
          </w:p>
        </w:tc>
      </w:tr>
      <w:tr w14:paraId="76F71B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6D25F5F"/>
        </w:tc>
        <w:tc>
          <w:tcPr>
            <w:tcW w:w="2268" w:type="dxa"/>
            <w:shd w:val="clear" w:color="auto" w:fill="auto"/>
            <w:vAlign w:val="center"/>
          </w:tcPr>
          <w:p w14:paraId="41AF3897">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质量指标</w:t>
            </w:r>
          </w:p>
        </w:tc>
        <w:tc>
          <w:tcPr>
            <w:tcW w:w="1985" w:type="dxa"/>
            <w:shd w:val="clear" w:color="auto" w:fill="auto"/>
            <w:vAlign w:val="center"/>
          </w:tcPr>
          <w:p w14:paraId="56899EDB">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工程验收合格率</w:t>
            </w:r>
          </w:p>
        </w:tc>
        <w:tc>
          <w:tcPr>
            <w:tcW w:w="3402" w:type="dxa"/>
            <w:shd w:val="clear" w:color="auto" w:fill="auto"/>
            <w:vAlign w:val="center"/>
          </w:tcPr>
          <w:p w14:paraId="37D4DE09">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通过验收的工程量占建设、改造、修缮总量的比率</w:t>
            </w:r>
          </w:p>
        </w:tc>
        <w:tc>
          <w:tcPr>
            <w:tcW w:w="1843" w:type="dxa"/>
            <w:shd w:val="clear" w:color="auto" w:fill="auto"/>
            <w:vAlign w:val="center"/>
          </w:tcPr>
          <w:p w14:paraId="54955A2F">
            <w:pPr>
              <w:spacing w:line="300" w:lineRule="exact"/>
              <w:jc w:val="left"/>
              <w:rPr>
                <w:rFonts w:hint="default" w:ascii="Times New Roman" w:hAnsi="Times New Roman" w:eastAsia="仿宋_GB2312" w:cs="Times New Roman"/>
                <w:lang w:val="en-US" w:eastAsia="zh-CN"/>
              </w:rPr>
            </w:pPr>
            <w:r>
              <w:rPr>
                <w:rFonts w:hint="eastAsia" w:ascii="宋体" w:hAnsi="宋体" w:eastAsia="宋体" w:cs="宋体"/>
                <w:lang w:val="en-US" w:eastAsia="zh-CN"/>
              </w:rPr>
              <w:t>≧</w:t>
            </w:r>
            <w:r>
              <w:rPr>
                <w:rFonts w:hint="eastAsia" w:ascii="Times New Roman" w:hAnsi="Times New Roman" w:eastAsia="仿宋_GB2312" w:cs="Times New Roman"/>
                <w:lang w:val="en-US" w:eastAsia="zh-CN"/>
              </w:rPr>
              <w:t>95%</w:t>
            </w:r>
          </w:p>
        </w:tc>
        <w:tc>
          <w:tcPr>
            <w:tcW w:w="2155" w:type="dxa"/>
            <w:shd w:val="clear" w:color="auto" w:fill="auto"/>
            <w:vAlign w:val="center"/>
          </w:tcPr>
          <w:p w14:paraId="6D6C8B59">
            <w:pPr>
              <w:spacing w:line="300" w:lineRule="exact"/>
              <w:jc w:val="left"/>
              <w:rPr>
                <w:rFonts w:ascii="Times New Roman" w:hAnsi="Times New Roman" w:eastAsia="仿宋_GB2312" w:cs="Times New Roman"/>
              </w:rPr>
            </w:pPr>
            <w:r>
              <w:rPr>
                <w:rFonts w:hint="eastAsia" w:ascii="Times New Roman" w:hAnsi="Times New Roman" w:eastAsia="仿宋_GB2312" w:cs="Times New Roman"/>
                <w:lang w:eastAsia="zh-CN"/>
              </w:rPr>
              <w:t>《</w:t>
            </w:r>
            <w:r>
              <w:rPr>
                <w:rFonts w:hint="eastAsia" w:ascii="Times New Roman" w:hAnsi="Times New Roman" w:eastAsia="仿宋_GB2312" w:cs="Times New Roman"/>
                <w:lang w:val="en-US" w:eastAsia="zh-CN"/>
              </w:rPr>
              <w:t>中华人民共和国建筑法</w:t>
            </w:r>
            <w:r>
              <w:rPr>
                <w:rFonts w:hint="eastAsia" w:ascii="Times New Roman" w:hAnsi="Times New Roman" w:eastAsia="仿宋_GB2312" w:cs="Times New Roman"/>
                <w:lang w:eastAsia="zh-CN"/>
              </w:rPr>
              <w:t>》</w:t>
            </w:r>
          </w:p>
        </w:tc>
      </w:tr>
      <w:tr w14:paraId="00EA81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5D47479"/>
        </w:tc>
        <w:tc>
          <w:tcPr>
            <w:tcW w:w="2268" w:type="dxa"/>
            <w:shd w:val="clear" w:color="auto" w:fill="auto"/>
            <w:vAlign w:val="center"/>
          </w:tcPr>
          <w:p w14:paraId="37A02874">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时效指标</w:t>
            </w:r>
          </w:p>
        </w:tc>
        <w:tc>
          <w:tcPr>
            <w:tcW w:w="1985" w:type="dxa"/>
            <w:shd w:val="clear" w:color="auto" w:fill="auto"/>
            <w:vAlign w:val="center"/>
          </w:tcPr>
          <w:p w14:paraId="3FD3B0AF">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工程按期完成率</w:t>
            </w:r>
          </w:p>
        </w:tc>
        <w:tc>
          <w:tcPr>
            <w:tcW w:w="3402" w:type="dxa"/>
            <w:shd w:val="clear" w:color="auto" w:fill="auto"/>
            <w:vAlign w:val="center"/>
          </w:tcPr>
          <w:p w14:paraId="48C5F565">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按期完成的工程量占总工程量的比率</w:t>
            </w:r>
          </w:p>
        </w:tc>
        <w:tc>
          <w:tcPr>
            <w:tcW w:w="1843" w:type="dxa"/>
            <w:shd w:val="clear" w:color="auto" w:fill="auto"/>
            <w:vAlign w:val="center"/>
          </w:tcPr>
          <w:p w14:paraId="3181F8D1">
            <w:pPr>
              <w:spacing w:line="300" w:lineRule="exact"/>
              <w:jc w:val="left"/>
              <w:rPr>
                <w:rFonts w:ascii="Times New Roman" w:hAnsi="Times New Roman" w:eastAsia="仿宋_GB2312" w:cs="Times New Roman"/>
              </w:rPr>
            </w:pPr>
            <w:r>
              <w:rPr>
                <w:rFonts w:hint="eastAsia" w:ascii="宋体" w:hAnsi="宋体" w:eastAsia="宋体" w:cs="宋体"/>
                <w:lang w:val="en-US" w:eastAsia="zh-CN"/>
              </w:rPr>
              <w:t>≧</w:t>
            </w:r>
            <w:r>
              <w:rPr>
                <w:rFonts w:hint="eastAsia" w:ascii="Times New Roman" w:hAnsi="Times New Roman" w:eastAsia="仿宋_GB2312" w:cs="Times New Roman"/>
                <w:lang w:val="en-US" w:eastAsia="zh-CN"/>
              </w:rPr>
              <w:t>95%</w:t>
            </w:r>
          </w:p>
        </w:tc>
        <w:tc>
          <w:tcPr>
            <w:tcW w:w="2155" w:type="dxa"/>
            <w:shd w:val="clear" w:color="auto" w:fill="auto"/>
            <w:vAlign w:val="center"/>
          </w:tcPr>
          <w:p w14:paraId="72548F2C">
            <w:pPr>
              <w:spacing w:line="300" w:lineRule="exact"/>
              <w:jc w:val="left"/>
              <w:rPr>
                <w:rFonts w:ascii="Times New Roman" w:hAnsi="Times New Roman" w:eastAsia="仿宋_GB2312" w:cs="Times New Roman"/>
              </w:rPr>
            </w:pPr>
            <w:r>
              <w:rPr>
                <w:rFonts w:hint="eastAsia" w:ascii="Times New Roman" w:hAnsi="Times New Roman" w:eastAsia="仿宋_GB2312" w:cs="Times New Roman"/>
                <w:lang w:eastAsia="zh-CN"/>
              </w:rPr>
              <w:t>《</w:t>
            </w:r>
            <w:r>
              <w:rPr>
                <w:rFonts w:hint="eastAsia" w:ascii="Times New Roman" w:hAnsi="Times New Roman" w:eastAsia="仿宋_GB2312" w:cs="Times New Roman"/>
                <w:lang w:val="en-US" w:eastAsia="zh-CN"/>
              </w:rPr>
              <w:t>中华人民共和国建筑法</w:t>
            </w:r>
            <w:r>
              <w:rPr>
                <w:rFonts w:hint="eastAsia" w:ascii="Times New Roman" w:hAnsi="Times New Roman" w:eastAsia="仿宋_GB2312" w:cs="Times New Roman"/>
                <w:lang w:eastAsia="zh-CN"/>
              </w:rPr>
              <w:t>》</w:t>
            </w:r>
          </w:p>
        </w:tc>
      </w:tr>
      <w:tr w14:paraId="369DE2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769979B"/>
        </w:tc>
        <w:tc>
          <w:tcPr>
            <w:tcW w:w="2268" w:type="dxa"/>
            <w:shd w:val="clear" w:color="auto" w:fill="auto"/>
            <w:vAlign w:val="center"/>
          </w:tcPr>
          <w:p w14:paraId="74F3B0AA">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成本指标</w:t>
            </w:r>
          </w:p>
        </w:tc>
        <w:tc>
          <w:tcPr>
            <w:tcW w:w="1985" w:type="dxa"/>
            <w:shd w:val="clear" w:color="auto" w:fill="auto"/>
            <w:vAlign w:val="center"/>
          </w:tcPr>
          <w:p w14:paraId="523A989B">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房屋修缮</w:t>
            </w:r>
          </w:p>
        </w:tc>
        <w:tc>
          <w:tcPr>
            <w:tcW w:w="3402" w:type="dxa"/>
            <w:shd w:val="clear" w:color="auto" w:fill="auto"/>
            <w:vAlign w:val="center"/>
          </w:tcPr>
          <w:p w14:paraId="49AAC5B5">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房屋修缮</w:t>
            </w:r>
          </w:p>
        </w:tc>
        <w:tc>
          <w:tcPr>
            <w:tcW w:w="1843" w:type="dxa"/>
            <w:shd w:val="clear" w:color="auto" w:fill="auto"/>
            <w:vAlign w:val="center"/>
          </w:tcPr>
          <w:p w14:paraId="122FC89D">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控制成本</w:t>
            </w:r>
          </w:p>
        </w:tc>
        <w:tc>
          <w:tcPr>
            <w:tcW w:w="2155" w:type="dxa"/>
            <w:shd w:val="clear" w:color="auto" w:fill="auto"/>
            <w:vAlign w:val="center"/>
          </w:tcPr>
          <w:p w14:paraId="3EC02961">
            <w:pPr>
              <w:spacing w:line="300" w:lineRule="exact"/>
              <w:jc w:val="left"/>
              <w:rPr>
                <w:rFonts w:ascii="Times New Roman" w:hAnsi="Times New Roman" w:eastAsia="仿宋_GB2312" w:cs="Times New Roman"/>
              </w:rPr>
            </w:pPr>
            <w:r>
              <w:rPr>
                <w:rFonts w:hint="eastAsia" w:ascii="Times New Roman" w:hAnsi="Times New Roman" w:eastAsia="仿宋_GB2312" w:cs="Times New Roman"/>
                <w:lang w:eastAsia="zh-CN"/>
              </w:rPr>
              <w:t>《</w:t>
            </w:r>
            <w:r>
              <w:rPr>
                <w:rFonts w:hint="eastAsia" w:ascii="Times New Roman" w:hAnsi="Times New Roman" w:eastAsia="仿宋_GB2312" w:cs="Times New Roman"/>
                <w:lang w:val="en-US" w:eastAsia="zh-CN"/>
              </w:rPr>
              <w:t>中华人民共和国建筑法</w:t>
            </w:r>
            <w:r>
              <w:rPr>
                <w:rFonts w:hint="eastAsia" w:ascii="Times New Roman" w:hAnsi="Times New Roman" w:eastAsia="仿宋_GB2312" w:cs="Times New Roman"/>
                <w:lang w:eastAsia="zh-CN"/>
              </w:rPr>
              <w:t>》</w:t>
            </w:r>
          </w:p>
        </w:tc>
      </w:tr>
      <w:tr w14:paraId="675741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AD94CA9">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462FEE64">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eastAsia="zh-CN"/>
              </w:rPr>
              <w:t>社会效益</w:t>
            </w:r>
            <w:r>
              <w:rPr>
                <w:rFonts w:hint="eastAsia" w:ascii="Times New Roman" w:hAnsi="Times New Roman" w:eastAsia="仿宋_GB2312" w:cs="Times New Roman"/>
                <w:lang w:val="en-US" w:eastAsia="zh-CN"/>
              </w:rPr>
              <w:t>指标</w:t>
            </w:r>
          </w:p>
        </w:tc>
        <w:tc>
          <w:tcPr>
            <w:tcW w:w="1985" w:type="dxa"/>
            <w:shd w:val="clear" w:color="auto" w:fill="auto"/>
            <w:vAlign w:val="center"/>
          </w:tcPr>
          <w:p w14:paraId="179B8010">
            <w:pPr>
              <w:spacing w:line="300" w:lineRule="exact"/>
              <w:jc w:val="left"/>
              <w:rPr>
                <w:rFonts w:hint="eastAsia" w:ascii="Times New Roman" w:hAnsi="Times New Roman" w:eastAsia="仿宋_GB2312" w:cs="Times New Roman"/>
                <w:lang w:eastAsia="zh-CN"/>
              </w:rPr>
            </w:pPr>
            <w:r>
              <w:rPr>
                <w:rFonts w:hint="eastAsia" w:ascii="Times New Roman" w:hAnsi="Times New Roman" w:eastAsia="仿宋_GB2312" w:cs="Times New Roman"/>
                <w:lang w:eastAsia="zh-CN"/>
              </w:rPr>
              <w:t>改善办公环境</w:t>
            </w:r>
          </w:p>
        </w:tc>
        <w:tc>
          <w:tcPr>
            <w:tcW w:w="3402" w:type="dxa"/>
            <w:shd w:val="clear" w:color="auto" w:fill="auto"/>
            <w:vAlign w:val="center"/>
          </w:tcPr>
          <w:p w14:paraId="2DCE33A2">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eastAsia="zh-CN"/>
              </w:rPr>
              <w:t>基础设施建成后办公环境</w:t>
            </w:r>
            <w:r>
              <w:rPr>
                <w:rFonts w:hint="eastAsia" w:ascii="Times New Roman" w:hAnsi="Times New Roman" w:eastAsia="仿宋_GB2312" w:cs="Times New Roman"/>
                <w:lang w:val="en-US" w:eastAsia="zh-CN"/>
              </w:rPr>
              <w:t>有所改善</w:t>
            </w:r>
          </w:p>
        </w:tc>
        <w:tc>
          <w:tcPr>
            <w:tcW w:w="1843" w:type="dxa"/>
            <w:shd w:val="clear" w:color="auto" w:fill="auto"/>
            <w:vAlign w:val="center"/>
          </w:tcPr>
          <w:p w14:paraId="0ED4F3BD">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改善</w:t>
            </w:r>
          </w:p>
        </w:tc>
        <w:tc>
          <w:tcPr>
            <w:tcW w:w="2155" w:type="dxa"/>
            <w:shd w:val="clear" w:color="auto" w:fill="auto"/>
            <w:vAlign w:val="center"/>
          </w:tcPr>
          <w:p w14:paraId="6804D4FA">
            <w:pPr>
              <w:spacing w:line="300" w:lineRule="exact"/>
              <w:jc w:val="left"/>
              <w:rPr>
                <w:rFonts w:ascii="Times New Roman" w:hAnsi="Times New Roman" w:eastAsia="仿宋_GB2312" w:cs="Times New Roman"/>
              </w:rPr>
            </w:pPr>
            <w:r>
              <w:rPr>
                <w:rFonts w:hint="eastAsia" w:ascii="Times New Roman" w:hAnsi="Times New Roman" w:eastAsia="仿宋_GB2312" w:cs="Times New Roman"/>
                <w:lang w:eastAsia="zh-CN"/>
              </w:rPr>
              <w:t>《</w:t>
            </w:r>
            <w:r>
              <w:rPr>
                <w:rFonts w:hint="eastAsia" w:ascii="Times New Roman" w:hAnsi="Times New Roman" w:eastAsia="仿宋_GB2312" w:cs="Times New Roman"/>
                <w:lang w:val="en-US" w:eastAsia="zh-CN"/>
              </w:rPr>
              <w:t>中华人民共和国建筑法</w:t>
            </w:r>
            <w:r>
              <w:rPr>
                <w:rFonts w:hint="eastAsia" w:ascii="Times New Roman" w:hAnsi="Times New Roman" w:eastAsia="仿宋_GB2312" w:cs="Times New Roman"/>
                <w:lang w:eastAsia="zh-CN"/>
              </w:rPr>
              <w:t>》</w:t>
            </w:r>
          </w:p>
        </w:tc>
      </w:tr>
      <w:tr w14:paraId="219D79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9AB4F9E"/>
        </w:tc>
        <w:tc>
          <w:tcPr>
            <w:tcW w:w="2268" w:type="dxa"/>
            <w:shd w:val="clear" w:color="auto" w:fill="auto"/>
            <w:vAlign w:val="center"/>
          </w:tcPr>
          <w:p w14:paraId="31318FF6">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可持续影响指标</w:t>
            </w:r>
          </w:p>
        </w:tc>
        <w:tc>
          <w:tcPr>
            <w:tcW w:w="1985" w:type="dxa"/>
            <w:shd w:val="clear" w:color="auto" w:fill="auto"/>
            <w:vAlign w:val="center"/>
          </w:tcPr>
          <w:p w14:paraId="375C0473">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隐患消除情况</w:t>
            </w:r>
          </w:p>
        </w:tc>
        <w:tc>
          <w:tcPr>
            <w:tcW w:w="3402" w:type="dxa"/>
            <w:shd w:val="clear" w:color="auto" w:fill="auto"/>
            <w:vAlign w:val="center"/>
          </w:tcPr>
          <w:p w14:paraId="377E81E3">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eastAsia="zh-CN"/>
              </w:rPr>
              <w:t>通过</w:t>
            </w:r>
            <w:r>
              <w:rPr>
                <w:rFonts w:hint="eastAsia" w:ascii="Times New Roman" w:hAnsi="Times New Roman" w:eastAsia="仿宋_GB2312" w:cs="Times New Roman"/>
                <w:lang w:val="en-US" w:eastAsia="zh-CN"/>
              </w:rPr>
              <w:t>维护改造，消除安全隐患的项数或情况</w:t>
            </w:r>
          </w:p>
        </w:tc>
        <w:tc>
          <w:tcPr>
            <w:tcW w:w="1843" w:type="dxa"/>
            <w:shd w:val="clear" w:color="auto" w:fill="auto"/>
            <w:vAlign w:val="center"/>
          </w:tcPr>
          <w:p w14:paraId="708D4E84">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有效</w:t>
            </w:r>
          </w:p>
        </w:tc>
        <w:tc>
          <w:tcPr>
            <w:tcW w:w="2155" w:type="dxa"/>
            <w:shd w:val="clear" w:color="auto" w:fill="auto"/>
            <w:vAlign w:val="center"/>
          </w:tcPr>
          <w:p w14:paraId="687BA7A2">
            <w:pPr>
              <w:spacing w:line="300" w:lineRule="exact"/>
              <w:jc w:val="left"/>
              <w:rPr>
                <w:rFonts w:ascii="Times New Roman" w:hAnsi="Times New Roman" w:eastAsia="仿宋_GB2312" w:cs="Times New Roman"/>
              </w:rPr>
            </w:pPr>
            <w:r>
              <w:rPr>
                <w:rFonts w:hint="eastAsia" w:ascii="Times New Roman" w:hAnsi="Times New Roman" w:eastAsia="仿宋_GB2312" w:cs="Times New Roman"/>
                <w:lang w:eastAsia="zh-CN"/>
              </w:rPr>
              <w:t>《</w:t>
            </w:r>
            <w:r>
              <w:rPr>
                <w:rFonts w:hint="eastAsia" w:ascii="Times New Roman" w:hAnsi="Times New Roman" w:eastAsia="仿宋_GB2312" w:cs="Times New Roman"/>
                <w:lang w:val="en-US" w:eastAsia="zh-CN"/>
              </w:rPr>
              <w:t>中华人民共和国建筑法</w:t>
            </w:r>
            <w:r>
              <w:rPr>
                <w:rFonts w:hint="eastAsia" w:ascii="Times New Roman" w:hAnsi="Times New Roman" w:eastAsia="仿宋_GB2312" w:cs="Times New Roman"/>
                <w:lang w:eastAsia="zh-CN"/>
              </w:rPr>
              <w:t>》</w:t>
            </w:r>
          </w:p>
        </w:tc>
      </w:tr>
      <w:tr w14:paraId="3DCE3A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7F3BBE6A">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7FC9D52E">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服务对象满意度指标</w:t>
            </w:r>
          </w:p>
        </w:tc>
        <w:tc>
          <w:tcPr>
            <w:tcW w:w="1985" w:type="dxa"/>
            <w:shd w:val="clear" w:color="auto" w:fill="auto"/>
            <w:vAlign w:val="center"/>
          </w:tcPr>
          <w:p w14:paraId="18E15FFC">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服务对象满意度</w:t>
            </w:r>
          </w:p>
        </w:tc>
        <w:tc>
          <w:tcPr>
            <w:tcW w:w="3402" w:type="dxa"/>
            <w:shd w:val="clear" w:color="auto" w:fill="auto"/>
            <w:vAlign w:val="center"/>
          </w:tcPr>
          <w:p w14:paraId="26CEC9C9">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受益群体调查中，满意和比较满意的人数占全部调查人数的比率</w:t>
            </w:r>
          </w:p>
        </w:tc>
        <w:tc>
          <w:tcPr>
            <w:tcW w:w="1843" w:type="dxa"/>
            <w:shd w:val="clear" w:color="auto" w:fill="auto"/>
            <w:vAlign w:val="center"/>
          </w:tcPr>
          <w:p w14:paraId="3E8B1843">
            <w:pPr>
              <w:spacing w:line="300" w:lineRule="exact"/>
              <w:jc w:val="left"/>
              <w:rPr>
                <w:rFonts w:ascii="Times New Roman" w:hAnsi="Times New Roman" w:eastAsia="仿宋_GB2312" w:cs="Times New Roman"/>
              </w:rPr>
            </w:pPr>
            <w:r>
              <w:rPr>
                <w:rFonts w:hint="eastAsia" w:ascii="宋体" w:hAnsi="宋体" w:eastAsia="宋体" w:cs="宋体"/>
                <w:lang w:val="en-US" w:eastAsia="zh-CN"/>
              </w:rPr>
              <w:t>≧</w:t>
            </w:r>
            <w:r>
              <w:rPr>
                <w:rFonts w:hint="eastAsia" w:ascii="Times New Roman" w:hAnsi="Times New Roman" w:eastAsia="仿宋_GB2312" w:cs="Times New Roman"/>
                <w:lang w:val="en-US" w:eastAsia="zh-CN"/>
              </w:rPr>
              <w:t>95%</w:t>
            </w:r>
          </w:p>
        </w:tc>
        <w:tc>
          <w:tcPr>
            <w:tcW w:w="2155" w:type="dxa"/>
            <w:shd w:val="clear" w:color="auto" w:fill="auto"/>
            <w:vAlign w:val="center"/>
          </w:tcPr>
          <w:p w14:paraId="22BBB7EB">
            <w:pPr>
              <w:spacing w:line="300" w:lineRule="exact"/>
              <w:jc w:val="left"/>
              <w:rPr>
                <w:rFonts w:ascii="Times New Roman" w:hAnsi="Times New Roman" w:eastAsia="仿宋_GB2312" w:cs="Times New Roman"/>
              </w:rPr>
            </w:pPr>
            <w:r>
              <w:rPr>
                <w:rFonts w:hint="eastAsia" w:ascii="Times New Roman" w:hAnsi="Times New Roman" w:eastAsia="仿宋_GB2312" w:cs="Times New Roman"/>
                <w:lang w:eastAsia="zh-CN"/>
              </w:rPr>
              <w:t>《</w:t>
            </w:r>
            <w:r>
              <w:rPr>
                <w:rFonts w:hint="eastAsia" w:ascii="Times New Roman" w:hAnsi="Times New Roman" w:eastAsia="仿宋_GB2312" w:cs="Times New Roman"/>
                <w:lang w:val="en-US" w:eastAsia="zh-CN"/>
              </w:rPr>
              <w:t>中华人民共和国建筑法</w:t>
            </w:r>
            <w:r>
              <w:rPr>
                <w:rFonts w:hint="eastAsia" w:ascii="Times New Roman" w:hAnsi="Times New Roman" w:eastAsia="仿宋_GB2312" w:cs="Times New Roman"/>
                <w:lang w:eastAsia="zh-CN"/>
              </w:rPr>
              <w:t>》</w:t>
            </w:r>
          </w:p>
        </w:tc>
      </w:tr>
    </w:tbl>
    <w:p w14:paraId="4C0DDF11">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w:t>
      </w:r>
      <w:r>
        <w:rPr>
          <w:rFonts w:hint="eastAsia" w:ascii="Times New Roman" w:hAnsi="Times New Roman" w:eastAsia="仿宋_GB2312" w:cs="Times New Roman"/>
          <w:sz w:val="28"/>
          <w:lang w:val="en-US" w:eastAsia="zh-CN"/>
        </w:rPr>
        <w:t>审计业务费</w:t>
      </w:r>
      <w:r>
        <w:rPr>
          <w:rFonts w:ascii="Times New Roman" w:hAnsi="Times New Roman" w:eastAsia="仿宋_GB2312" w:cs="Times New Roman"/>
          <w:sz w:val="28"/>
        </w:rPr>
        <w:t>绩效目标表</w:t>
      </w:r>
      <w:r>
        <w:rPr>
          <w:rFonts w:ascii="Times New Roman" w:hAnsi="Times New Roman" w:eastAsia="仿宋_GB2312" w:cs="Times New Roman"/>
          <w:vanish/>
          <w:sz w:val="28"/>
        </w:rPr>
        <w:t>{ TC 2、办公自动化（OA）和督查督办系统升级及推广费绩效目标表 \f C \l 1 }</w:t>
      </w:r>
    </w:p>
    <w:p w14:paraId="6037B27D">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1DFE02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17C9201">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1C6226B7">
            <w:pPr>
              <w:spacing w:line="300" w:lineRule="exact"/>
              <w:rPr>
                <w:rFonts w:hint="default" w:ascii="Times New Roman" w:hAnsi="Times New Roman" w:eastAsia="仿宋_GB2312" w:cs="Times New Roman"/>
                <w:b/>
                <w:lang w:val="en-US" w:eastAsia="zh-CN"/>
              </w:rPr>
            </w:pPr>
            <w:r>
              <w:rPr>
                <w:rFonts w:hint="eastAsia" w:ascii="Times New Roman" w:hAnsi="Times New Roman" w:eastAsia="仿宋_GB2312" w:cs="Times New Roman"/>
                <w:b/>
                <w:lang w:val="en-US" w:eastAsia="zh-CN"/>
              </w:rPr>
              <w:t>1.通过财政财务收支审计真实、合法和效益情况，维护国家财政经济秩序，促进廉政建设。2.保障国民经济的健康运行，逐步实现审计全覆盖。</w:t>
            </w:r>
          </w:p>
        </w:tc>
      </w:tr>
      <w:tr w14:paraId="202EA9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12FEB15">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3E17C353">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4F9A8C4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43B24D51">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434F1C2E">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79723872">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747A47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47AE76F3">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21B2DF6A">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数量指标</w:t>
            </w:r>
          </w:p>
        </w:tc>
        <w:tc>
          <w:tcPr>
            <w:tcW w:w="1985" w:type="dxa"/>
            <w:shd w:val="clear" w:color="auto" w:fill="auto"/>
            <w:vAlign w:val="center"/>
          </w:tcPr>
          <w:p w14:paraId="1B4B0E1A">
            <w:pPr>
              <w:spacing w:line="300" w:lineRule="exact"/>
              <w:jc w:val="left"/>
              <w:rPr>
                <w:rFonts w:ascii="Times New Roman" w:hAnsi="Times New Roman" w:eastAsia="仿宋_GB2312" w:cs="Times New Roman"/>
              </w:rPr>
            </w:pPr>
            <w:r>
              <w:rPr>
                <w:rFonts w:hint="eastAsia" w:ascii="Times New Roman" w:hAnsi="Times New Roman" w:eastAsia="仿宋_GB2312" w:cs="Times New Roman"/>
                <w:lang w:val="en-US" w:eastAsia="zh-CN"/>
              </w:rPr>
              <w:t>数量指标</w:t>
            </w:r>
          </w:p>
        </w:tc>
        <w:tc>
          <w:tcPr>
            <w:tcW w:w="3402" w:type="dxa"/>
            <w:shd w:val="clear" w:color="auto" w:fill="auto"/>
            <w:vAlign w:val="center"/>
          </w:tcPr>
          <w:p w14:paraId="2118A672">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审计项目数量</w:t>
            </w:r>
          </w:p>
        </w:tc>
        <w:tc>
          <w:tcPr>
            <w:tcW w:w="1843" w:type="dxa"/>
            <w:shd w:val="clear" w:color="auto" w:fill="auto"/>
            <w:vAlign w:val="center"/>
          </w:tcPr>
          <w:p w14:paraId="1396B323">
            <w:pPr>
              <w:spacing w:line="300" w:lineRule="exact"/>
              <w:jc w:val="left"/>
              <w:rPr>
                <w:rFonts w:hint="default" w:ascii="Times New Roman" w:hAnsi="Times New Roman" w:eastAsia="仿宋_GB2312" w:cs="Times New Roman"/>
                <w:lang w:val="en-US" w:eastAsia="zh-CN"/>
              </w:rPr>
            </w:pPr>
            <w:r>
              <w:rPr>
                <w:rFonts w:hint="eastAsia" w:ascii="宋体" w:hAnsi="宋体" w:eastAsia="宋体" w:cs="宋体"/>
              </w:rPr>
              <w:t>≧</w:t>
            </w:r>
            <w:r>
              <w:rPr>
                <w:rFonts w:hint="eastAsia" w:ascii="Times New Roman" w:hAnsi="Times New Roman" w:eastAsia="仿宋_GB2312" w:cs="Times New Roman"/>
                <w:lang w:val="en-US" w:eastAsia="zh-CN"/>
              </w:rPr>
              <w:t>30个项目</w:t>
            </w:r>
          </w:p>
        </w:tc>
        <w:tc>
          <w:tcPr>
            <w:tcW w:w="2155" w:type="dxa"/>
            <w:shd w:val="clear" w:color="auto" w:fill="auto"/>
            <w:vAlign w:val="center"/>
          </w:tcPr>
          <w:p w14:paraId="5913FBAB">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历史标准</w:t>
            </w:r>
          </w:p>
        </w:tc>
      </w:tr>
      <w:tr w14:paraId="5DD26F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BC4022D"/>
        </w:tc>
        <w:tc>
          <w:tcPr>
            <w:tcW w:w="2268" w:type="dxa"/>
            <w:shd w:val="clear" w:color="auto" w:fill="auto"/>
            <w:vAlign w:val="center"/>
          </w:tcPr>
          <w:p w14:paraId="083F98CE">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质量指标</w:t>
            </w:r>
          </w:p>
        </w:tc>
        <w:tc>
          <w:tcPr>
            <w:tcW w:w="1985" w:type="dxa"/>
            <w:shd w:val="clear" w:color="auto" w:fill="auto"/>
            <w:vAlign w:val="center"/>
          </w:tcPr>
          <w:p w14:paraId="4DC5B6BA">
            <w:pPr>
              <w:spacing w:line="300" w:lineRule="exact"/>
              <w:jc w:val="left"/>
              <w:rPr>
                <w:rFonts w:ascii="Times New Roman" w:hAnsi="Times New Roman" w:eastAsia="仿宋_GB2312" w:cs="Times New Roman"/>
              </w:rPr>
            </w:pPr>
            <w:r>
              <w:rPr>
                <w:rFonts w:hint="eastAsia" w:ascii="Times New Roman" w:hAnsi="Times New Roman" w:eastAsia="仿宋_GB2312" w:cs="Times New Roman"/>
                <w:lang w:val="en-US" w:eastAsia="zh-CN"/>
              </w:rPr>
              <w:t>质量指标</w:t>
            </w:r>
          </w:p>
        </w:tc>
        <w:tc>
          <w:tcPr>
            <w:tcW w:w="3402" w:type="dxa"/>
            <w:shd w:val="clear" w:color="auto" w:fill="auto"/>
            <w:vAlign w:val="center"/>
          </w:tcPr>
          <w:p w14:paraId="256DAE3E">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eastAsia="zh-CN"/>
              </w:rPr>
              <w:t>审计项目质量</w:t>
            </w:r>
            <w:r>
              <w:rPr>
                <w:rFonts w:hint="eastAsia" w:ascii="Times New Roman" w:hAnsi="Times New Roman" w:eastAsia="仿宋_GB2312" w:cs="Times New Roman"/>
                <w:lang w:val="en-US" w:eastAsia="zh-CN"/>
              </w:rPr>
              <w:t>评比合格率</w:t>
            </w:r>
          </w:p>
        </w:tc>
        <w:tc>
          <w:tcPr>
            <w:tcW w:w="1843" w:type="dxa"/>
            <w:shd w:val="clear" w:color="auto" w:fill="auto"/>
            <w:vAlign w:val="center"/>
          </w:tcPr>
          <w:p w14:paraId="59557D1F">
            <w:pPr>
              <w:spacing w:line="300" w:lineRule="exact"/>
              <w:jc w:val="left"/>
              <w:rPr>
                <w:rFonts w:hint="default" w:ascii="Times New Roman" w:hAnsi="Times New Roman" w:eastAsia="仿宋_GB2312" w:cs="Times New Roman"/>
                <w:lang w:val="en-US" w:eastAsia="zh-CN"/>
              </w:rPr>
            </w:pPr>
            <w:r>
              <w:rPr>
                <w:rFonts w:hint="eastAsia" w:ascii="宋体" w:hAnsi="宋体" w:eastAsia="宋体" w:cs="宋体"/>
              </w:rPr>
              <w:t>≧</w:t>
            </w:r>
            <w:r>
              <w:rPr>
                <w:rFonts w:hint="eastAsia" w:ascii="Times New Roman" w:hAnsi="Times New Roman" w:eastAsia="仿宋_GB2312" w:cs="Times New Roman"/>
                <w:lang w:val="en-US" w:eastAsia="zh-CN"/>
              </w:rPr>
              <w:t>95%</w:t>
            </w:r>
          </w:p>
        </w:tc>
        <w:tc>
          <w:tcPr>
            <w:tcW w:w="2155" w:type="dxa"/>
            <w:shd w:val="clear" w:color="auto" w:fill="auto"/>
            <w:vAlign w:val="center"/>
          </w:tcPr>
          <w:p w14:paraId="696C4131">
            <w:pPr>
              <w:spacing w:line="300" w:lineRule="exact"/>
              <w:jc w:val="left"/>
              <w:rPr>
                <w:rFonts w:hint="eastAsia" w:ascii="Times New Roman" w:hAnsi="Times New Roman" w:eastAsia="仿宋_GB2312" w:cs="Times New Roman"/>
                <w:lang w:eastAsia="zh-CN"/>
              </w:rPr>
            </w:pPr>
            <w:r>
              <w:rPr>
                <w:rFonts w:hint="eastAsia" w:ascii="Times New Roman" w:hAnsi="Times New Roman" w:eastAsia="仿宋_GB2312" w:cs="Times New Roman"/>
                <w:lang w:eastAsia="zh-CN"/>
              </w:rPr>
              <w:t>《</w:t>
            </w:r>
            <w:r>
              <w:rPr>
                <w:rFonts w:hint="eastAsia" w:ascii="Times New Roman" w:hAnsi="Times New Roman" w:eastAsia="仿宋_GB2312" w:cs="Times New Roman"/>
                <w:lang w:val="en-US" w:eastAsia="zh-CN"/>
              </w:rPr>
              <w:t>审计法</w:t>
            </w:r>
            <w:r>
              <w:rPr>
                <w:rFonts w:hint="eastAsia" w:ascii="Times New Roman" w:hAnsi="Times New Roman" w:eastAsia="仿宋_GB2312" w:cs="Times New Roman"/>
                <w:lang w:eastAsia="zh-CN"/>
              </w:rPr>
              <w:t>》</w:t>
            </w:r>
          </w:p>
        </w:tc>
      </w:tr>
      <w:tr w14:paraId="4D6EFC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1398438"/>
        </w:tc>
        <w:tc>
          <w:tcPr>
            <w:tcW w:w="2268" w:type="dxa"/>
            <w:shd w:val="clear" w:color="auto" w:fill="auto"/>
            <w:vAlign w:val="center"/>
          </w:tcPr>
          <w:p w14:paraId="7219F73B">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时效指标</w:t>
            </w:r>
          </w:p>
        </w:tc>
        <w:tc>
          <w:tcPr>
            <w:tcW w:w="1985" w:type="dxa"/>
            <w:shd w:val="clear" w:color="auto" w:fill="auto"/>
            <w:vAlign w:val="center"/>
          </w:tcPr>
          <w:p w14:paraId="15D2D7E6">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时效指标</w:t>
            </w:r>
          </w:p>
        </w:tc>
        <w:tc>
          <w:tcPr>
            <w:tcW w:w="3402" w:type="dxa"/>
            <w:shd w:val="clear" w:color="auto" w:fill="auto"/>
            <w:vAlign w:val="center"/>
          </w:tcPr>
          <w:p w14:paraId="2021C84F">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审计项目完成时间</w:t>
            </w:r>
          </w:p>
        </w:tc>
        <w:tc>
          <w:tcPr>
            <w:tcW w:w="1843" w:type="dxa"/>
            <w:shd w:val="clear" w:color="auto" w:fill="auto"/>
            <w:vAlign w:val="center"/>
          </w:tcPr>
          <w:p w14:paraId="1048DF4C">
            <w:pPr>
              <w:spacing w:line="300" w:lineRule="exact"/>
              <w:jc w:val="left"/>
              <w:rPr>
                <w:rFonts w:hint="default" w:ascii="Times New Roman" w:hAnsi="Times New Roman" w:eastAsia="仿宋_GB2312" w:cs="Times New Roman"/>
                <w:lang w:val="en-US" w:eastAsia="zh-CN"/>
              </w:rPr>
            </w:pPr>
            <w:r>
              <w:rPr>
                <w:rFonts w:hint="eastAsia" w:ascii="宋体" w:hAnsi="宋体" w:eastAsia="宋体" w:cs="宋体"/>
              </w:rPr>
              <w:t>≦</w:t>
            </w:r>
            <w:r>
              <w:rPr>
                <w:rFonts w:hint="eastAsia" w:ascii="Times New Roman" w:hAnsi="Times New Roman" w:eastAsia="仿宋_GB2312" w:cs="Times New Roman"/>
                <w:lang w:val="en-US" w:eastAsia="zh-CN"/>
              </w:rPr>
              <w:t>12个月</w:t>
            </w:r>
          </w:p>
        </w:tc>
        <w:tc>
          <w:tcPr>
            <w:tcW w:w="2155" w:type="dxa"/>
            <w:shd w:val="clear" w:color="auto" w:fill="auto"/>
            <w:vAlign w:val="center"/>
          </w:tcPr>
          <w:p w14:paraId="7FAB1F2A">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审计实施方案</w:t>
            </w:r>
          </w:p>
        </w:tc>
      </w:tr>
      <w:tr w14:paraId="7BC049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17D8359"/>
        </w:tc>
        <w:tc>
          <w:tcPr>
            <w:tcW w:w="2268" w:type="dxa"/>
            <w:shd w:val="clear" w:color="auto" w:fill="auto"/>
            <w:vAlign w:val="center"/>
          </w:tcPr>
          <w:p w14:paraId="1158F72B">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成本指标</w:t>
            </w:r>
          </w:p>
        </w:tc>
        <w:tc>
          <w:tcPr>
            <w:tcW w:w="1985" w:type="dxa"/>
            <w:shd w:val="clear" w:color="auto" w:fill="auto"/>
            <w:vAlign w:val="center"/>
          </w:tcPr>
          <w:p w14:paraId="2017C285">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成本指标</w:t>
            </w:r>
          </w:p>
        </w:tc>
        <w:tc>
          <w:tcPr>
            <w:tcW w:w="3402" w:type="dxa"/>
            <w:shd w:val="clear" w:color="auto" w:fill="auto"/>
            <w:vAlign w:val="center"/>
          </w:tcPr>
          <w:p w14:paraId="4753261D">
            <w:pPr>
              <w:spacing w:line="300" w:lineRule="exact"/>
              <w:jc w:val="left"/>
              <w:rPr>
                <w:rFonts w:hint="eastAsia" w:ascii="Times New Roman" w:hAnsi="Times New Roman" w:eastAsia="仿宋_GB2312" w:cs="Times New Roman"/>
                <w:lang w:eastAsia="zh-CN"/>
              </w:rPr>
            </w:pPr>
            <w:r>
              <w:rPr>
                <w:rFonts w:hint="eastAsia" w:ascii="Times New Roman" w:hAnsi="Times New Roman" w:eastAsia="仿宋_GB2312" w:cs="Times New Roman"/>
                <w:lang w:eastAsia="zh-CN"/>
              </w:rPr>
              <w:t>支出标准</w:t>
            </w:r>
          </w:p>
        </w:tc>
        <w:tc>
          <w:tcPr>
            <w:tcW w:w="1843" w:type="dxa"/>
            <w:shd w:val="clear" w:color="auto" w:fill="auto"/>
            <w:vAlign w:val="center"/>
          </w:tcPr>
          <w:p w14:paraId="705D0EE2">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按标准支出</w:t>
            </w:r>
          </w:p>
        </w:tc>
        <w:tc>
          <w:tcPr>
            <w:tcW w:w="2155" w:type="dxa"/>
            <w:shd w:val="clear" w:color="auto" w:fill="auto"/>
            <w:vAlign w:val="center"/>
          </w:tcPr>
          <w:p w14:paraId="2914042B">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按规定执行</w:t>
            </w:r>
          </w:p>
        </w:tc>
      </w:tr>
      <w:tr w14:paraId="36B034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0059528">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28142F7B">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经济效益指标</w:t>
            </w:r>
          </w:p>
        </w:tc>
        <w:tc>
          <w:tcPr>
            <w:tcW w:w="1985" w:type="dxa"/>
            <w:shd w:val="clear" w:color="auto" w:fill="auto"/>
            <w:vAlign w:val="center"/>
          </w:tcPr>
          <w:p w14:paraId="30DCF686">
            <w:pPr>
              <w:spacing w:line="300" w:lineRule="exact"/>
              <w:jc w:val="left"/>
              <w:rPr>
                <w:rFonts w:ascii="Times New Roman" w:hAnsi="Times New Roman" w:eastAsia="仿宋_GB2312" w:cs="Times New Roman"/>
              </w:rPr>
            </w:pPr>
            <w:r>
              <w:rPr>
                <w:rFonts w:hint="eastAsia" w:ascii="Times New Roman" w:hAnsi="Times New Roman" w:eastAsia="仿宋_GB2312" w:cs="Times New Roman"/>
                <w:lang w:val="en-US" w:eastAsia="zh-CN"/>
              </w:rPr>
              <w:t>经济效益指标</w:t>
            </w:r>
          </w:p>
        </w:tc>
        <w:tc>
          <w:tcPr>
            <w:tcW w:w="3402" w:type="dxa"/>
            <w:shd w:val="clear" w:color="auto" w:fill="auto"/>
            <w:vAlign w:val="center"/>
          </w:tcPr>
          <w:p w14:paraId="6437CBB3">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促进县域经济健康发展</w:t>
            </w:r>
          </w:p>
        </w:tc>
        <w:tc>
          <w:tcPr>
            <w:tcW w:w="1843" w:type="dxa"/>
            <w:shd w:val="clear" w:color="auto" w:fill="auto"/>
            <w:vAlign w:val="center"/>
          </w:tcPr>
          <w:p w14:paraId="4109DB85">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长期</w:t>
            </w:r>
          </w:p>
        </w:tc>
        <w:tc>
          <w:tcPr>
            <w:tcW w:w="2155" w:type="dxa"/>
            <w:shd w:val="clear" w:color="auto" w:fill="auto"/>
            <w:vAlign w:val="center"/>
          </w:tcPr>
          <w:p w14:paraId="09E6E126">
            <w:pPr>
              <w:spacing w:line="300" w:lineRule="exact"/>
              <w:jc w:val="left"/>
              <w:rPr>
                <w:rFonts w:hint="eastAsia" w:ascii="Times New Roman" w:hAnsi="Times New Roman" w:eastAsia="仿宋_GB2312" w:cs="Times New Roman"/>
                <w:lang w:eastAsia="zh-CN"/>
              </w:rPr>
            </w:pPr>
            <w:r>
              <w:rPr>
                <w:rFonts w:hint="eastAsia" w:ascii="Times New Roman" w:hAnsi="Times New Roman" w:eastAsia="仿宋_GB2312" w:cs="Times New Roman"/>
                <w:lang w:eastAsia="zh-CN"/>
              </w:rPr>
              <w:t>《</w:t>
            </w:r>
            <w:r>
              <w:rPr>
                <w:rFonts w:hint="eastAsia" w:ascii="Times New Roman" w:hAnsi="Times New Roman" w:eastAsia="仿宋_GB2312" w:cs="Times New Roman"/>
                <w:lang w:val="en-US" w:eastAsia="zh-CN"/>
              </w:rPr>
              <w:t>审计法</w:t>
            </w:r>
            <w:r>
              <w:rPr>
                <w:rFonts w:hint="eastAsia" w:ascii="Times New Roman" w:hAnsi="Times New Roman" w:eastAsia="仿宋_GB2312" w:cs="Times New Roman"/>
                <w:lang w:eastAsia="zh-CN"/>
              </w:rPr>
              <w:t>》</w:t>
            </w:r>
          </w:p>
        </w:tc>
      </w:tr>
      <w:tr w14:paraId="4AAB7F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13943DE"/>
        </w:tc>
        <w:tc>
          <w:tcPr>
            <w:tcW w:w="2268" w:type="dxa"/>
            <w:shd w:val="clear" w:color="auto" w:fill="auto"/>
            <w:vAlign w:val="center"/>
          </w:tcPr>
          <w:p w14:paraId="548D48B1">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社会效益指标</w:t>
            </w:r>
          </w:p>
        </w:tc>
        <w:tc>
          <w:tcPr>
            <w:tcW w:w="1985" w:type="dxa"/>
            <w:shd w:val="clear" w:color="auto" w:fill="auto"/>
            <w:vAlign w:val="center"/>
          </w:tcPr>
          <w:p w14:paraId="581B6435">
            <w:pPr>
              <w:spacing w:line="300" w:lineRule="exact"/>
              <w:jc w:val="left"/>
              <w:rPr>
                <w:rFonts w:ascii="Times New Roman" w:hAnsi="Times New Roman" w:eastAsia="仿宋_GB2312" w:cs="Times New Roman"/>
              </w:rPr>
            </w:pPr>
            <w:r>
              <w:rPr>
                <w:rFonts w:hint="eastAsia" w:ascii="Times New Roman" w:hAnsi="Times New Roman" w:eastAsia="仿宋_GB2312" w:cs="Times New Roman"/>
                <w:lang w:val="en-US" w:eastAsia="zh-CN"/>
              </w:rPr>
              <w:t>社会效益指标</w:t>
            </w:r>
          </w:p>
        </w:tc>
        <w:tc>
          <w:tcPr>
            <w:tcW w:w="3402" w:type="dxa"/>
            <w:shd w:val="clear" w:color="auto" w:fill="auto"/>
            <w:vAlign w:val="center"/>
          </w:tcPr>
          <w:p w14:paraId="66332E52">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发现的违规资金金额与以前年度比较</w:t>
            </w:r>
          </w:p>
        </w:tc>
        <w:tc>
          <w:tcPr>
            <w:tcW w:w="1843" w:type="dxa"/>
            <w:shd w:val="clear" w:color="auto" w:fill="auto"/>
            <w:vAlign w:val="center"/>
          </w:tcPr>
          <w:p w14:paraId="027946A3">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下降</w:t>
            </w:r>
          </w:p>
        </w:tc>
        <w:tc>
          <w:tcPr>
            <w:tcW w:w="2155" w:type="dxa"/>
            <w:shd w:val="clear" w:color="auto" w:fill="auto"/>
            <w:vAlign w:val="center"/>
          </w:tcPr>
          <w:p w14:paraId="5BBD0427">
            <w:pPr>
              <w:spacing w:line="300" w:lineRule="exact"/>
              <w:jc w:val="left"/>
              <w:rPr>
                <w:rFonts w:hint="eastAsia" w:ascii="Times New Roman" w:hAnsi="Times New Roman" w:eastAsia="仿宋_GB2312" w:cs="Times New Roman"/>
                <w:lang w:eastAsia="zh-CN"/>
              </w:rPr>
            </w:pPr>
            <w:r>
              <w:rPr>
                <w:rFonts w:hint="eastAsia" w:ascii="Times New Roman" w:hAnsi="Times New Roman" w:eastAsia="仿宋_GB2312" w:cs="Times New Roman"/>
                <w:lang w:eastAsia="zh-CN"/>
              </w:rPr>
              <w:t>《</w:t>
            </w:r>
            <w:r>
              <w:rPr>
                <w:rFonts w:hint="eastAsia" w:ascii="Times New Roman" w:hAnsi="Times New Roman" w:eastAsia="仿宋_GB2312" w:cs="Times New Roman"/>
                <w:lang w:val="en-US" w:eastAsia="zh-CN"/>
              </w:rPr>
              <w:t>审计法</w:t>
            </w:r>
            <w:r>
              <w:rPr>
                <w:rFonts w:hint="eastAsia" w:ascii="Times New Roman" w:hAnsi="Times New Roman" w:eastAsia="仿宋_GB2312" w:cs="Times New Roman"/>
                <w:lang w:eastAsia="zh-CN"/>
              </w:rPr>
              <w:t>》</w:t>
            </w:r>
          </w:p>
        </w:tc>
      </w:tr>
      <w:tr w14:paraId="584A17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0543FF7"/>
        </w:tc>
        <w:tc>
          <w:tcPr>
            <w:tcW w:w="2268" w:type="dxa"/>
            <w:shd w:val="clear" w:color="auto" w:fill="auto"/>
            <w:vAlign w:val="center"/>
          </w:tcPr>
          <w:p w14:paraId="308DC4B6">
            <w:pPr>
              <w:spacing w:line="300" w:lineRule="exact"/>
              <w:jc w:val="left"/>
              <w:rPr>
                <w:rFonts w:hint="eastAsia" w:ascii="Times New Roman" w:hAnsi="Times New Roman" w:eastAsia="仿宋_GB2312" w:cs="Times New Roman"/>
                <w:lang w:eastAsia="zh-CN"/>
              </w:rPr>
            </w:pPr>
            <w:r>
              <w:rPr>
                <w:rFonts w:hint="eastAsia" w:ascii="Times New Roman" w:hAnsi="Times New Roman" w:eastAsia="仿宋_GB2312" w:cs="Times New Roman"/>
                <w:lang w:eastAsia="zh-CN"/>
              </w:rPr>
              <w:t>可持续影响指标</w:t>
            </w:r>
          </w:p>
        </w:tc>
        <w:tc>
          <w:tcPr>
            <w:tcW w:w="1985" w:type="dxa"/>
            <w:shd w:val="clear" w:color="auto" w:fill="auto"/>
            <w:vAlign w:val="center"/>
          </w:tcPr>
          <w:p w14:paraId="585D2A35">
            <w:pPr>
              <w:spacing w:line="300" w:lineRule="exact"/>
              <w:jc w:val="left"/>
              <w:rPr>
                <w:rFonts w:ascii="Times New Roman" w:hAnsi="Times New Roman" w:eastAsia="仿宋_GB2312" w:cs="Times New Roman"/>
              </w:rPr>
            </w:pPr>
            <w:r>
              <w:rPr>
                <w:rFonts w:hint="eastAsia" w:ascii="Times New Roman" w:hAnsi="Times New Roman" w:eastAsia="仿宋_GB2312" w:cs="Times New Roman"/>
                <w:lang w:eastAsia="zh-CN"/>
              </w:rPr>
              <w:t>可持续影响指标</w:t>
            </w:r>
          </w:p>
        </w:tc>
        <w:tc>
          <w:tcPr>
            <w:tcW w:w="3402" w:type="dxa"/>
            <w:shd w:val="clear" w:color="auto" w:fill="auto"/>
            <w:vAlign w:val="center"/>
          </w:tcPr>
          <w:p w14:paraId="76FCF862">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保障经济健康运行</w:t>
            </w:r>
          </w:p>
        </w:tc>
        <w:tc>
          <w:tcPr>
            <w:tcW w:w="1843" w:type="dxa"/>
            <w:shd w:val="clear" w:color="auto" w:fill="auto"/>
            <w:vAlign w:val="center"/>
          </w:tcPr>
          <w:p w14:paraId="3C7544B3">
            <w:pPr>
              <w:spacing w:line="300" w:lineRule="exact"/>
              <w:jc w:val="left"/>
              <w:rPr>
                <w:rFonts w:hint="default" w:ascii="Times New Roman" w:hAnsi="Times New Roman" w:eastAsia="仿宋_GB2312" w:cs="Times New Roman"/>
                <w:lang w:val="en-US" w:eastAsia="zh-CN"/>
              </w:rPr>
            </w:pPr>
            <w:r>
              <w:rPr>
                <w:rFonts w:hint="eastAsia" w:ascii="宋体" w:hAnsi="宋体" w:eastAsia="宋体" w:cs="宋体"/>
              </w:rPr>
              <w:t>≧</w:t>
            </w:r>
            <w:r>
              <w:rPr>
                <w:rFonts w:hint="eastAsia" w:ascii="Times New Roman" w:hAnsi="Times New Roman" w:eastAsia="仿宋_GB2312" w:cs="Times New Roman"/>
                <w:lang w:val="en-US" w:eastAsia="zh-CN"/>
              </w:rPr>
              <w:t>95%</w:t>
            </w:r>
          </w:p>
        </w:tc>
        <w:tc>
          <w:tcPr>
            <w:tcW w:w="2155" w:type="dxa"/>
            <w:shd w:val="clear" w:color="auto" w:fill="auto"/>
            <w:vAlign w:val="center"/>
          </w:tcPr>
          <w:p w14:paraId="110D3628">
            <w:pPr>
              <w:spacing w:line="300" w:lineRule="exact"/>
              <w:jc w:val="left"/>
              <w:rPr>
                <w:rFonts w:hint="eastAsia" w:ascii="Times New Roman" w:hAnsi="Times New Roman" w:eastAsia="仿宋_GB2312" w:cs="Times New Roman"/>
                <w:lang w:eastAsia="zh-CN"/>
              </w:rPr>
            </w:pPr>
            <w:r>
              <w:rPr>
                <w:rFonts w:hint="eastAsia" w:ascii="Times New Roman" w:hAnsi="Times New Roman" w:eastAsia="仿宋_GB2312" w:cs="Times New Roman"/>
                <w:lang w:eastAsia="zh-CN"/>
              </w:rPr>
              <w:t>《</w:t>
            </w:r>
            <w:r>
              <w:rPr>
                <w:rFonts w:hint="eastAsia" w:ascii="Times New Roman" w:hAnsi="Times New Roman" w:eastAsia="仿宋_GB2312" w:cs="Times New Roman"/>
                <w:lang w:val="en-US" w:eastAsia="zh-CN"/>
              </w:rPr>
              <w:t>审计法</w:t>
            </w:r>
            <w:r>
              <w:rPr>
                <w:rFonts w:hint="eastAsia" w:ascii="Times New Roman" w:hAnsi="Times New Roman" w:eastAsia="仿宋_GB2312" w:cs="Times New Roman"/>
                <w:lang w:eastAsia="zh-CN"/>
              </w:rPr>
              <w:t>》</w:t>
            </w:r>
          </w:p>
        </w:tc>
      </w:tr>
      <w:tr w14:paraId="578ECA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5E987EBC">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1748DB83">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服务对象满意度指标</w:t>
            </w:r>
          </w:p>
        </w:tc>
        <w:tc>
          <w:tcPr>
            <w:tcW w:w="1985" w:type="dxa"/>
            <w:shd w:val="clear" w:color="auto" w:fill="auto"/>
            <w:vAlign w:val="center"/>
          </w:tcPr>
          <w:p w14:paraId="2BB69931">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调查问卷</w:t>
            </w:r>
          </w:p>
        </w:tc>
        <w:tc>
          <w:tcPr>
            <w:tcW w:w="3402" w:type="dxa"/>
            <w:shd w:val="clear" w:color="auto" w:fill="auto"/>
            <w:vAlign w:val="center"/>
          </w:tcPr>
          <w:p w14:paraId="56147968">
            <w:pPr>
              <w:spacing w:line="300" w:lineRule="exact"/>
              <w:jc w:val="left"/>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被审计单位对审计过程及结果的满意度</w:t>
            </w:r>
          </w:p>
        </w:tc>
        <w:tc>
          <w:tcPr>
            <w:tcW w:w="1843" w:type="dxa"/>
            <w:shd w:val="clear" w:color="auto" w:fill="auto"/>
            <w:vAlign w:val="center"/>
          </w:tcPr>
          <w:p w14:paraId="1C248F74">
            <w:pPr>
              <w:spacing w:line="300" w:lineRule="exact"/>
              <w:jc w:val="left"/>
              <w:rPr>
                <w:rFonts w:hint="default" w:ascii="Times New Roman" w:hAnsi="Times New Roman" w:eastAsia="仿宋_GB2312" w:cs="Times New Roman"/>
                <w:lang w:val="en-US" w:eastAsia="zh-CN"/>
              </w:rPr>
            </w:pPr>
            <w:r>
              <w:rPr>
                <w:rFonts w:hint="eastAsia" w:ascii="宋体" w:hAnsi="宋体" w:eastAsia="宋体" w:cs="宋体"/>
              </w:rPr>
              <w:t>≧</w:t>
            </w:r>
            <w:r>
              <w:rPr>
                <w:rFonts w:hint="eastAsia" w:ascii="Times New Roman" w:hAnsi="Times New Roman" w:eastAsia="仿宋_GB2312" w:cs="Times New Roman"/>
                <w:lang w:val="en-US" w:eastAsia="zh-CN"/>
              </w:rPr>
              <w:t>95%</w:t>
            </w:r>
          </w:p>
        </w:tc>
        <w:tc>
          <w:tcPr>
            <w:tcW w:w="2155" w:type="dxa"/>
            <w:shd w:val="clear" w:color="auto" w:fill="auto"/>
            <w:vAlign w:val="center"/>
          </w:tcPr>
          <w:p w14:paraId="5BA828B3">
            <w:pPr>
              <w:spacing w:line="300" w:lineRule="exact"/>
              <w:jc w:val="left"/>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满意度调查问卷</w:t>
            </w:r>
          </w:p>
        </w:tc>
      </w:tr>
    </w:tbl>
    <w:p w14:paraId="14EA8C30">
      <w:pPr>
        <w:autoSpaceDE w:val="0"/>
        <w:autoSpaceDN w:val="0"/>
        <w:adjustRightInd w:val="0"/>
        <w:spacing w:line="584" w:lineRule="exact"/>
        <w:ind w:firstLine="880" w:firstLineChars="200"/>
        <w:jc w:val="left"/>
        <w:rPr>
          <w:rFonts w:ascii="Times New Roman" w:hAnsi="Times New Roman" w:eastAsia="黑体" w:cs="Times New Roman"/>
          <w:sz w:val="44"/>
          <w:szCs w:val="44"/>
        </w:rPr>
      </w:pPr>
    </w:p>
    <w:p w14:paraId="267D9FD2">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六、政府采购预算情况</w:t>
      </w:r>
    </w:p>
    <w:p w14:paraId="6F85433E">
      <w:pPr>
        <w:autoSpaceDE w:val="0"/>
        <w:autoSpaceDN w:val="0"/>
        <w:adjustRightInd w:val="0"/>
        <w:spacing w:line="584" w:lineRule="exact"/>
        <w:ind w:firstLine="640" w:firstLineChars="200"/>
        <w:jc w:val="left"/>
        <w:rPr>
          <w:rFonts w:ascii="Times New Roman" w:hAnsi="Times New Roman" w:eastAsia="仿宋_GB2312" w:cs="Times New Roman"/>
          <w:sz w:val="32"/>
          <w:szCs w:val="24"/>
        </w:rPr>
      </w:pPr>
      <w:bookmarkStart w:id="1" w:name="_Toc471398468"/>
      <w:r>
        <w:rPr>
          <w:rFonts w:ascii="Times New Roman" w:hAnsi="Times New Roman" w:eastAsia="仿宋_GB2312" w:cs="Times New Roman"/>
          <w:sz w:val="32"/>
          <w:szCs w:val="24"/>
        </w:rPr>
        <w:t>20</w:t>
      </w:r>
      <w:r>
        <w:rPr>
          <w:rFonts w:hint="eastAsia" w:ascii="Times New Roman" w:hAnsi="Times New Roman" w:eastAsia="仿宋_GB2312" w:cs="Times New Roman"/>
          <w:sz w:val="32"/>
          <w:szCs w:val="24"/>
        </w:rPr>
        <w:t>21</w:t>
      </w:r>
      <w:r>
        <w:rPr>
          <w:rFonts w:ascii="Times New Roman" w:hAnsi="Times New Roman" w:eastAsia="仿宋_GB2312" w:cs="Times New Roman"/>
          <w:sz w:val="32"/>
          <w:szCs w:val="24"/>
        </w:rPr>
        <w:t>年，我部门安排政府采购预算</w:t>
      </w:r>
      <w:r>
        <w:rPr>
          <w:rFonts w:hint="eastAsia" w:ascii="Times New Roman" w:hAnsi="Times New Roman" w:eastAsia="仿宋_GB2312" w:cs="Times New Roman"/>
          <w:sz w:val="32"/>
          <w:szCs w:val="24"/>
          <w:lang w:val="en-US" w:eastAsia="zh-CN"/>
        </w:rPr>
        <w:t>0</w:t>
      </w:r>
      <w:r>
        <w:rPr>
          <w:rFonts w:ascii="Times New Roman" w:hAnsi="Times New Roman" w:eastAsia="仿宋_GB2312" w:cs="Times New Roman"/>
          <w:sz w:val="32"/>
          <w:szCs w:val="24"/>
        </w:rPr>
        <w:t>万元。</w:t>
      </w:r>
      <w:bookmarkEnd w:id="1"/>
    </w:p>
    <w:p w14:paraId="30B883D3">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七、国有资产信息</w:t>
      </w:r>
    </w:p>
    <w:p w14:paraId="5BD0DE64">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永清县</w:t>
      </w:r>
      <w:r>
        <w:rPr>
          <w:rFonts w:hint="eastAsia" w:ascii="Times New Roman" w:hAnsi="Times New Roman" w:eastAsia="仿宋_GB2312" w:cs="Times New Roman"/>
          <w:sz w:val="32"/>
          <w:szCs w:val="32"/>
          <w:lang w:val="en-US" w:eastAsia="zh-CN"/>
        </w:rPr>
        <w:t>审计局</w:t>
      </w:r>
      <w:r>
        <w:rPr>
          <w:rFonts w:ascii="Times New Roman" w:hAnsi="Times New Roman" w:eastAsia="仿宋_GB2312" w:cs="Times New Roman"/>
          <w:sz w:val="32"/>
          <w:szCs w:val="32"/>
        </w:rPr>
        <w:t>上年末固定资产金额为</w:t>
      </w:r>
      <w:r>
        <w:rPr>
          <w:rFonts w:hint="eastAsia" w:ascii="Times New Roman" w:hAnsi="Times New Roman" w:eastAsia="仿宋_GB2312" w:cs="Times New Roman"/>
          <w:sz w:val="32"/>
          <w:szCs w:val="32"/>
          <w:lang w:val="en-US" w:eastAsia="zh-CN"/>
        </w:rPr>
        <w:t>22.02</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（详见下表）</w:t>
      </w:r>
      <w:r>
        <w:rPr>
          <w:rFonts w:ascii="Times New Roman" w:hAnsi="Times New Roman" w:eastAsia="仿宋_GB2312" w:cs="Times New Roman"/>
          <w:sz w:val="32"/>
          <w:szCs w:val="32"/>
        </w:rPr>
        <w:t>，本年度我部门拟购置固定资产</w:t>
      </w:r>
      <w:r>
        <w:rPr>
          <w:rFonts w:hint="eastAsia" w:ascii="Times New Roman" w:hAnsi="Times New Roman" w:eastAsia="仿宋_GB2312" w:cs="Times New Roman"/>
          <w:sz w:val="32"/>
          <w:szCs w:val="32"/>
        </w:rPr>
        <w:t>总额为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w:t>
      </w:r>
    </w:p>
    <w:p w14:paraId="1E0E6FEB">
      <w:pPr>
        <w:spacing w:line="584" w:lineRule="exact"/>
        <w:ind w:firstLine="640"/>
        <w:rPr>
          <w:rFonts w:ascii="Times New Roman" w:hAnsi="Times New Roman" w:eastAsia="仿宋_GB2312" w:cs="Times New Roman"/>
          <w:sz w:val="32"/>
          <w:szCs w:val="32"/>
        </w:rPr>
      </w:pPr>
    </w:p>
    <w:tbl>
      <w:tblPr>
        <w:tblStyle w:val="8"/>
        <w:tblW w:w="13325" w:type="dxa"/>
        <w:tblInd w:w="93" w:type="dxa"/>
        <w:tblLayout w:type="autofit"/>
        <w:tblCellMar>
          <w:top w:w="0" w:type="dxa"/>
          <w:left w:w="108" w:type="dxa"/>
          <w:bottom w:w="0" w:type="dxa"/>
          <w:right w:w="108" w:type="dxa"/>
        </w:tblCellMar>
      </w:tblPr>
      <w:tblGrid>
        <w:gridCol w:w="5224"/>
        <w:gridCol w:w="3155"/>
        <w:gridCol w:w="5103"/>
      </w:tblGrid>
      <w:tr w14:paraId="099A88D8">
        <w:tblPrEx>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noWrap/>
            <w:vAlign w:val="center"/>
          </w:tcPr>
          <w:p w14:paraId="1C275201">
            <w:pPr>
              <w:widowControl/>
              <w:spacing w:line="584" w:lineRule="exact"/>
              <w:jc w:val="center"/>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永清县县直部门固定资产占用情况表</w:t>
            </w:r>
          </w:p>
        </w:tc>
      </w:tr>
      <w:tr w14:paraId="72957CE8">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noWrap/>
            <w:vAlign w:val="center"/>
          </w:tcPr>
          <w:p w14:paraId="7E2E978A">
            <w:pPr>
              <w:widowControl/>
              <w:spacing w:line="584" w:lineRule="exact"/>
              <w:jc w:val="left"/>
              <w:rPr>
                <w:rFonts w:hint="eastAsia" w:ascii="Times New Roman" w:hAnsi="Times New Roman" w:eastAsia="仿宋_GB2312" w:cs="Times New Roman"/>
                <w:kern w:val="0"/>
                <w:sz w:val="22"/>
                <w:lang w:eastAsia="zh-CN"/>
              </w:rPr>
            </w:pPr>
            <w:r>
              <w:rPr>
                <w:rFonts w:ascii="Times New Roman" w:hAnsi="Times New Roman" w:eastAsia="仿宋_GB2312" w:cs="Times New Roman"/>
                <w:kern w:val="0"/>
                <w:sz w:val="22"/>
              </w:rPr>
              <w:t>编制部门：永清县</w:t>
            </w:r>
            <w:r>
              <w:rPr>
                <w:rFonts w:hint="eastAsia" w:ascii="Times New Roman" w:hAnsi="Times New Roman" w:eastAsia="仿宋_GB2312" w:cs="Times New Roman"/>
                <w:kern w:val="0"/>
                <w:sz w:val="22"/>
                <w:lang w:val="en-US" w:eastAsia="zh-CN"/>
              </w:rPr>
              <w:t>审计局</w:t>
            </w:r>
          </w:p>
        </w:tc>
        <w:tc>
          <w:tcPr>
            <w:tcW w:w="5103" w:type="dxa"/>
            <w:tcBorders>
              <w:top w:val="nil"/>
              <w:left w:val="nil"/>
              <w:bottom w:val="nil"/>
              <w:right w:val="nil"/>
            </w:tcBorders>
            <w:shd w:val="clear" w:color="auto" w:fill="auto"/>
            <w:noWrap/>
            <w:vAlign w:val="center"/>
          </w:tcPr>
          <w:p w14:paraId="3501E74F">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截止时间：20</w:t>
            </w:r>
            <w:r>
              <w:rPr>
                <w:rFonts w:hint="eastAsia" w:ascii="Times New Roman" w:hAnsi="Times New Roman" w:eastAsia="仿宋_GB2312" w:cs="Times New Roman"/>
                <w:kern w:val="0"/>
                <w:sz w:val="22"/>
              </w:rPr>
              <w:t>20</w:t>
            </w:r>
            <w:r>
              <w:rPr>
                <w:rFonts w:ascii="Times New Roman" w:hAnsi="Times New Roman" w:eastAsia="仿宋_GB2312" w:cs="Times New Roman"/>
                <w:kern w:val="0"/>
                <w:sz w:val="22"/>
              </w:rPr>
              <w:t xml:space="preserve">年12月31日  </w:t>
            </w:r>
          </w:p>
        </w:tc>
      </w:tr>
      <w:tr w14:paraId="5B4FF8A3">
        <w:tblPrEx>
          <w:tblCellMar>
            <w:top w:w="0" w:type="dxa"/>
            <w:left w:w="108" w:type="dxa"/>
            <w:bottom w:w="0" w:type="dxa"/>
            <w:right w:w="108" w:type="dxa"/>
          </w:tblCellMar>
        </w:tblPrEx>
        <w:trPr>
          <w:trHeight w:val="567" w:hRule="exact"/>
        </w:trPr>
        <w:tc>
          <w:tcPr>
            <w:tcW w:w="52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9BEDE3">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项   目</w:t>
            </w:r>
          </w:p>
        </w:tc>
        <w:tc>
          <w:tcPr>
            <w:tcW w:w="3155" w:type="dxa"/>
            <w:tcBorders>
              <w:top w:val="single" w:color="auto" w:sz="4" w:space="0"/>
              <w:left w:val="nil"/>
              <w:bottom w:val="single" w:color="auto" w:sz="4" w:space="0"/>
              <w:right w:val="single" w:color="auto" w:sz="4" w:space="0"/>
            </w:tcBorders>
            <w:shd w:val="clear" w:color="auto" w:fill="auto"/>
            <w:noWrap/>
            <w:vAlign w:val="center"/>
          </w:tcPr>
          <w:p w14:paraId="6EC9F305">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noWrap/>
            <w:vAlign w:val="center"/>
          </w:tcPr>
          <w:p w14:paraId="674DBF89">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价值（金额单位：万元）</w:t>
            </w:r>
          </w:p>
        </w:tc>
      </w:tr>
      <w:tr w14:paraId="23022C07">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6C1C7AA0">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资产总额</w:t>
            </w:r>
          </w:p>
        </w:tc>
        <w:tc>
          <w:tcPr>
            <w:tcW w:w="3155" w:type="dxa"/>
            <w:tcBorders>
              <w:top w:val="nil"/>
              <w:left w:val="nil"/>
              <w:bottom w:val="single" w:color="auto" w:sz="4" w:space="0"/>
              <w:right w:val="single" w:color="auto" w:sz="4" w:space="0"/>
            </w:tcBorders>
            <w:shd w:val="clear" w:color="auto" w:fill="auto"/>
            <w:noWrap/>
            <w:vAlign w:val="center"/>
          </w:tcPr>
          <w:p w14:paraId="7127ACD9">
            <w:pPr>
              <w:spacing w:line="584" w:lineRule="exact"/>
              <w:jc w:val="center"/>
              <w:rPr>
                <w:rFonts w:ascii="Times New Roman" w:hAnsi="Times New Roman" w:eastAsia="仿宋_GB2312" w:cs="Times New Roman"/>
                <w:sz w:val="22"/>
              </w:rPr>
            </w:pPr>
            <w:r>
              <w:rPr>
                <w:rFonts w:ascii="Times New Roman" w:hAnsi="Times New Roman" w:eastAsia="仿宋_GB2312" w:cs="Times New Roman"/>
                <w:sz w:val="22"/>
              </w:rPr>
              <w:t>——</w:t>
            </w:r>
          </w:p>
        </w:tc>
        <w:tc>
          <w:tcPr>
            <w:tcW w:w="5103" w:type="dxa"/>
            <w:tcBorders>
              <w:top w:val="nil"/>
              <w:left w:val="nil"/>
              <w:bottom w:val="single" w:color="auto" w:sz="4" w:space="0"/>
              <w:right w:val="single" w:color="auto" w:sz="4" w:space="0"/>
            </w:tcBorders>
            <w:shd w:val="clear" w:color="auto" w:fill="auto"/>
            <w:noWrap/>
            <w:vAlign w:val="center"/>
          </w:tcPr>
          <w:p w14:paraId="443FB82A">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22.02</w:t>
            </w:r>
          </w:p>
        </w:tc>
      </w:tr>
      <w:tr w14:paraId="43804BA5">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538DE376">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1、房屋（平方米）</w:t>
            </w:r>
          </w:p>
        </w:tc>
        <w:tc>
          <w:tcPr>
            <w:tcW w:w="3155" w:type="dxa"/>
            <w:tcBorders>
              <w:top w:val="nil"/>
              <w:left w:val="nil"/>
              <w:bottom w:val="single" w:color="auto" w:sz="4" w:space="0"/>
              <w:right w:val="single" w:color="auto" w:sz="4" w:space="0"/>
            </w:tcBorders>
            <w:shd w:val="clear" w:color="auto" w:fill="auto"/>
            <w:noWrap/>
            <w:vAlign w:val="center"/>
          </w:tcPr>
          <w:p w14:paraId="1E82F398">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1252.79</w:t>
            </w:r>
          </w:p>
        </w:tc>
        <w:tc>
          <w:tcPr>
            <w:tcW w:w="5103" w:type="dxa"/>
            <w:tcBorders>
              <w:top w:val="nil"/>
              <w:left w:val="nil"/>
              <w:bottom w:val="single" w:color="auto" w:sz="4" w:space="0"/>
              <w:right w:val="single" w:color="auto" w:sz="4" w:space="0"/>
            </w:tcBorders>
            <w:shd w:val="clear" w:color="auto" w:fill="auto"/>
            <w:noWrap/>
            <w:vAlign w:val="center"/>
          </w:tcPr>
          <w:p w14:paraId="3A7E8E22">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21.67</w:t>
            </w:r>
          </w:p>
        </w:tc>
      </w:tr>
      <w:tr w14:paraId="3410094D">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0A0BA15C">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其中：办公用房（平方米）</w:t>
            </w:r>
          </w:p>
        </w:tc>
        <w:tc>
          <w:tcPr>
            <w:tcW w:w="3155" w:type="dxa"/>
            <w:tcBorders>
              <w:top w:val="nil"/>
              <w:left w:val="nil"/>
              <w:bottom w:val="single" w:color="auto" w:sz="4" w:space="0"/>
              <w:right w:val="single" w:color="auto" w:sz="4" w:space="0"/>
            </w:tcBorders>
            <w:shd w:val="clear" w:color="auto" w:fill="auto"/>
            <w:noWrap/>
            <w:vAlign w:val="center"/>
          </w:tcPr>
          <w:p w14:paraId="31636208">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1252.79</w:t>
            </w:r>
          </w:p>
        </w:tc>
        <w:tc>
          <w:tcPr>
            <w:tcW w:w="5103" w:type="dxa"/>
            <w:tcBorders>
              <w:top w:val="nil"/>
              <w:left w:val="nil"/>
              <w:bottom w:val="single" w:color="auto" w:sz="4" w:space="0"/>
              <w:right w:val="single" w:color="auto" w:sz="4" w:space="0"/>
            </w:tcBorders>
            <w:shd w:val="clear" w:color="auto" w:fill="auto"/>
            <w:noWrap/>
            <w:vAlign w:val="center"/>
          </w:tcPr>
          <w:p w14:paraId="5A741004">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21.67</w:t>
            </w:r>
          </w:p>
        </w:tc>
      </w:tr>
      <w:tr w14:paraId="188CD801">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0F614C5F">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2、车辆（台、辆）</w:t>
            </w:r>
          </w:p>
        </w:tc>
        <w:tc>
          <w:tcPr>
            <w:tcW w:w="3155" w:type="dxa"/>
            <w:tcBorders>
              <w:top w:val="nil"/>
              <w:left w:val="nil"/>
              <w:bottom w:val="single" w:color="auto" w:sz="4" w:space="0"/>
              <w:right w:val="single" w:color="auto" w:sz="4" w:space="0"/>
            </w:tcBorders>
            <w:shd w:val="clear" w:color="auto" w:fill="auto"/>
            <w:noWrap/>
            <w:vAlign w:val="center"/>
          </w:tcPr>
          <w:p w14:paraId="0E24ED7C">
            <w:pPr>
              <w:spacing w:line="584" w:lineRule="exact"/>
              <w:jc w:val="center"/>
              <w:rPr>
                <w:rFonts w:hint="eastAsia"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2</w:t>
            </w:r>
          </w:p>
        </w:tc>
        <w:tc>
          <w:tcPr>
            <w:tcW w:w="5103" w:type="dxa"/>
            <w:tcBorders>
              <w:top w:val="nil"/>
              <w:left w:val="nil"/>
              <w:bottom w:val="single" w:color="auto" w:sz="4" w:space="0"/>
              <w:right w:val="single" w:color="auto" w:sz="4" w:space="0"/>
            </w:tcBorders>
            <w:shd w:val="clear" w:color="auto" w:fill="auto"/>
            <w:noWrap/>
            <w:vAlign w:val="center"/>
          </w:tcPr>
          <w:p w14:paraId="4B48A74C">
            <w:pPr>
              <w:spacing w:line="584" w:lineRule="exact"/>
              <w:jc w:val="center"/>
              <w:rPr>
                <w:rFonts w:hint="eastAsia"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0</w:t>
            </w:r>
          </w:p>
        </w:tc>
      </w:tr>
      <w:tr w14:paraId="0B085D0C">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14:paraId="1624E2E8">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3、单价在20万元以上的设备</w:t>
            </w:r>
          </w:p>
        </w:tc>
        <w:tc>
          <w:tcPr>
            <w:tcW w:w="3155" w:type="dxa"/>
            <w:tcBorders>
              <w:top w:val="nil"/>
              <w:left w:val="nil"/>
              <w:bottom w:val="single" w:color="auto" w:sz="4" w:space="0"/>
              <w:right w:val="single" w:color="auto" w:sz="4" w:space="0"/>
            </w:tcBorders>
            <w:shd w:val="clear" w:color="auto" w:fill="auto"/>
            <w:noWrap/>
            <w:vAlign w:val="center"/>
          </w:tcPr>
          <w:p w14:paraId="288419D2">
            <w:pPr>
              <w:spacing w:line="584" w:lineRule="exact"/>
              <w:jc w:val="center"/>
              <w:rPr>
                <w:rFonts w:hint="eastAsia"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0</w:t>
            </w:r>
          </w:p>
        </w:tc>
        <w:tc>
          <w:tcPr>
            <w:tcW w:w="5103" w:type="dxa"/>
            <w:tcBorders>
              <w:top w:val="nil"/>
              <w:left w:val="nil"/>
              <w:bottom w:val="single" w:color="auto" w:sz="4" w:space="0"/>
              <w:right w:val="single" w:color="auto" w:sz="4" w:space="0"/>
            </w:tcBorders>
            <w:shd w:val="clear" w:color="auto" w:fill="auto"/>
            <w:noWrap/>
            <w:vAlign w:val="center"/>
          </w:tcPr>
          <w:p w14:paraId="0B7566B6">
            <w:pPr>
              <w:spacing w:line="584" w:lineRule="exact"/>
              <w:jc w:val="center"/>
              <w:rPr>
                <w:rFonts w:hint="eastAsia"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0</w:t>
            </w:r>
          </w:p>
        </w:tc>
      </w:tr>
      <w:tr w14:paraId="65387000">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476D1422">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4、其他固定资产</w:t>
            </w:r>
          </w:p>
        </w:tc>
        <w:tc>
          <w:tcPr>
            <w:tcW w:w="3155" w:type="dxa"/>
            <w:tcBorders>
              <w:top w:val="nil"/>
              <w:left w:val="nil"/>
              <w:bottom w:val="single" w:color="auto" w:sz="4" w:space="0"/>
              <w:right w:val="single" w:color="auto" w:sz="4" w:space="0"/>
            </w:tcBorders>
            <w:shd w:val="clear" w:color="auto" w:fill="auto"/>
            <w:noWrap/>
            <w:vAlign w:val="center"/>
          </w:tcPr>
          <w:p w14:paraId="7FD094A8">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176</w:t>
            </w:r>
          </w:p>
        </w:tc>
        <w:tc>
          <w:tcPr>
            <w:tcW w:w="5103" w:type="dxa"/>
            <w:tcBorders>
              <w:top w:val="nil"/>
              <w:left w:val="nil"/>
              <w:bottom w:val="single" w:color="auto" w:sz="4" w:space="0"/>
              <w:right w:val="single" w:color="auto" w:sz="4" w:space="0"/>
            </w:tcBorders>
            <w:shd w:val="clear" w:color="auto" w:fill="auto"/>
            <w:noWrap/>
            <w:vAlign w:val="center"/>
          </w:tcPr>
          <w:p w14:paraId="1EA99015">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0.35</w:t>
            </w:r>
          </w:p>
        </w:tc>
      </w:tr>
    </w:tbl>
    <w:p w14:paraId="4EC2920B">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八、名词解释</w:t>
      </w:r>
    </w:p>
    <w:p w14:paraId="284642F2">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1、一般公共预算拨款收入：</w:t>
      </w:r>
      <w:r>
        <w:rPr>
          <w:rFonts w:ascii="Times New Roman" w:hAnsi="Times New Roman" w:eastAsia="仿宋_GB2312" w:cs="Times New Roman"/>
          <w:sz w:val="32"/>
          <w:szCs w:val="32"/>
        </w:rPr>
        <w:t>指省级财政当年拨付的资金。</w:t>
      </w:r>
    </w:p>
    <w:p w14:paraId="42D08BA3">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2、事业收入：</w:t>
      </w:r>
      <w:r>
        <w:rPr>
          <w:rFonts w:ascii="Times New Roman" w:hAnsi="Times New Roman" w:eastAsia="仿宋_GB2312" w:cs="Times New Roman"/>
          <w:sz w:val="32"/>
          <w:szCs w:val="32"/>
        </w:rPr>
        <w:t>指事业单位开展专业业务活动及辅助活动所取得的收入。</w:t>
      </w:r>
    </w:p>
    <w:p w14:paraId="72D584BD">
      <w:pPr>
        <w:tabs>
          <w:tab w:val="left" w:pos="11490"/>
        </w:tabs>
        <w:spacing w:line="584"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3、其他收入：</w:t>
      </w:r>
      <w:r>
        <w:rPr>
          <w:rFonts w:ascii="Times New Roman" w:hAnsi="Times New Roman" w:eastAsia="仿宋_GB2312" w:cs="Times New Roman"/>
          <w:sz w:val="32"/>
          <w:szCs w:val="32"/>
        </w:rPr>
        <w:t>指除“一般公共预算拨款收入”、“事业收入”等以外的收入。主要是按规定动用的租房收入、存款利息收入等。</w:t>
      </w:r>
    </w:p>
    <w:p w14:paraId="26FE84F1">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4、基本支出：</w:t>
      </w:r>
      <w:r>
        <w:rPr>
          <w:rFonts w:ascii="Times New Roman" w:hAnsi="Times New Roman" w:eastAsia="仿宋_GB2312" w:cs="Times New Roman"/>
          <w:sz w:val="32"/>
          <w:szCs w:val="32"/>
        </w:rPr>
        <w:t>指为保障机构正常运转、完成日常工作任务而发生的人员支出和公用支出。</w:t>
      </w:r>
    </w:p>
    <w:p w14:paraId="62B841D2">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5、项目支出：</w:t>
      </w:r>
      <w:r>
        <w:rPr>
          <w:rFonts w:ascii="Times New Roman" w:hAnsi="Times New Roman" w:eastAsia="仿宋_GB2312" w:cs="Times New Roman"/>
          <w:sz w:val="32"/>
          <w:szCs w:val="32"/>
        </w:rPr>
        <w:t>指在基本支出之外为完成特定行政任务和事业发展目标所发生的支出。</w:t>
      </w:r>
    </w:p>
    <w:p w14:paraId="5BC8DE2C">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6、上缴上级支出：</w:t>
      </w:r>
      <w:r>
        <w:rPr>
          <w:rFonts w:ascii="Times New Roman" w:hAnsi="Times New Roman" w:eastAsia="仿宋_GB2312" w:cs="Times New Roman"/>
          <w:sz w:val="32"/>
          <w:szCs w:val="32"/>
        </w:rPr>
        <w:t>指下级单位上缴上级的支出。</w:t>
      </w:r>
    </w:p>
    <w:p w14:paraId="55A65144">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7、“三公”经费：</w:t>
      </w:r>
      <w:r>
        <w:rPr>
          <w:rFonts w:ascii="Times New Roman" w:hAnsi="Times New Roman" w:eastAsia="仿宋_GB2312" w:cs="Times New Roman"/>
          <w:sz w:val="32"/>
          <w:szCs w:val="32"/>
        </w:rPr>
        <w:t>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060E8D07">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8、机关运行费：</w:t>
      </w:r>
      <w:r>
        <w:rPr>
          <w:rFonts w:ascii="Times New Roman" w:hAnsi="Times New Roman" w:eastAsia="仿宋_GB2312"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266AE9D">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9、上年结转：</w:t>
      </w:r>
      <w:r>
        <w:rPr>
          <w:rFonts w:ascii="Times New Roman" w:hAnsi="Times New Roman" w:eastAsia="仿宋_GB2312" w:cs="Times New Roman"/>
          <w:sz w:val="32"/>
          <w:szCs w:val="32"/>
        </w:rPr>
        <w:t>指以前年度尚未完成、结转到本年仍按原规定用途继续使用的资金。</w:t>
      </w:r>
    </w:p>
    <w:p w14:paraId="6D6C7A88">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10、事业单位经营支出：</w:t>
      </w:r>
      <w:r>
        <w:rPr>
          <w:rFonts w:ascii="Times New Roman" w:hAnsi="Times New Roman" w:eastAsia="仿宋_GB2312" w:cs="Times New Roman"/>
          <w:sz w:val="32"/>
          <w:szCs w:val="32"/>
        </w:rPr>
        <w:t>指事业单位在专业业务活动及其辅助活动之外开展非独立核算经营活动发生的支出。</w:t>
      </w:r>
    </w:p>
    <w:p w14:paraId="4E233D5F">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九、其他需要说明的事项</w:t>
      </w:r>
    </w:p>
    <w:p w14:paraId="5AE6F28D">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我部门无其他需要说明的事项。</w:t>
      </w:r>
    </w:p>
    <w:sectPr>
      <w:footerReference r:id="rId3" w:type="default"/>
      <w:pgSz w:w="16838" w:h="11906" w:orient="landscape"/>
      <w:pgMar w:top="1800" w:right="1440" w:bottom="1800" w:left="144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书宋_GBK">
    <w:altName w:val="微软雅黑"/>
    <w:panose1 w:val="00000000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EA2C4">
    <w:pPr>
      <w:pStyle w:val="3"/>
      <w:jc w:val="center"/>
    </w:pPr>
    <w:r>
      <w:rPr>
        <w:rFonts w:hint="eastAsia"/>
      </w:rPr>
      <w:t>-</w:t>
    </w:r>
    <w:r>
      <w:fldChar w:fldCharType="begin"/>
    </w:r>
    <w:r>
      <w:instrText xml:space="preserve">PAGE   \* MERGEFORMAT</w:instrText>
    </w:r>
    <w:r>
      <w:fldChar w:fldCharType="separate"/>
    </w:r>
    <w:r>
      <w:rPr>
        <w:lang w:val="zh-CN"/>
      </w:rPr>
      <w:t>2</w:t>
    </w:r>
    <w:r>
      <w:rPr>
        <w:lang w:val="zh-CN"/>
      </w:rPr>
      <w:fldChar w:fldCharType="end"/>
    </w:r>
    <w:r>
      <w:rPr>
        <w:rFonts w:hint="eastAsia"/>
      </w:rPr>
      <w:t>-</w:t>
    </w:r>
  </w:p>
  <w:p w14:paraId="7BAD89E6">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kOTc4M2I0OTMxZjM5Mjk0YWFiOTA4MDA4YjExYjkifQ=="/>
  </w:docVars>
  <w:rsids>
    <w:rsidRoot w:val="00D347CC"/>
    <w:rsid w:val="0002275A"/>
    <w:rsid w:val="000847DE"/>
    <w:rsid w:val="00101BBB"/>
    <w:rsid w:val="002D561E"/>
    <w:rsid w:val="003D214B"/>
    <w:rsid w:val="003F2832"/>
    <w:rsid w:val="004A54AA"/>
    <w:rsid w:val="00774C4D"/>
    <w:rsid w:val="0094416D"/>
    <w:rsid w:val="00A64942"/>
    <w:rsid w:val="00AA7D06"/>
    <w:rsid w:val="00B80935"/>
    <w:rsid w:val="00C403F3"/>
    <w:rsid w:val="00C607B5"/>
    <w:rsid w:val="00CC2CF2"/>
    <w:rsid w:val="00D347CC"/>
    <w:rsid w:val="00F47546"/>
    <w:rsid w:val="390D1065"/>
    <w:rsid w:val="3A1D55BE"/>
    <w:rsid w:val="40DA2714"/>
    <w:rsid w:val="65411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semiHidden="0"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Arial"/>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alloon Text"/>
    <w:basedOn w:val="1"/>
    <w:uiPriority w:val="0"/>
    <w:rPr>
      <w:sz w:val="18"/>
      <w:szCs w:val="18"/>
    </w:rPr>
  </w:style>
  <w:style w:type="paragraph" w:styleId="3">
    <w:name w:val="footer"/>
    <w:basedOn w:val="1"/>
    <w:uiPriority w:val="0"/>
    <w:pPr>
      <w:tabs>
        <w:tab w:val="center" w:pos="4153"/>
        <w:tab w:val="right" w:pos="8306"/>
      </w:tabs>
      <w:snapToGrid w:val="0"/>
      <w:jc w:val="left"/>
    </w:pPr>
    <w:rPr>
      <w:rFonts w:ascii="Times New Roman" w:hAnsi="Times New Roman" w:cs="Times New Roman"/>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styleId="5">
    <w:name w:val="toc 1"/>
    <w:basedOn w:val="1"/>
    <w:next w:val="1"/>
    <w:qFormat/>
    <w:uiPriority w:val="0"/>
    <w:rPr>
      <w:rFonts w:ascii="Times New Roman" w:hAnsi="Times New Roman" w:cs="Times New Roman"/>
      <w:szCs w:val="24"/>
    </w:rPr>
  </w:style>
  <w:style w:type="paragraph" w:styleId="6">
    <w:name w:val="footnote text"/>
    <w:basedOn w:val="1"/>
    <w:uiPriority w:val="0"/>
    <w:pPr>
      <w:snapToGrid w:val="0"/>
      <w:jc w:val="left"/>
    </w:pPr>
    <w:rPr>
      <w:rFonts w:cs="Times New Roman"/>
      <w:sz w:val="18"/>
      <w:szCs w:val="18"/>
    </w:rPr>
  </w:style>
  <w:style w:type="paragraph" w:styleId="7">
    <w:name w:val="toc 2"/>
    <w:basedOn w:val="1"/>
    <w:next w:val="1"/>
    <w:qFormat/>
    <w:uiPriority w:val="0"/>
    <w:pPr>
      <w:ind w:left="200" w:leftChars="200"/>
    </w:pPr>
    <w:rPr>
      <w:rFonts w:ascii="Times New Roman" w:hAnsi="Times New Roman" w:cs="Times New Roman"/>
      <w:szCs w:val="24"/>
    </w:rPr>
  </w:style>
  <w:style w:type="character" w:styleId="10">
    <w:name w:val="footnote reference"/>
    <w:uiPriority w:val="0"/>
    <w:rPr>
      <w:vertAlign w:val="superscript"/>
    </w:rPr>
  </w:style>
  <w:style w:type="paragraph" w:customStyle="1" w:styleId="11">
    <w:name w:val="Defaul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15</Pages>
  <Words>5980</Words>
  <Characters>6165</Characters>
  <Lines>23</Lines>
  <Paragraphs>6</Paragraphs>
  <TotalTime>13</TotalTime>
  <ScaleCrop>false</ScaleCrop>
  <LinksUpToDate>false</LinksUpToDate>
  <CharactersWithSpaces>6172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2020-01-13T03:27:00Z</dcterms:created>
  <dc:creator>guest</dc:creator>
  <cp:lastModifiedBy>如旧</cp:lastModifiedBy>
  <cp:lastPrinted>2018-01-30T06:12:00Z</cp:lastPrinted>
  <dcterms:modified xsi:type="dcterms:W3CDTF">2024-10-29T08:41:05Z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0545F7ABB3384066B7518DC68F1B54AF_13</vt:lpwstr>
  </property>
</Properties>
</file>