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page" w:tblpXSpec="center" w:tblpY="1829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2"/>
        <w:gridCol w:w="1673"/>
      </w:tblGrid>
      <w:tr w14:paraId="1CBCE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7172" w:type="dxa"/>
            <w:tcBorders>
              <w:tl2br w:val="nil"/>
              <w:tr2bl w:val="nil"/>
            </w:tcBorders>
            <w:vAlign w:val="bottom"/>
          </w:tcPr>
          <w:p w14:paraId="5B6BD1E1">
            <w:pPr>
              <w:widowControl w:val="0"/>
              <w:spacing w:line="299" w:lineRule="auto"/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color w:val="FF0000"/>
                <w:sz w:val="72"/>
                <w:szCs w:val="72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FF0000"/>
                <w:sz w:val="72"/>
                <w:szCs w:val="72"/>
                <w:vertAlign w:val="baseline"/>
                <w:lang w:val="en-US" w:eastAsia="zh-CN"/>
              </w:rPr>
              <w:t>永清县发展和改革局</w:t>
            </w:r>
          </w:p>
        </w:tc>
        <w:tc>
          <w:tcPr>
            <w:tcW w:w="1673" w:type="dxa"/>
            <w:vMerge w:val="restart"/>
            <w:tcBorders>
              <w:tl2br w:val="nil"/>
              <w:tr2bl w:val="nil"/>
            </w:tcBorders>
            <w:vAlign w:val="center"/>
          </w:tcPr>
          <w:p w14:paraId="7D637486">
            <w:pPr>
              <w:widowControl w:val="0"/>
              <w:spacing w:line="299" w:lineRule="auto"/>
              <w:jc w:val="center"/>
              <w:rPr>
                <w:rFonts w:hint="eastAsia" w:asciiTheme="majorEastAsia" w:hAnsiTheme="majorEastAsia" w:eastAsiaTheme="majorEastAsia" w:cstheme="majorEastAsia"/>
                <w:color w:val="FF0000"/>
                <w:sz w:val="72"/>
                <w:szCs w:val="72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FF0000"/>
                <w:sz w:val="72"/>
                <w:szCs w:val="72"/>
                <w:vertAlign w:val="baseline"/>
                <w:lang w:eastAsia="zh-CN"/>
              </w:rPr>
              <w:t>文件</w:t>
            </w:r>
          </w:p>
        </w:tc>
      </w:tr>
      <w:tr w14:paraId="55C54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7172" w:type="dxa"/>
            <w:tcBorders>
              <w:tl2br w:val="nil"/>
              <w:tr2bl w:val="nil"/>
            </w:tcBorders>
            <w:vAlign w:val="top"/>
          </w:tcPr>
          <w:p w14:paraId="609689A0">
            <w:pPr>
              <w:widowControl w:val="0"/>
              <w:spacing w:line="299" w:lineRule="auto"/>
              <w:jc w:val="distribute"/>
              <w:rPr>
                <w:rFonts w:hint="eastAsia" w:asciiTheme="majorEastAsia" w:hAnsiTheme="majorEastAsia" w:eastAsiaTheme="majorEastAsia" w:cstheme="majorEastAsia"/>
                <w:b/>
                <w:bCs/>
                <w:color w:val="FF0000"/>
                <w:sz w:val="72"/>
                <w:szCs w:val="72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color w:val="FF0000"/>
                <w:sz w:val="72"/>
                <w:szCs w:val="72"/>
                <w:vertAlign w:val="baseline"/>
                <w:lang w:eastAsia="zh-CN"/>
              </w:rPr>
              <w:t>永清县民政局</w:t>
            </w:r>
          </w:p>
        </w:tc>
        <w:tc>
          <w:tcPr>
            <w:tcW w:w="1673" w:type="dxa"/>
            <w:vMerge w:val="continue"/>
            <w:tcBorders>
              <w:tl2br w:val="nil"/>
              <w:tr2bl w:val="nil"/>
            </w:tcBorders>
            <w:vAlign w:val="center"/>
          </w:tcPr>
          <w:p w14:paraId="5EB5C494">
            <w:pPr>
              <w:widowControl w:val="0"/>
              <w:spacing w:line="299" w:lineRule="auto"/>
              <w:jc w:val="center"/>
              <w:rPr>
                <w:rFonts w:hint="eastAsia" w:asciiTheme="majorEastAsia" w:hAnsiTheme="majorEastAsia" w:eastAsiaTheme="majorEastAsia" w:cstheme="majorEastAsia"/>
                <w:color w:val="FF0000"/>
                <w:sz w:val="72"/>
                <w:szCs w:val="72"/>
                <w:vertAlign w:val="baseline"/>
              </w:rPr>
            </w:pPr>
          </w:p>
        </w:tc>
      </w:tr>
    </w:tbl>
    <w:p w14:paraId="2AD6C69F">
      <w:pPr>
        <w:adjustRightInd w:val="0"/>
        <w:snapToGrid w:val="0"/>
        <w:spacing w:line="584" w:lineRule="exact"/>
        <w:jc w:val="both"/>
        <w:rPr>
          <w:rFonts w:eastAsia="方正小标宋简体"/>
          <w:sz w:val="96"/>
          <w:szCs w:val="96"/>
        </w:rPr>
      </w:pPr>
    </w:p>
    <w:p w14:paraId="750C8E9D">
      <w:pPr>
        <w:adjustRightInd w:val="0"/>
        <w:snapToGrid w:val="0"/>
        <w:spacing w:line="584" w:lineRule="exact"/>
        <w:ind w:firstLine="320" w:firstLineChars="10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永发﹝</w:t>
      </w:r>
      <w:r>
        <w:rPr>
          <w:rFonts w:hint="default" w:ascii="Times New Roman" w:hAnsi="Times New Roman" w:eastAsia="宋体" w:cs="Times New Roman"/>
          <w:sz w:val="32"/>
          <w:szCs w:val="32"/>
        </w:rPr>
        <w:t>202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32"/>
          <w:szCs w:val="32"/>
          <w:highlight w:val="none"/>
          <w:lang w:val="en-US" w:eastAsia="zh-CN"/>
        </w:rPr>
        <w:t>﹞</w:t>
      </w:r>
      <w:r>
        <w:rPr>
          <w:rFonts w:hint="eastAsia" w:ascii="Times New Roman" w:hAnsi="Times New Roman" w:eastAsia="宋体" w:cs="Times New Roman"/>
          <w:sz w:val="32"/>
          <w:szCs w:val="32"/>
          <w:highlight w:val="none"/>
          <w:lang w:val="en-US" w:eastAsia="zh-CN"/>
        </w:rPr>
        <w:t xml:space="preserve"> 76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single" w:color="FF0000" w:sz="2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4"/>
      </w:tblGrid>
      <w:tr w14:paraId="446CAC6F">
        <w:tblPrEx>
          <w:tblBorders>
            <w:top w:val="none" w:color="auto" w:sz="0" w:space="0"/>
            <w:left w:val="none" w:color="auto" w:sz="0" w:space="0"/>
            <w:bottom w:val="single" w:color="FF0000" w:sz="2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exact"/>
          <w:jc w:val="center"/>
        </w:trPr>
        <w:tc>
          <w:tcPr>
            <w:tcW w:w="8844" w:type="dxa"/>
            <w:tcBorders>
              <w:tl2br w:val="nil"/>
              <w:tr2bl w:val="nil"/>
            </w:tcBorders>
            <w:noWrap w:val="0"/>
            <w:vAlign w:val="top"/>
          </w:tcPr>
          <w:p w14:paraId="37FAF18B">
            <w:pPr>
              <w:widowControl w:val="0"/>
              <w:spacing w:line="584" w:lineRule="exact"/>
              <w:jc w:val="center"/>
              <w:rPr>
                <w:rFonts w:hint="eastAsia" w:ascii="方正小标宋简体" w:eastAsia="方正小标宋简体"/>
                <w:sz w:val="44"/>
                <w:szCs w:val="44"/>
                <w:vertAlign w:val="baseline"/>
              </w:rPr>
            </w:pPr>
          </w:p>
          <w:p w14:paraId="3AC781E2">
            <w:pPr>
              <w:widowControl w:val="0"/>
              <w:spacing w:line="584" w:lineRule="exact"/>
              <w:jc w:val="center"/>
              <w:rPr>
                <w:rFonts w:hint="eastAsia" w:ascii="方正小标宋简体" w:eastAsia="方正小标宋简体"/>
                <w:sz w:val="44"/>
                <w:szCs w:val="44"/>
                <w:vertAlign w:val="baseline"/>
              </w:rPr>
            </w:pPr>
          </w:p>
        </w:tc>
      </w:tr>
    </w:tbl>
    <w:p w14:paraId="6B36E5B4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680" w:lineRule="exact"/>
        <w:textAlignment w:val="top"/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</w:rPr>
      </w:pPr>
    </w:p>
    <w:p w14:paraId="00EDD23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line="680" w:lineRule="exact"/>
        <w:textAlignment w:val="top"/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</w:rPr>
        <w:t>永清县发展和改革局 永清县</w:t>
      </w:r>
      <w:r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  <w:lang w:eastAsia="zh-CN"/>
        </w:rPr>
        <w:t>民政</w:t>
      </w:r>
      <w:r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</w:rPr>
        <w:t>局</w:t>
      </w:r>
    </w:p>
    <w:p w14:paraId="7D995B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  <w:lang w:eastAsia="zh-CN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</w:rPr>
        <w:t>关于永清县</w:t>
      </w:r>
      <w:r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  <w:lang w:eastAsia="zh-CN"/>
        </w:rPr>
        <w:t>殡葬延伸服务收费标准</w:t>
      </w:r>
    </w:p>
    <w:p w14:paraId="2D182AA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  <w:lang w:eastAsia="zh-CN"/>
        </w:rPr>
        <w:t>（</w:t>
      </w:r>
      <w:r>
        <w:rPr>
          <w:rStyle w:val="8"/>
          <w:rFonts w:hint="eastAsia" w:ascii="宋体" w:hAnsi="宋体" w:cs="宋体"/>
          <w:b/>
          <w:bCs/>
          <w:i w:val="0"/>
          <w:color w:val="000000"/>
          <w:sz w:val="44"/>
          <w:szCs w:val="44"/>
          <w:lang w:val="en-US" w:eastAsia="zh-CN"/>
        </w:rPr>
        <w:t>试行</w:t>
      </w:r>
      <w:r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  <w:lang w:eastAsia="zh-CN"/>
        </w:rPr>
        <w:t>）</w:t>
      </w:r>
      <w:r>
        <w:rPr>
          <w:rStyle w:val="8"/>
          <w:rFonts w:hint="eastAsia" w:ascii="宋体" w:hAnsi="宋体" w:eastAsia="宋体" w:cs="宋体"/>
          <w:b/>
          <w:bCs/>
          <w:i w:val="0"/>
          <w:color w:val="000000"/>
          <w:sz w:val="44"/>
          <w:szCs w:val="44"/>
          <w:lang w:val="en-US" w:eastAsia="zh-CN"/>
        </w:rPr>
        <w:t>的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通知</w:t>
      </w:r>
    </w:p>
    <w:p w14:paraId="072B411D">
      <w:pPr>
        <w:adjustRightInd w:val="0"/>
        <w:snapToGrid w:val="0"/>
        <w:spacing w:line="584" w:lineRule="exact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287020</wp:posOffset>
                </wp:positionV>
                <wp:extent cx="635" cy="0"/>
                <wp:effectExtent l="0" t="4445" r="0" b="508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0.45pt;margin-top:22.6pt;height:0pt;width:0.05pt;z-index:251660288;mso-width-relative:page;mso-height-relative:page;" filled="f" stroked="t" coordsize="21600,21600" o:gfxdata="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GeDgrjRAAAABAEAAA8AAAAAAAAAAQAgAAAAIgAAAGRycy9kb3ducmV2LnhtbFBLAQIU&#10;ABQAAAAIAIdO4kBVqVL4+gEAAPQDAAAOAAAAAAAAAAEAIAAAACA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06B725AD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278" w:lineRule="auto"/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lang w:val="en-US" w:eastAsia="zh-CN" w:bidi="ar-SA"/>
        </w:rPr>
        <w:t>县殡仪馆：</w:t>
      </w:r>
    </w:p>
    <w:p w14:paraId="4CACB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为进一步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提高</w:t>
      </w:r>
      <w:r>
        <w:rPr>
          <w:rFonts w:hint="eastAsia" w:ascii="仿宋" w:hAnsi="仿宋" w:eastAsia="仿宋" w:cs="仿宋"/>
          <w:sz w:val="32"/>
          <w:szCs w:val="32"/>
        </w:rPr>
        <w:t>殡葬服务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质量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规范我县殡葬延伸服务收费行为，</w:t>
      </w:r>
      <w:r>
        <w:rPr>
          <w:rFonts w:hint="eastAsia" w:ascii="仿宋" w:hAnsi="仿宋" w:eastAsia="仿宋" w:cs="仿宋"/>
          <w:sz w:val="32"/>
          <w:szCs w:val="32"/>
        </w:rPr>
        <w:t>切实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维护广大群众合法权益，促进我县殡葬事业健康发展，</w:t>
      </w:r>
      <w:r>
        <w:rPr>
          <w:rFonts w:hint="eastAsia" w:ascii="仿宋" w:hAnsi="仿宋" w:eastAsia="仿宋" w:cs="仿宋"/>
          <w:sz w:val="32"/>
          <w:szCs w:val="32"/>
        </w:rPr>
        <w:t>根据河北省发展和改革委员会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财政厅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民政厅《关于印发&lt;河北省殡葬服务收费管理办法&gt;的通知》(冀发改公价规</w:t>
      </w:r>
      <w:r>
        <w:rPr>
          <w:rFonts w:hint="eastAsia" w:ascii="仿宋_GB2312" w:hAnsi="仿宋_GB2312" w:eastAsia="仿宋_GB2312" w:cs="仿宋_GB2312"/>
          <w:sz w:val="32"/>
          <w:szCs w:val="32"/>
        </w:rPr>
        <w:t>﹝</w:t>
      </w:r>
      <w:r>
        <w:rPr>
          <w:rFonts w:hint="default" w:ascii="Times New Roman" w:hAnsi="Times New Roman" w:eastAsia="宋体" w:cs="Times New Roman"/>
          <w:sz w:val="32"/>
          <w:szCs w:val="32"/>
        </w:rPr>
        <w:t>202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sz w:val="32"/>
          <w:szCs w:val="32"/>
          <w:highlight w:val="none"/>
          <w:lang w:val="en-US" w:eastAsia="zh-CN"/>
        </w:rPr>
        <w:t>﹞</w:t>
      </w:r>
      <w:r>
        <w:rPr>
          <w:rFonts w:hint="default" w:ascii="Times New Roman" w:hAnsi="Times New Roman" w:eastAsia="仿宋" w:cs="Times New Roman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号)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文件精神和工作</w:t>
      </w:r>
      <w:r>
        <w:rPr>
          <w:rFonts w:hint="eastAsia" w:ascii="仿宋" w:hAnsi="仿宋" w:eastAsia="仿宋" w:cs="仿宋"/>
          <w:sz w:val="32"/>
          <w:szCs w:val="32"/>
        </w:rPr>
        <w:t>要求，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同时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参照周边市（区）县价格水平，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结合我县实际，经县政府同意，现就我县殡葬延伸服务项目、收费标准及有关事项通知如下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4C980E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eastAsia="zh-CN"/>
        </w:rPr>
        <w:t>一、适用范围</w:t>
      </w:r>
    </w:p>
    <w:p w14:paraId="20BB2A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本通知收费标准适用于永清县殡仪馆提供的殡葬延伸服务项目。</w:t>
      </w:r>
    </w:p>
    <w:p w14:paraId="610535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eastAsia="zh-CN"/>
        </w:rPr>
        <w:t>二、延伸</w:t>
      </w: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</w:rPr>
        <w:t>服务</w:t>
      </w:r>
      <w:r>
        <w:rPr>
          <w:rFonts w:hint="eastAsia" w:ascii="黑体" w:hAnsi="黑体" w:eastAsia="黑体" w:cs="黑体"/>
          <w:b/>
          <w:bCs/>
          <w:sz w:val="32"/>
          <w:szCs w:val="32"/>
          <w:highlight w:val="none"/>
          <w:lang w:eastAsia="zh-CN"/>
        </w:rPr>
        <w:t>项目</w:t>
      </w:r>
    </w:p>
    <w:p w14:paraId="031D1A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殡葬延伸服务项目是指在基本服务项目（遗体接运、存放、火化、骨灰寄存等）以外、供群众选择的特殊服务项目，包括遗体整容、遗体防腐、吊唁设施设备租赁等。</w:t>
      </w:r>
    </w:p>
    <w:p w14:paraId="2850E845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3" w:firstLineChars="200"/>
        <w:jc w:val="both"/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三、服务内容及收费标准</w:t>
      </w:r>
    </w:p>
    <w:p w14:paraId="1B3E2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殡葬延伸服务实行政府指导价，规定收费标准为最高标准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，下浮不限。以下为我县殡葬延伸服务内容及收费标准。</w:t>
      </w:r>
    </w:p>
    <w:p w14:paraId="7FEC2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1.遗体整容费。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正常死亡遗体整容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180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元/具，服务内容为对</w:t>
      </w:r>
      <w:r>
        <w:rPr>
          <w:rFonts w:hint="eastAsia" w:ascii="仿宋" w:hAnsi="仿宋" w:eastAsia="仿宋" w:cs="仿宋"/>
          <w:i w:val="0"/>
          <w:color w:val="000000"/>
          <w:sz w:val="32"/>
          <w:szCs w:val="32"/>
          <w:u w:val="none"/>
          <w:lang w:eastAsia="zh-CN"/>
        </w:rPr>
        <w:t>遗体进行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口眼闭合，棉签擦拭，面部清洁，洗发、理发，吹干，粉底、腮红、口红、描眉等。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  <w:r>
        <w:rPr>
          <w:rFonts w:hint="eastAsia" w:ascii="仿宋" w:hAnsi="仿宋" w:eastAsia="仿宋" w:cs="仿宋"/>
          <w:sz w:val="32"/>
          <w:szCs w:val="32"/>
          <w:lang w:eastAsia="zh-CN"/>
        </w:rPr>
        <w:tab/>
      </w:r>
    </w:p>
    <w:p w14:paraId="216E4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2.遗体防腐费。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正常死亡遗体防腐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180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元/具，服务内容为对遗体进行药物防腐处理（三天防腐）。</w:t>
      </w:r>
    </w:p>
    <w:p w14:paraId="376264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3" w:firstLineChars="200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3.吊唁设施设备租赁费。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大厅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200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元/间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·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分钟，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提供瞻仰、告别空间，确保场地干净整洁、无异味，不满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分钟的按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分钟计算收费；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使用超过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分钟的，每满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分钟收取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200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元/间租赁费，不满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分钟不收取租赁费。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小厅免费，提供整容、瞻仰、告别，确保场地干净整洁、无异味。</w:t>
      </w:r>
    </w:p>
    <w:p w14:paraId="1532B1E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四、收费公示</w:t>
      </w:r>
    </w:p>
    <w:p w14:paraId="61B1B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永清县殡仪馆要认真执行收费公示制度，在服务场所显著位置公布服务项目、收费标准、文件依据、减免政策、举报电话、服务流程和服务规范等内容，广泛接受社会监督。</w:t>
      </w:r>
    </w:p>
    <w:p w14:paraId="17C8741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五、执行时间</w:t>
      </w:r>
    </w:p>
    <w:p w14:paraId="5FF0258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本通知收费标准自发文之日起执行，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试行期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年，试行期满前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个月按规定程序重新核定正式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殡葬延伸服务项目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收费标准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224E0AD2">
      <w:pPr>
        <w:pStyle w:val="3"/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420" w:firstLineChars="200"/>
        <w:jc w:val="both"/>
        <w:rPr>
          <w:rFonts w:hint="default" w:eastAsia="宋体"/>
          <w:lang w:val="en-US" w:eastAsia="zh-CN"/>
        </w:rPr>
      </w:pPr>
    </w:p>
    <w:p w14:paraId="1F1C477E">
      <w:pPr>
        <w:pStyle w:val="3"/>
        <w:spacing w:line="278" w:lineRule="auto"/>
      </w:pPr>
    </w:p>
    <w:p w14:paraId="57C58E0E">
      <w:pPr>
        <w:pStyle w:val="3"/>
        <w:spacing w:line="278" w:lineRule="auto"/>
      </w:pPr>
    </w:p>
    <w:p w14:paraId="4128FB04">
      <w:pPr>
        <w:pStyle w:val="3"/>
        <w:spacing w:line="278" w:lineRule="auto"/>
      </w:pPr>
    </w:p>
    <w:p w14:paraId="32643EC4">
      <w:pPr>
        <w:pStyle w:val="3"/>
        <w:spacing w:line="278" w:lineRule="auto"/>
      </w:pPr>
    </w:p>
    <w:p w14:paraId="203CAAC0">
      <w:pPr>
        <w:pStyle w:val="3"/>
        <w:spacing w:line="278" w:lineRule="auto"/>
      </w:pPr>
    </w:p>
    <w:p w14:paraId="446D9480">
      <w:pPr>
        <w:pStyle w:val="3"/>
        <w:spacing w:line="278" w:lineRule="auto"/>
      </w:pPr>
    </w:p>
    <w:p w14:paraId="5636777A">
      <w:pPr>
        <w:pStyle w:val="3"/>
        <w:spacing w:line="278" w:lineRule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  <w:t xml:space="preserve">   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永清县发展和改革局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 xml:space="preserve">               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永清县民政局</w:t>
      </w:r>
    </w:p>
    <w:p w14:paraId="7224F068">
      <w:pPr>
        <w:pStyle w:val="3"/>
        <w:spacing w:line="278" w:lineRule="auto"/>
        <w:ind w:firstLine="5760" w:firstLineChars="1800"/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2025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年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9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月</w:t>
      </w:r>
      <w:r>
        <w:rPr>
          <w:rFonts w:hint="eastAsia" w:ascii="Times New Roman" w:hAnsi="Times New Roman" w:eastAsia="仿宋_GB2312" w:cs="Times New Roman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30</w:t>
      </w:r>
      <w:r>
        <w:rPr>
          <w:rFonts w:hint="eastAsia" w:ascii="仿宋" w:hAnsi="仿宋" w:eastAsia="仿宋" w:cs="仿宋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  <w:t>日</w:t>
      </w:r>
    </w:p>
    <w:p w14:paraId="53141BDD">
      <w:pPr>
        <w:pStyle w:val="3"/>
        <w:spacing w:line="278" w:lineRule="auto"/>
        <w:ind w:firstLine="5440" w:firstLineChars="1700"/>
        <w:rPr>
          <w:rFonts w:hint="default" w:ascii="仿宋_GB2312" w:hAnsi="仿宋_GB2312" w:eastAsia="仿宋_GB2312" w:cs="仿宋_GB2312"/>
          <w:snapToGrid w:val="0"/>
          <w:color w:val="000000"/>
          <w:kern w:val="0"/>
          <w:sz w:val="32"/>
          <w:szCs w:val="32"/>
          <w:highlight w:val="none"/>
          <w:lang w:val="en-US" w:eastAsia="zh-CN" w:bidi="ar-SA"/>
        </w:rPr>
      </w:pPr>
    </w:p>
    <w:p w14:paraId="6A3ADE69">
      <w:pPr>
        <w:pStyle w:val="3"/>
        <w:spacing w:line="278" w:lineRule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1EB8FD5C">
      <w:pPr>
        <w:pStyle w:val="3"/>
        <w:spacing w:line="278" w:lineRule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5E390CF5">
      <w:pPr>
        <w:pStyle w:val="3"/>
        <w:spacing w:line="278" w:lineRule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54A4E80E">
      <w:pPr>
        <w:pStyle w:val="3"/>
        <w:spacing w:line="278" w:lineRule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63ACA9F2">
      <w:pPr>
        <w:pStyle w:val="3"/>
        <w:spacing w:line="278" w:lineRule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5FF98064">
      <w:pPr>
        <w:pStyle w:val="3"/>
        <w:spacing w:line="278" w:lineRule="auto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32"/>
          <w:lang w:val="en-US" w:eastAsia="zh-CN" w:bidi="ar-SA"/>
        </w:rPr>
      </w:pPr>
    </w:p>
    <w:p w14:paraId="75CFDA0D">
      <w:pPr>
        <w:pStyle w:val="3"/>
        <w:spacing w:line="278" w:lineRule="auto"/>
      </w:pPr>
    </w:p>
    <w:p w14:paraId="73A66B30">
      <w:pPr>
        <w:pStyle w:val="3"/>
        <w:spacing w:line="340" w:lineRule="auto"/>
      </w:pPr>
    </w:p>
    <w:p w14:paraId="63BB67B6">
      <w:pPr>
        <w:pStyle w:val="3"/>
        <w:spacing w:line="340" w:lineRule="auto"/>
      </w:pPr>
    </w:p>
    <w:p w14:paraId="0A493AC5">
      <w:pPr>
        <w:pStyle w:val="3"/>
        <w:spacing w:line="340" w:lineRule="auto"/>
      </w:pPr>
    </w:p>
    <w:p w14:paraId="6DCE0DDB">
      <w:pPr>
        <w:pStyle w:val="3"/>
        <w:spacing w:line="340" w:lineRule="auto"/>
      </w:pPr>
    </w:p>
    <w:p w14:paraId="168AD1BC">
      <w:pPr>
        <w:pStyle w:val="3"/>
      </w:pPr>
      <w:bookmarkStart w:id="0" w:name="_GoBack"/>
      <w:bookmarkEnd w:id="0"/>
    </w:p>
    <w:sectPr>
      <w:headerReference r:id="rId5" w:type="default"/>
      <w:footerReference r:id="rId6" w:type="default"/>
      <w:pgSz w:w="11907" w:h="16839"/>
      <w:pgMar w:top="2098" w:right="1474" w:bottom="1984" w:left="1587" w:header="0" w:footer="1416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28D9287C-6D25-470E-B5EF-85F5149E1E7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A059E07-3806-4A48-9FEE-D9A015D783C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60588443-41EC-4BEF-AEF3-B7E0CE4E412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80C2D68-47F7-4485-A3DC-A6DC55AFC50A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A417229-FCAA-4D22-B82D-5AE496E9D41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19A571CA-A3DE-4185-A3A8-E87A22C7911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86D2F">
    <w:pPr>
      <w:tabs>
        <w:tab w:val="left" w:pos="5328"/>
      </w:tabs>
      <w:spacing w:before="1" w:line="174" w:lineRule="auto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424229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424229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hAnsi="宋体" w:eastAsia="宋体" w:cs="宋体"/>
        <w:sz w:val="28"/>
        <w:szCs w:val="28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4E57B2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96076A"/>
    <w:rsid w:val="00E40880"/>
    <w:rsid w:val="01814321"/>
    <w:rsid w:val="020531A4"/>
    <w:rsid w:val="02B55049"/>
    <w:rsid w:val="034E6411"/>
    <w:rsid w:val="07702E6D"/>
    <w:rsid w:val="0926237D"/>
    <w:rsid w:val="098470A4"/>
    <w:rsid w:val="0A801619"/>
    <w:rsid w:val="0D731524"/>
    <w:rsid w:val="0E7771D7"/>
    <w:rsid w:val="0F9F69E6"/>
    <w:rsid w:val="10A06571"/>
    <w:rsid w:val="11A7392F"/>
    <w:rsid w:val="141334FE"/>
    <w:rsid w:val="16B9038D"/>
    <w:rsid w:val="18890233"/>
    <w:rsid w:val="190D2C12"/>
    <w:rsid w:val="1B0E2C71"/>
    <w:rsid w:val="1B6603B7"/>
    <w:rsid w:val="1BB76E65"/>
    <w:rsid w:val="1BBC524F"/>
    <w:rsid w:val="1C24274C"/>
    <w:rsid w:val="1C2F4C4D"/>
    <w:rsid w:val="1C5E26F7"/>
    <w:rsid w:val="1CF16732"/>
    <w:rsid w:val="1D5030CD"/>
    <w:rsid w:val="1E763007"/>
    <w:rsid w:val="1EF81C6E"/>
    <w:rsid w:val="21747CD2"/>
    <w:rsid w:val="226F3FF6"/>
    <w:rsid w:val="22A2261D"/>
    <w:rsid w:val="23953F30"/>
    <w:rsid w:val="239857CE"/>
    <w:rsid w:val="23A14683"/>
    <w:rsid w:val="23DF51AB"/>
    <w:rsid w:val="24861ACA"/>
    <w:rsid w:val="24FD7FDE"/>
    <w:rsid w:val="25494FD2"/>
    <w:rsid w:val="25F72C80"/>
    <w:rsid w:val="26492DAF"/>
    <w:rsid w:val="270A253F"/>
    <w:rsid w:val="277671CD"/>
    <w:rsid w:val="28836A4D"/>
    <w:rsid w:val="28BA1D43"/>
    <w:rsid w:val="29CD26C4"/>
    <w:rsid w:val="2B0B07F2"/>
    <w:rsid w:val="2B42499D"/>
    <w:rsid w:val="2CCB09C2"/>
    <w:rsid w:val="2CEB2E12"/>
    <w:rsid w:val="2E5D1AEE"/>
    <w:rsid w:val="2FDB2CCA"/>
    <w:rsid w:val="300E12F2"/>
    <w:rsid w:val="308D3CB6"/>
    <w:rsid w:val="30DC319E"/>
    <w:rsid w:val="32676A97"/>
    <w:rsid w:val="331D35FA"/>
    <w:rsid w:val="340D7B12"/>
    <w:rsid w:val="34B10845"/>
    <w:rsid w:val="34F30AB6"/>
    <w:rsid w:val="357716E7"/>
    <w:rsid w:val="359758E5"/>
    <w:rsid w:val="36266C69"/>
    <w:rsid w:val="36A22794"/>
    <w:rsid w:val="374970B3"/>
    <w:rsid w:val="376143FD"/>
    <w:rsid w:val="38B069EC"/>
    <w:rsid w:val="392A6A70"/>
    <w:rsid w:val="393873DF"/>
    <w:rsid w:val="39AE31FE"/>
    <w:rsid w:val="39E41315"/>
    <w:rsid w:val="3AFD268F"/>
    <w:rsid w:val="3B5878C5"/>
    <w:rsid w:val="3BDC04F6"/>
    <w:rsid w:val="3C1A644D"/>
    <w:rsid w:val="3CFC24D2"/>
    <w:rsid w:val="3DDF42CD"/>
    <w:rsid w:val="3F43263A"/>
    <w:rsid w:val="3F964E60"/>
    <w:rsid w:val="44695BC4"/>
    <w:rsid w:val="46717A8D"/>
    <w:rsid w:val="47596E9F"/>
    <w:rsid w:val="47C0795A"/>
    <w:rsid w:val="47EA7AF7"/>
    <w:rsid w:val="489932CB"/>
    <w:rsid w:val="48F21359"/>
    <w:rsid w:val="4C325F10"/>
    <w:rsid w:val="4D8D78A2"/>
    <w:rsid w:val="4EE554BC"/>
    <w:rsid w:val="4F626B0C"/>
    <w:rsid w:val="503E30D6"/>
    <w:rsid w:val="51842D6A"/>
    <w:rsid w:val="521A36CE"/>
    <w:rsid w:val="5253098E"/>
    <w:rsid w:val="52976ACD"/>
    <w:rsid w:val="54662BFB"/>
    <w:rsid w:val="560F58BD"/>
    <w:rsid w:val="58A261CC"/>
    <w:rsid w:val="58A65CBC"/>
    <w:rsid w:val="5A3D7F5A"/>
    <w:rsid w:val="5B9339CA"/>
    <w:rsid w:val="5BA109BC"/>
    <w:rsid w:val="5D325D70"/>
    <w:rsid w:val="5E4C2E61"/>
    <w:rsid w:val="5EF7101F"/>
    <w:rsid w:val="60C20D03"/>
    <w:rsid w:val="61016185"/>
    <w:rsid w:val="619E1C26"/>
    <w:rsid w:val="620D0B5A"/>
    <w:rsid w:val="628A21AA"/>
    <w:rsid w:val="62FF66F4"/>
    <w:rsid w:val="63E37DC4"/>
    <w:rsid w:val="646C4634"/>
    <w:rsid w:val="677D22DE"/>
    <w:rsid w:val="68071BA7"/>
    <w:rsid w:val="681A26EA"/>
    <w:rsid w:val="689773CF"/>
    <w:rsid w:val="6AE52674"/>
    <w:rsid w:val="6B8C0D41"/>
    <w:rsid w:val="70310109"/>
    <w:rsid w:val="70A4170D"/>
    <w:rsid w:val="70CB230C"/>
    <w:rsid w:val="71467BE4"/>
    <w:rsid w:val="73426189"/>
    <w:rsid w:val="74600FBD"/>
    <w:rsid w:val="762322A2"/>
    <w:rsid w:val="769B008A"/>
    <w:rsid w:val="7A0F3269"/>
    <w:rsid w:val="7AD87AFF"/>
    <w:rsid w:val="7C2C3F79"/>
    <w:rsid w:val="7C305719"/>
    <w:rsid w:val="7DA71A0B"/>
    <w:rsid w:val="7DFC1D56"/>
    <w:rsid w:val="7F6D458E"/>
    <w:rsid w:val="7F721BA4"/>
    <w:rsid w:val="7FEA5B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5"/>
    <w:next w:val="1"/>
    <w:qFormat/>
    <w:uiPriority w:val="0"/>
    <w:pPr>
      <w:spacing w:before="100" w:beforeAutospacing="1" w:after="149" w:line="599" w:lineRule="atLeast"/>
      <w:jc w:val="center"/>
      <w:outlineLvl w:val="4"/>
    </w:pPr>
    <w:rPr>
      <w:rFonts w:ascii="宋体" w:hAnsi="Times New Roman" w:eastAsia="宋体" w:cs="Times New Roman"/>
      <w:b/>
      <w:bCs/>
      <w:sz w:val="39"/>
      <w:szCs w:val="39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Emphasis"/>
    <w:basedOn w:val="7"/>
    <w:qFormat/>
    <w:uiPriority w:val="0"/>
    <w:rPr>
      <w:i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878</Words>
  <Characters>910</Characters>
  <TotalTime>52</TotalTime>
  <ScaleCrop>false</ScaleCrop>
  <LinksUpToDate>false</LinksUpToDate>
  <CharactersWithSpaces>950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2025-09-24T09:58:00Z</dcterms:created>
  <dc:creator>lenovo</dc:creator>
  <cp:lastModifiedBy>Sakura89</cp:lastModifiedBy>
  <cp:lastPrinted>2025-10-01T02:42:00Z</cp:lastPrinted>
  <dcterms:modified xsi:type="dcterms:W3CDTF">2025-10-16T02:56:05Z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2025-09-30T11:30:57Z</vt:filetime>
  </property>
  <property fmtid="{D5CDD505-2E9C-101B-9397-08002B2CF9AE}" pid="4" name="KSOTemplateDocerSaveRecord">
    <vt:lpwstr>eyJoZGlkIjoiZDg3ODg1NmU1NzAxZGUxNTA1ZmJhZjBhYmU5OGJkZWIiLCJ1c2VySWQiOiIzODQwNzA5MDAifQ==</vt:lpwstr>
  </property>
  <property fmtid="{D5CDD505-2E9C-101B-9397-08002B2CF9AE}" pid="5" name="KSOProductBuildVer">
    <vt:lpwstr>2052-12.1.0.23125</vt:lpwstr>
  </property>
  <property fmtid="{D5CDD505-2E9C-101B-9397-08002B2CF9AE}" pid="6" name="ICV">
    <vt:lpwstr>3685DF6ED74B43C998B1F8E59D4BA38A_13</vt:lpwstr>
  </property>
</Properties>
</file>