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5AC839">
      <w:pPr>
        <w:spacing w:line="299" w:lineRule="auto"/>
        <w:rPr>
          <w:rFonts w:ascii="Arial"/>
          <w:sz w:val="21"/>
        </w:rPr>
      </w:pPr>
    </w:p>
    <w:tbl>
      <w:tblPr>
        <w:tblStyle w:val="6"/>
        <w:tblpPr w:leftFromText="180" w:rightFromText="180" w:vertAnchor="page" w:horzAnchor="page" w:tblpXSpec="center" w:tblpY="2663"/>
        <w:tblOverlap w:val="never"/>
        <w:tblW w:w="92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417"/>
        <w:gridCol w:w="1800"/>
      </w:tblGrid>
      <w:tr w14:paraId="724DD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4" w:hRule="atLeast"/>
          <w:jc w:val="center"/>
        </w:trPr>
        <w:tc>
          <w:tcPr>
            <w:tcW w:w="7417" w:type="dxa"/>
            <w:tcBorders>
              <w:tl2br w:val="nil"/>
              <w:tr2bl w:val="nil"/>
            </w:tcBorders>
            <w:vAlign w:val="center"/>
          </w:tcPr>
          <w:p w14:paraId="1A648134">
            <w:pPr>
              <w:widowControl w:val="0"/>
              <w:spacing w:line="299" w:lineRule="auto"/>
              <w:jc w:val="distribute"/>
              <w:rPr>
                <w:rFonts w:hint="eastAsia" w:asciiTheme="majorEastAsia" w:hAnsiTheme="majorEastAsia" w:eastAsiaTheme="majorEastAsia" w:cstheme="majorEastAsia"/>
                <w:b/>
                <w:bCs/>
                <w:color w:val="FF0000"/>
                <w:sz w:val="72"/>
                <w:szCs w:val="72"/>
                <w:vertAlign w:val="baseline"/>
                <w:lang w:val="en-US" w:eastAsia="zh-CN"/>
              </w:rPr>
            </w:pPr>
            <w:bookmarkStart w:id="0" w:name="OLE_LINK1"/>
            <w:r>
              <w:rPr>
                <w:rFonts w:hint="eastAsia" w:asciiTheme="majorEastAsia" w:hAnsiTheme="majorEastAsia" w:eastAsiaTheme="majorEastAsia" w:cstheme="majorEastAsia"/>
                <w:b/>
                <w:bCs/>
                <w:color w:val="FF0000"/>
                <w:sz w:val="72"/>
                <w:szCs w:val="72"/>
                <w:vertAlign w:val="baseline"/>
                <w:lang w:val="en-US" w:eastAsia="zh-CN"/>
              </w:rPr>
              <w:t>永清县发展和改革局</w:t>
            </w:r>
          </w:p>
        </w:tc>
        <w:tc>
          <w:tcPr>
            <w:tcW w:w="1800" w:type="dxa"/>
            <w:vMerge w:val="restart"/>
            <w:tcBorders>
              <w:tl2br w:val="nil"/>
              <w:tr2bl w:val="nil"/>
            </w:tcBorders>
            <w:vAlign w:val="center"/>
          </w:tcPr>
          <w:p w14:paraId="15FCB764">
            <w:pPr>
              <w:widowControl w:val="0"/>
              <w:spacing w:line="299" w:lineRule="auto"/>
              <w:jc w:val="center"/>
              <w:rPr>
                <w:rFonts w:hint="eastAsia" w:asciiTheme="majorEastAsia" w:hAnsiTheme="majorEastAsia" w:eastAsiaTheme="majorEastAsia" w:cstheme="majorEastAsia"/>
                <w:color w:val="FF0000"/>
                <w:sz w:val="72"/>
                <w:szCs w:val="72"/>
                <w:vertAlign w:val="baseline"/>
                <w:lang w:eastAsia="zh-CN"/>
              </w:rPr>
            </w:pPr>
            <w:r>
              <w:rPr>
                <w:rFonts w:hint="eastAsia" w:asciiTheme="majorEastAsia" w:hAnsiTheme="majorEastAsia" w:eastAsiaTheme="majorEastAsia" w:cstheme="majorEastAsia"/>
                <w:b/>
                <w:bCs/>
                <w:color w:val="FF0000"/>
                <w:sz w:val="72"/>
                <w:szCs w:val="72"/>
                <w:vertAlign w:val="baseline"/>
                <w:lang w:eastAsia="zh-CN"/>
              </w:rPr>
              <w:t>文件</w:t>
            </w:r>
          </w:p>
        </w:tc>
      </w:tr>
      <w:tr w14:paraId="78512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4" w:hRule="atLeast"/>
          <w:jc w:val="center"/>
        </w:trPr>
        <w:tc>
          <w:tcPr>
            <w:tcW w:w="7417" w:type="dxa"/>
            <w:tcBorders>
              <w:tl2br w:val="nil"/>
              <w:tr2bl w:val="nil"/>
            </w:tcBorders>
            <w:vAlign w:val="center"/>
          </w:tcPr>
          <w:p w14:paraId="0DF61F16">
            <w:pPr>
              <w:widowControl w:val="0"/>
              <w:spacing w:line="299" w:lineRule="auto"/>
              <w:jc w:val="distribute"/>
              <w:rPr>
                <w:rFonts w:hint="eastAsia" w:asciiTheme="majorEastAsia" w:hAnsiTheme="majorEastAsia" w:eastAsiaTheme="majorEastAsia" w:cstheme="majorEastAsia"/>
                <w:b/>
                <w:bCs/>
                <w:color w:val="FF0000"/>
                <w:sz w:val="72"/>
                <w:szCs w:val="72"/>
                <w:vertAlign w:val="baseline"/>
                <w:lang w:eastAsia="zh-CN"/>
              </w:rPr>
            </w:pPr>
            <w:r>
              <w:rPr>
                <w:rFonts w:hint="eastAsia" w:asciiTheme="majorEastAsia" w:hAnsiTheme="majorEastAsia" w:eastAsiaTheme="majorEastAsia" w:cstheme="majorEastAsia"/>
                <w:b/>
                <w:bCs/>
                <w:color w:val="FF0000"/>
                <w:spacing w:val="0"/>
                <w:w w:val="71"/>
                <w:kern w:val="0"/>
                <w:sz w:val="72"/>
                <w:szCs w:val="72"/>
                <w:fitText w:val="7200" w:id="1523201318"/>
                <w:vertAlign w:val="baseline"/>
                <w:lang w:eastAsia="zh-CN"/>
              </w:rPr>
              <w:t>永清县科学技术和工业信息化</w:t>
            </w:r>
            <w:r>
              <w:rPr>
                <w:rFonts w:hint="eastAsia" w:asciiTheme="majorEastAsia" w:hAnsiTheme="majorEastAsia" w:eastAsiaTheme="majorEastAsia" w:cstheme="majorEastAsia"/>
                <w:b/>
                <w:bCs/>
                <w:color w:val="FF0000"/>
                <w:spacing w:val="2"/>
                <w:w w:val="71"/>
                <w:kern w:val="0"/>
                <w:sz w:val="72"/>
                <w:szCs w:val="72"/>
                <w:fitText w:val="7200" w:id="1523201318"/>
                <w:vertAlign w:val="baseline"/>
                <w:lang w:eastAsia="zh-CN"/>
              </w:rPr>
              <w:t>局</w:t>
            </w:r>
          </w:p>
        </w:tc>
        <w:tc>
          <w:tcPr>
            <w:tcW w:w="1800" w:type="dxa"/>
            <w:vMerge w:val="continue"/>
            <w:tcBorders>
              <w:tl2br w:val="nil"/>
              <w:tr2bl w:val="nil"/>
            </w:tcBorders>
            <w:vAlign w:val="center"/>
          </w:tcPr>
          <w:p w14:paraId="6CF9F669">
            <w:pPr>
              <w:widowControl w:val="0"/>
              <w:spacing w:line="299" w:lineRule="auto"/>
              <w:jc w:val="center"/>
              <w:rPr>
                <w:rFonts w:hint="eastAsia" w:asciiTheme="majorEastAsia" w:hAnsiTheme="majorEastAsia" w:eastAsiaTheme="majorEastAsia" w:cstheme="majorEastAsia"/>
                <w:color w:val="FF0000"/>
                <w:sz w:val="72"/>
                <w:szCs w:val="72"/>
                <w:vertAlign w:val="baseline"/>
              </w:rPr>
            </w:pPr>
          </w:p>
        </w:tc>
      </w:tr>
      <w:tr w14:paraId="22DA2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4" w:hRule="atLeast"/>
          <w:jc w:val="center"/>
        </w:trPr>
        <w:tc>
          <w:tcPr>
            <w:tcW w:w="7417" w:type="dxa"/>
            <w:tcBorders>
              <w:tl2br w:val="nil"/>
              <w:tr2bl w:val="nil"/>
            </w:tcBorders>
            <w:vAlign w:val="center"/>
          </w:tcPr>
          <w:p w14:paraId="7FC1D73B">
            <w:pPr>
              <w:widowControl w:val="0"/>
              <w:spacing w:line="299" w:lineRule="auto"/>
              <w:jc w:val="distribute"/>
              <w:rPr>
                <w:rFonts w:hint="default" w:asciiTheme="majorEastAsia" w:hAnsiTheme="majorEastAsia" w:eastAsiaTheme="majorEastAsia" w:cstheme="majorEastAsia"/>
                <w:b/>
                <w:bCs/>
                <w:color w:val="FF0000"/>
                <w:w w:val="90"/>
                <w:sz w:val="72"/>
                <w:szCs w:val="72"/>
                <w:vertAlign w:val="baseline"/>
                <w:lang w:val="en-US" w:eastAsia="zh-CN"/>
              </w:rPr>
            </w:pPr>
            <w:r>
              <w:rPr>
                <w:rFonts w:hint="eastAsia" w:asciiTheme="majorEastAsia" w:hAnsiTheme="majorEastAsia" w:eastAsiaTheme="majorEastAsia" w:cstheme="majorEastAsia"/>
                <w:b/>
                <w:bCs/>
                <w:color w:val="FF0000"/>
                <w:sz w:val="72"/>
                <w:szCs w:val="72"/>
                <w:vertAlign w:val="baseline"/>
                <w:lang w:eastAsia="zh-CN"/>
              </w:rPr>
              <w:t>永清县财政局</w:t>
            </w:r>
          </w:p>
        </w:tc>
        <w:tc>
          <w:tcPr>
            <w:tcW w:w="1800" w:type="dxa"/>
            <w:vMerge w:val="continue"/>
            <w:tcBorders>
              <w:tl2br w:val="nil"/>
              <w:tr2bl w:val="nil"/>
            </w:tcBorders>
            <w:vAlign w:val="center"/>
          </w:tcPr>
          <w:p w14:paraId="3DAE748B">
            <w:pPr>
              <w:widowControl w:val="0"/>
              <w:spacing w:line="299" w:lineRule="auto"/>
              <w:jc w:val="center"/>
              <w:rPr>
                <w:rFonts w:hint="eastAsia" w:asciiTheme="majorEastAsia" w:hAnsiTheme="majorEastAsia" w:eastAsiaTheme="majorEastAsia" w:cstheme="majorEastAsia"/>
                <w:color w:val="FF0000"/>
                <w:sz w:val="72"/>
                <w:szCs w:val="72"/>
                <w:vertAlign w:val="baseline"/>
              </w:rPr>
            </w:pPr>
          </w:p>
        </w:tc>
      </w:tr>
      <w:tr w14:paraId="2D1DF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4" w:hRule="atLeast"/>
          <w:jc w:val="center"/>
        </w:trPr>
        <w:tc>
          <w:tcPr>
            <w:tcW w:w="7417" w:type="dxa"/>
            <w:tcBorders>
              <w:tl2br w:val="nil"/>
              <w:tr2bl w:val="nil"/>
            </w:tcBorders>
            <w:vAlign w:val="center"/>
          </w:tcPr>
          <w:p w14:paraId="39D6D3AE">
            <w:pPr>
              <w:widowControl w:val="0"/>
              <w:spacing w:line="299" w:lineRule="auto"/>
              <w:jc w:val="distribute"/>
              <w:rPr>
                <w:rFonts w:hint="eastAsia" w:asciiTheme="majorEastAsia" w:hAnsiTheme="majorEastAsia" w:eastAsiaTheme="majorEastAsia" w:cstheme="majorEastAsia"/>
                <w:b/>
                <w:bCs/>
                <w:color w:val="FF0000"/>
                <w:sz w:val="72"/>
                <w:szCs w:val="72"/>
                <w:vertAlign w:val="baseline"/>
                <w:lang w:eastAsia="zh-CN"/>
              </w:rPr>
            </w:pPr>
            <w:r>
              <w:rPr>
                <w:rFonts w:hint="eastAsia" w:asciiTheme="majorEastAsia" w:hAnsiTheme="majorEastAsia" w:eastAsiaTheme="majorEastAsia" w:cstheme="majorEastAsia"/>
                <w:b/>
                <w:bCs/>
                <w:color w:val="FF0000"/>
                <w:w w:val="90"/>
                <w:sz w:val="72"/>
                <w:szCs w:val="72"/>
                <w:vertAlign w:val="baseline"/>
                <w:lang w:eastAsia="zh-CN"/>
              </w:rPr>
              <w:t>永清县市场监督管理局</w:t>
            </w:r>
          </w:p>
        </w:tc>
        <w:tc>
          <w:tcPr>
            <w:tcW w:w="1800" w:type="dxa"/>
            <w:vMerge w:val="continue"/>
            <w:tcBorders>
              <w:tl2br w:val="nil"/>
              <w:tr2bl w:val="nil"/>
            </w:tcBorders>
            <w:vAlign w:val="center"/>
          </w:tcPr>
          <w:p w14:paraId="2B9A8E79">
            <w:pPr>
              <w:widowControl w:val="0"/>
              <w:spacing w:line="299" w:lineRule="auto"/>
              <w:jc w:val="center"/>
              <w:rPr>
                <w:rFonts w:hint="eastAsia" w:asciiTheme="majorEastAsia" w:hAnsiTheme="majorEastAsia" w:eastAsiaTheme="majorEastAsia" w:cstheme="majorEastAsia"/>
                <w:color w:val="FF0000"/>
                <w:sz w:val="72"/>
                <w:szCs w:val="72"/>
                <w:vertAlign w:val="baseline"/>
              </w:rPr>
            </w:pPr>
          </w:p>
        </w:tc>
      </w:tr>
    </w:tbl>
    <w:p w14:paraId="220D259B">
      <w:pPr>
        <w:spacing w:line="264" w:lineRule="auto"/>
        <w:rPr>
          <w:rFonts w:ascii="Arial"/>
          <w:sz w:val="21"/>
        </w:rPr>
      </w:pPr>
    </w:p>
    <w:tbl>
      <w:tblPr>
        <w:tblStyle w:val="6"/>
        <w:tblpPr w:leftFromText="180" w:rightFromText="180" w:vertAnchor="text" w:horzAnchor="page" w:tblpXSpec="center" w:tblpY="309"/>
        <w:tblOverlap w:val="never"/>
        <w:tblW w:w="8844" w:type="dxa"/>
        <w:jc w:val="center"/>
        <w:tblBorders>
          <w:top w:val="none" w:color="auto" w:sz="0" w:space="0"/>
          <w:left w:val="none" w:color="auto" w:sz="0" w:space="0"/>
          <w:bottom w:val="none" w:color="auto" w:sz="0" w:space="0"/>
          <w:right w:val="none" w:color="auto" w:sz="0" w:space="0"/>
          <w:insideH w:val="single" w:color="FF0000" w:sz="18" w:space="0"/>
          <w:insideV w:val="none" w:color="auto" w:sz="0" w:space="0"/>
        </w:tblBorders>
        <w:tblLayout w:type="autofit"/>
        <w:tblCellMar>
          <w:top w:w="0" w:type="dxa"/>
          <w:left w:w="108" w:type="dxa"/>
          <w:bottom w:w="0" w:type="dxa"/>
          <w:right w:w="108" w:type="dxa"/>
        </w:tblCellMar>
      </w:tblPr>
      <w:tblGrid>
        <w:gridCol w:w="8844"/>
      </w:tblGrid>
      <w:tr w14:paraId="35CA2E62">
        <w:tblPrEx>
          <w:tblBorders>
            <w:top w:val="none" w:color="auto" w:sz="0" w:space="0"/>
            <w:left w:val="none" w:color="auto" w:sz="0" w:space="0"/>
            <w:bottom w:val="none" w:color="auto" w:sz="0" w:space="0"/>
            <w:right w:val="none" w:color="auto" w:sz="0" w:space="0"/>
            <w:insideH w:val="single" w:color="FF0000" w:sz="18" w:space="0"/>
            <w:insideV w:val="none" w:color="auto" w:sz="0" w:space="0"/>
          </w:tblBorders>
          <w:tblCellMar>
            <w:top w:w="0" w:type="dxa"/>
            <w:left w:w="108" w:type="dxa"/>
            <w:bottom w:w="0" w:type="dxa"/>
            <w:right w:w="108" w:type="dxa"/>
          </w:tblCellMar>
        </w:tblPrEx>
        <w:trPr>
          <w:trHeight w:val="709" w:hRule="atLeast"/>
          <w:jc w:val="center"/>
        </w:trPr>
        <w:tc>
          <w:tcPr>
            <w:tcW w:w="283" w:type="dxa"/>
            <w:tcBorders>
              <w:tl2br w:val="nil"/>
              <w:tr2bl w:val="nil"/>
            </w:tcBorders>
            <w:vAlign w:val="top"/>
          </w:tcPr>
          <w:p w14:paraId="069F5E6E">
            <w:pPr>
              <w:widowControl w:val="0"/>
              <w:jc w:val="center"/>
              <w:rPr>
                <w:vertAlign w:val="baseline"/>
              </w:rPr>
            </w:pPr>
            <w:r>
              <w:rPr>
                <w:rFonts w:hint="default" w:ascii="Times New Roman" w:hAnsi="Times New Roman" w:eastAsia="方正仿宋_GB2312" w:cs="Times New Roman"/>
                <w:sz w:val="32"/>
                <w:szCs w:val="32"/>
              </w:rPr>
              <w:t>永</w:t>
            </w:r>
            <w:r>
              <w:rPr>
                <w:rFonts w:hint="default" w:ascii="Times New Roman" w:hAnsi="Times New Roman" w:eastAsia="方正仿宋_GB2312" w:cs="Times New Roman"/>
                <w:sz w:val="32"/>
                <w:szCs w:val="32"/>
                <w:lang w:val="en-US" w:eastAsia="zh-CN"/>
              </w:rPr>
              <w:t>发</w:t>
            </w:r>
            <w:r>
              <w:rPr>
                <w:rFonts w:hint="default" w:ascii="Times New Roman" w:hAnsi="Times New Roman" w:eastAsia="方正仿宋_GB2312" w:cs="Times New Roman"/>
                <w:sz w:val="32"/>
                <w:szCs w:val="32"/>
              </w:rPr>
              <w:t>﹝20</w:t>
            </w:r>
            <w:r>
              <w:rPr>
                <w:rFonts w:hint="default" w:ascii="Times New Roman" w:hAnsi="Times New Roman" w:eastAsia="方正仿宋_GB2312" w:cs="Times New Roman"/>
                <w:sz w:val="32"/>
                <w:szCs w:val="32"/>
                <w:lang w:val="en-US" w:eastAsia="zh-CN"/>
              </w:rPr>
              <w:t>25</w:t>
            </w:r>
            <w:r>
              <w:rPr>
                <w:rFonts w:hint="default" w:ascii="Times New Roman" w:hAnsi="Times New Roman" w:eastAsia="方正仿宋_GB2312" w:cs="Times New Roman"/>
                <w:sz w:val="32"/>
                <w:szCs w:val="32"/>
              </w:rPr>
              <w:t>﹞</w:t>
            </w:r>
            <w:r>
              <w:rPr>
                <w:rFonts w:hint="eastAsia" w:ascii="Times New Roman" w:hAnsi="Times New Roman" w:eastAsia="方正仿宋_GB2312" w:cs="Times New Roman"/>
                <w:sz w:val="32"/>
                <w:szCs w:val="32"/>
                <w:lang w:val="en-US" w:eastAsia="zh-CN"/>
              </w:rPr>
              <w:t>81</w:t>
            </w:r>
            <w:r>
              <w:rPr>
                <w:rFonts w:hint="default" w:ascii="Times New Roman" w:hAnsi="Times New Roman" w:eastAsia="方正仿宋_GB2312" w:cs="Times New Roman"/>
                <w:sz w:val="32"/>
                <w:szCs w:val="32"/>
              </w:rPr>
              <w:t>号</w:t>
            </w:r>
          </w:p>
        </w:tc>
      </w:tr>
      <w:tr w14:paraId="2EF5496E">
        <w:tblPrEx>
          <w:tblBorders>
            <w:top w:val="none" w:color="auto" w:sz="0" w:space="0"/>
            <w:left w:val="none" w:color="auto" w:sz="0" w:space="0"/>
            <w:bottom w:val="none" w:color="auto" w:sz="0" w:space="0"/>
            <w:right w:val="none" w:color="auto" w:sz="0" w:space="0"/>
            <w:insideH w:val="single" w:color="FF0000" w:sz="18" w:space="0"/>
            <w:insideV w:val="none" w:color="auto" w:sz="0" w:space="0"/>
          </w:tblBorders>
          <w:tblCellMar>
            <w:top w:w="0" w:type="dxa"/>
            <w:left w:w="108" w:type="dxa"/>
            <w:bottom w:w="0" w:type="dxa"/>
            <w:right w:w="108" w:type="dxa"/>
          </w:tblCellMar>
        </w:tblPrEx>
        <w:trPr>
          <w:trHeight w:val="320" w:hRule="atLeast"/>
          <w:jc w:val="center"/>
        </w:trPr>
        <w:tc>
          <w:tcPr>
            <w:tcW w:w="283" w:type="dxa"/>
            <w:tcBorders>
              <w:tl2br w:val="nil"/>
              <w:tr2bl w:val="nil"/>
            </w:tcBorders>
            <w:vAlign w:val="top"/>
          </w:tcPr>
          <w:p w14:paraId="39B02535">
            <w:pPr>
              <w:keepNext w:val="0"/>
              <w:keepLines w:val="0"/>
              <w:pageBreakBefore w:val="0"/>
              <w:widowControl/>
              <w:kinsoku w:val="0"/>
              <w:wordWrap/>
              <w:overflowPunct/>
              <w:topLinePunct w:val="0"/>
              <w:autoSpaceDE w:val="0"/>
              <w:autoSpaceDN w:val="0"/>
              <w:bidi w:val="0"/>
              <w:adjustRightInd w:val="0"/>
              <w:snapToGrid w:val="0"/>
              <w:spacing w:before="0" w:beforeLines="100" w:line="300" w:lineRule="auto"/>
              <w:jc w:val="both"/>
              <w:textAlignment w:val="baseline"/>
              <w:rPr>
                <w:rFonts w:hint="eastAsia" w:ascii="仿宋" w:hAnsi="仿宋" w:eastAsia="仿宋" w:cs="仿宋"/>
                <w:sz w:val="10"/>
                <w:szCs w:val="10"/>
                <w:lang w:eastAsia="zh-CN"/>
              </w:rPr>
            </w:pPr>
          </w:p>
        </w:tc>
      </w:tr>
    </w:tbl>
    <w:p w14:paraId="3159F1EC">
      <w:pPr>
        <w:pStyle w:val="2"/>
        <w:spacing w:before="146" w:line="219" w:lineRule="auto"/>
        <w:jc w:val="center"/>
        <w:rPr>
          <w:sz w:val="45"/>
          <w:szCs w:val="45"/>
        </w:rPr>
      </w:pPr>
      <w:r>
        <w:rPr>
          <w:rFonts w:hint="eastAsia"/>
          <w:b/>
          <w:bCs/>
          <w:spacing w:val="-6"/>
          <w:sz w:val="45"/>
          <w:szCs w:val="45"/>
          <w:lang w:eastAsia="zh-CN"/>
        </w:rPr>
        <w:t>永清县</w:t>
      </w:r>
      <w:r>
        <w:rPr>
          <w:b/>
          <w:bCs/>
          <w:spacing w:val="-6"/>
          <w:sz w:val="45"/>
          <w:szCs w:val="45"/>
        </w:rPr>
        <w:t>发展和改革</w:t>
      </w:r>
      <w:r>
        <w:rPr>
          <w:rFonts w:hint="eastAsia"/>
          <w:b/>
          <w:bCs/>
          <w:spacing w:val="-6"/>
          <w:sz w:val="45"/>
          <w:szCs w:val="45"/>
          <w:lang w:eastAsia="zh-CN"/>
        </w:rPr>
        <w:t>局</w:t>
      </w:r>
      <w:r>
        <w:rPr>
          <w:b/>
          <w:bCs/>
          <w:spacing w:val="-6"/>
          <w:sz w:val="45"/>
          <w:szCs w:val="45"/>
        </w:rPr>
        <w:t>等四部门</w:t>
      </w:r>
    </w:p>
    <w:p w14:paraId="0FECAE56">
      <w:pPr>
        <w:pStyle w:val="2"/>
        <w:spacing w:before="39" w:line="219" w:lineRule="auto"/>
        <w:jc w:val="center"/>
        <w:rPr>
          <w:sz w:val="45"/>
          <w:szCs w:val="45"/>
        </w:rPr>
      </w:pPr>
      <w:bookmarkStart w:id="1" w:name="OLE_LINK2"/>
      <w:r>
        <w:rPr>
          <w:rFonts w:hint="eastAsia"/>
          <w:b/>
          <w:bCs/>
          <w:spacing w:val="-6"/>
          <w:sz w:val="45"/>
          <w:szCs w:val="45"/>
          <w:lang w:eastAsia="zh-CN"/>
        </w:rPr>
        <w:t>关于印发《贯彻落实建立健全涉企收费长效监管机制工作措施》的</w:t>
      </w:r>
      <w:bookmarkEnd w:id="1"/>
      <w:r>
        <w:rPr>
          <w:rFonts w:hint="eastAsia"/>
          <w:b/>
          <w:bCs/>
          <w:spacing w:val="-6"/>
          <w:sz w:val="45"/>
          <w:szCs w:val="45"/>
          <w:lang w:eastAsia="zh-CN"/>
        </w:rPr>
        <w:t>通知</w:t>
      </w:r>
    </w:p>
    <w:p w14:paraId="2B13D92E">
      <w:pPr>
        <w:spacing w:line="341" w:lineRule="auto"/>
        <w:rPr>
          <w:rFonts w:ascii="Arial"/>
          <w:sz w:val="21"/>
        </w:rPr>
      </w:pPr>
    </w:p>
    <w:p w14:paraId="063A8EAC">
      <w:pPr>
        <w:keepNext w:val="0"/>
        <w:keepLines w:val="0"/>
        <w:pageBreakBefore w:val="0"/>
        <w:widowControl/>
        <w:kinsoku w:val="0"/>
        <w:wordWrap/>
        <w:overflowPunct/>
        <w:topLinePunct w:val="0"/>
        <w:autoSpaceDE w:val="0"/>
        <w:autoSpaceDN w:val="0"/>
        <w:bidi w:val="0"/>
        <w:adjustRightInd w:val="0"/>
        <w:snapToGrid w:val="0"/>
        <w:spacing w:line="580" w:lineRule="exact"/>
        <w:ind w:left="0" w:right="0"/>
        <w:jc w:val="both"/>
        <w:textAlignment w:val="baseline"/>
        <w:rPr>
          <w:rFonts w:hint="eastAsia" w:ascii="仿宋" w:hAnsi="仿宋" w:eastAsia="仿宋" w:cs="仿宋"/>
          <w:spacing w:val="-10"/>
          <w:sz w:val="32"/>
          <w:szCs w:val="32"/>
        </w:rPr>
      </w:pPr>
      <w:r>
        <w:rPr>
          <w:rFonts w:hint="eastAsia" w:ascii="仿宋" w:hAnsi="仿宋" w:eastAsia="仿宋" w:cs="仿宋"/>
          <w:spacing w:val="13"/>
          <w:sz w:val="32"/>
          <w:szCs w:val="32"/>
          <w:lang w:eastAsia="zh-CN"/>
        </w:rPr>
        <w:t>县直</w:t>
      </w:r>
      <w:r>
        <w:rPr>
          <w:rFonts w:hint="eastAsia" w:ascii="仿宋" w:hAnsi="仿宋" w:eastAsia="仿宋" w:cs="仿宋"/>
          <w:spacing w:val="13"/>
          <w:sz w:val="32"/>
          <w:szCs w:val="32"/>
        </w:rPr>
        <w:t>有关部门</w:t>
      </w:r>
      <w:r>
        <w:rPr>
          <w:rFonts w:hint="eastAsia" w:ascii="仿宋" w:hAnsi="仿宋" w:eastAsia="仿宋" w:cs="仿宋"/>
          <w:spacing w:val="-10"/>
          <w:sz w:val="32"/>
          <w:szCs w:val="32"/>
        </w:rPr>
        <w:t>：</w:t>
      </w:r>
    </w:p>
    <w:p w14:paraId="17746FB8">
      <w:pPr>
        <w:keepNext w:val="0"/>
        <w:keepLines w:val="0"/>
        <w:pageBreakBefore w:val="0"/>
        <w:widowControl/>
        <w:kinsoku w:val="0"/>
        <w:wordWrap/>
        <w:overflowPunct/>
        <w:topLinePunct w:val="0"/>
        <w:autoSpaceDE w:val="0"/>
        <w:autoSpaceDN w:val="0"/>
        <w:bidi w:val="0"/>
        <w:adjustRightInd w:val="0"/>
        <w:snapToGrid w:val="0"/>
        <w:spacing w:line="580" w:lineRule="exact"/>
        <w:ind w:left="0" w:right="0" w:firstLine="600" w:firstLineChars="200"/>
        <w:jc w:val="both"/>
        <w:textAlignment w:val="baseline"/>
        <w:rPr>
          <w:rFonts w:hint="eastAsia" w:ascii="仿宋" w:hAnsi="仿宋" w:eastAsia="仿宋" w:cs="仿宋"/>
          <w:spacing w:val="-10"/>
          <w:sz w:val="32"/>
          <w:szCs w:val="32"/>
          <w:lang w:val="en-US" w:eastAsia="zh-CN"/>
        </w:rPr>
      </w:pPr>
      <w:r>
        <w:rPr>
          <w:rFonts w:hint="eastAsia" w:ascii="仿宋" w:hAnsi="仿宋" w:eastAsia="仿宋" w:cs="仿宋"/>
          <w:spacing w:val="-10"/>
          <w:sz w:val="32"/>
          <w:szCs w:val="32"/>
          <w:lang w:val="en-US" w:eastAsia="zh-CN"/>
        </w:rPr>
        <w:t>为贯彻落实国家和省市关于建立健全涉企收费长效监管机制安排部署，结合我县实际，研究制定了《贯彻落实建立健全涉企收费长效监管机制工作措施》，现印发给你们，请认真组织实施，抓好贯彻落实。</w:t>
      </w:r>
    </w:p>
    <w:p w14:paraId="356971E3">
      <w:pPr>
        <w:keepNext w:val="0"/>
        <w:keepLines w:val="0"/>
        <w:pageBreakBefore w:val="0"/>
        <w:widowControl/>
        <w:kinsoku w:val="0"/>
        <w:wordWrap/>
        <w:overflowPunct/>
        <w:topLinePunct w:val="0"/>
        <w:autoSpaceDE w:val="0"/>
        <w:autoSpaceDN w:val="0"/>
        <w:bidi w:val="0"/>
        <w:adjustRightInd w:val="0"/>
        <w:snapToGrid w:val="0"/>
        <w:spacing w:line="580" w:lineRule="exact"/>
        <w:ind w:right="0" w:firstLine="600" w:firstLineChars="200"/>
        <w:jc w:val="both"/>
        <w:textAlignment w:val="baseline"/>
        <w:rPr>
          <w:rFonts w:hint="eastAsia" w:ascii="仿宋" w:hAnsi="仿宋" w:eastAsia="仿宋" w:cs="仿宋"/>
          <w:color w:val="000000"/>
          <w:sz w:val="32"/>
          <w:szCs w:val="32"/>
          <w:lang w:eastAsia="zh-CN"/>
        </w:rPr>
      </w:pPr>
      <w:r>
        <w:rPr>
          <w:rFonts w:hint="eastAsia" w:ascii="仿宋" w:hAnsi="仿宋" w:eastAsia="仿宋" w:cs="仿宋"/>
          <w:spacing w:val="-10"/>
          <w:sz w:val="32"/>
          <w:szCs w:val="32"/>
          <w:lang w:val="en-US" w:eastAsia="zh-CN"/>
        </w:rPr>
        <w:t>附件：永清县发展和改革局等四部门贯彻落实建立健全涉企收费长效监管机制工作措施</w:t>
      </w:r>
    </w:p>
    <w:p w14:paraId="61250E46">
      <w:pPr>
        <w:spacing w:line="584" w:lineRule="exact"/>
        <w:rPr>
          <w:rFonts w:hint="eastAsia" w:ascii="仿宋" w:hAnsi="仿宋" w:eastAsia="仿宋" w:cs="仿宋"/>
          <w:color w:val="000000"/>
          <w:sz w:val="32"/>
          <w:szCs w:val="32"/>
          <w:lang w:eastAsia="zh-CN"/>
        </w:rPr>
      </w:pPr>
    </w:p>
    <w:p w14:paraId="684B8D36">
      <w:pPr>
        <w:spacing w:line="584" w:lineRule="exact"/>
        <w:rPr>
          <w:rFonts w:hint="eastAsia" w:ascii="仿宋_GB2312" w:hAnsi="仿宋_GB2312" w:eastAsia="仿宋_GB2312" w:cs="仿宋_GB2312"/>
          <w:color w:val="000000"/>
          <w:sz w:val="32"/>
          <w:szCs w:val="32"/>
          <w:lang w:eastAsia="zh-CN"/>
        </w:rPr>
      </w:pPr>
    </w:p>
    <w:p w14:paraId="6140DA7E">
      <w:pPr>
        <w:spacing w:line="584" w:lineRule="exact"/>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eastAsia="zh-CN"/>
        </w:rPr>
        <w:t>永清县发展和改革局</w:t>
      </w:r>
      <w:r>
        <w:rPr>
          <w:rFonts w:hint="eastAsia" w:ascii="仿宋" w:hAnsi="仿宋" w:eastAsia="仿宋" w:cs="仿宋"/>
          <w:color w:val="000000"/>
          <w:sz w:val="32"/>
          <w:szCs w:val="32"/>
          <w:lang w:val="en-US" w:eastAsia="zh-CN"/>
        </w:rPr>
        <w:t xml:space="preserve">         永清县科学技术和工业信息化局</w:t>
      </w:r>
    </w:p>
    <w:p w14:paraId="763C45B3">
      <w:pPr>
        <w:spacing w:line="584" w:lineRule="exact"/>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w:t>
      </w:r>
    </w:p>
    <w:p w14:paraId="00E161CE">
      <w:pPr>
        <w:spacing w:line="584" w:lineRule="exact"/>
        <w:rPr>
          <w:rFonts w:hint="eastAsia" w:ascii="仿宋" w:hAnsi="仿宋" w:eastAsia="仿宋" w:cs="仿宋"/>
          <w:color w:val="000000"/>
          <w:sz w:val="32"/>
          <w:szCs w:val="32"/>
          <w:lang w:val="en-US" w:eastAsia="zh-CN"/>
        </w:rPr>
      </w:pPr>
    </w:p>
    <w:p w14:paraId="2726D2E8">
      <w:pPr>
        <w:spacing w:line="250" w:lineRule="auto"/>
        <w:rPr>
          <w:rFonts w:hint="eastAsia" w:ascii="仿宋" w:hAnsi="仿宋" w:eastAsia="仿宋" w:cs="仿宋"/>
          <w:color w:val="000000"/>
          <w:sz w:val="32"/>
          <w:szCs w:val="32"/>
          <w:lang w:val="en-US" w:eastAsia="zh-CN"/>
        </w:rPr>
      </w:pPr>
    </w:p>
    <w:p w14:paraId="54C90DE0">
      <w:pPr>
        <w:spacing w:line="250" w:lineRule="auto"/>
        <w:ind w:firstLine="320" w:firstLineChars="100"/>
        <w:rPr>
          <w:rFonts w:hint="eastAsia" w:ascii="仿宋" w:hAnsi="仿宋" w:eastAsia="仿宋" w:cs="仿宋"/>
          <w:sz w:val="32"/>
          <w:szCs w:val="32"/>
        </w:rPr>
      </w:pPr>
      <w:r>
        <w:rPr>
          <w:rFonts w:hint="eastAsia" w:ascii="仿宋" w:hAnsi="仿宋" w:eastAsia="仿宋" w:cs="仿宋"/>
          <w:color w:val="000000"/>
          <w:sz w:val="32"/>
          <w:szCs w:val="32"/>
          <w:lang w:val="en-US" w:eastAsia="zh-CN"/>
        </w:rPr>
        <w:t>永清县财政局               永清县市场监督管理局</w:t>
      </w:r>
    </w:p>
    <w:p w14:paraId="1390E743">
      <w:pPr>
        <w:spacing w:line="241" w:lineRule="auto"/>
        <w:rPr>
          <w:rFonts w:hint="eastAsia" w:ascii="仿宋_GB2312" w:hAnsi="仿宋_GB2312" w:eastAsia="仿宋_GB2312" w:cs="仿宋_GB2312"/>
          <w:sz w:val="32"/>
          <w:szCs w:val="32"/>
        </w:rPr>
      </w:pPr>
    </w:p>
    <w:p w14:paraId="728B0145">
      <w:pPr>
        <w:spacing w:line="241" w:lineRule="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 w:hAnsi="仿宋" w:eastAsia="仿宋" w:cs="仿宋"/>
          <w:sz w:val="32"/>
          <w:szCs w:val="32"/>
          <w:lang w:val="en-US" w:eastAsia="zh-CN"/>
        </w:rPr>
        <w:t xml:space="preserve"> </w:t>
      </w:r>
      <w:r>
        <w:rPr>
          <w:rFonts w:hint="default" w:ascii="Times New Roman" w:hAnsi="Times New Roman" w:eastAsia="仿宋" w:cs="Times New Roman"/>
          <w:sz w:val="32"/>
          <w:szCs w:val="32"/>
          <w:lang w:val="en-US" w:eastAsia="zh-CN"/>
        </w:rPr>
        <w:t>2025</w:t>
      </w:r>
      <w:r>
        <w:rPr>
          <w:rFonts w:hint="eastAsia" w:ascii="仿宋" w:hAnsi="仿宋" w:eastAsia="仿宋" w:cs="仿宋"/>
          <w:sz w:val="32"/>
          <w:szCs w:val="32"/>
          <w:lang w:val="en-US" w:eastAsia="zh-CN"/>
        </w:rPr>
        <w:t>年</w:t>
      </w:r>
      <w:r>
        <w:rPr>
          <w:rFonts w:hint="default" w:ascii="Times New Roman" w:hAnsi="Times New Roman" w:eastAsia="仿宋" w:cs="Times New Roman"/>
          <w:sz w:val="32"/>
          <w:szCs w:val="32"/>
          <w:lang w:val="en-US" w:eastAsia="zh-CN"/>
        </w:rPr>
        <w:t>10</w:t>
      </w:r>
      <w:r>
        <w:rPr>
          <w:rFonts w:hint="eastAsia" w:ascii="仿宋" w:hAnsi="仿宋" w:eastAsia="仿宋" w:cs="仿宋"/>
          <w:sz w:val="32"/>
          <w:szCs w:val="32"/>
          <w:lang w:val="en-US" w:eastAsia="zh-CN"/>
        </w:rPr>
        <w:t>月</w:t>
      </w:r>
      <w:r>
        <w:rPr>
          <w:rFonts w:hint="default" w:ascii="Times New Roman" w:hAnsi="Times New Roman" w:eastAsia="仿宋" w:cs="Times New Roman"/>
          <w:sz w:val="32"/>
          <w:szCs w:val="32"/>
          <w:lang w:val="en-US" w:eastAsia="zh-CN"/>
        </w:rPr>
        <w:t>15</w:t>
      </w:r>
      <w:r>
        <w:rPr>
          <w:rFonts w:hint="eastAsia" w:ascii="仿宋" w:hAnsi="仿宋" w:eastAsia="仿宋" w:cs="仿宋"/>
          <w:sz w:val="32"/>
          <w:szCs w:val="32"/>
          <w:lang w:val="en-US" w:eastAsia="zh-CN"/>
        </w:rPr>
        <w:t>日</w:t>
      </w:r>
    </w:p>
    <w:p w14:paraId="50AF970A">
      <w:pPr>
        <w:spacing w:line="242" w:lineRule="auto"/>
        <w:rPr>
          <w:rFonts w:ascii="Arial"/>
          <w:sz w:val="21"/>
        </w:rPr>
      </w:pPr>
    </w:p>
    <w:p w14:paraId="55B3036A">
      <w:pPr>
        <w:spacing w:line="242" w:lineRule="auto"/>
        <w:rPr>
          <w:rFonts w:ascii="Arial"/>
          <w:sz w:val="21"/>
        </w:rPr>
      </w:pPr>
    </w:p>
    <w:p w14:paraId="7B485B08">
      <w:pPr>
        <w:spacing w:line="242" w:lineRule="auto"/>
        <w:rPr>
          <w:rFonts w:ascii="Arial"/>
          <w:sz w:val="21"/>
        </w:rPr>
      </w:pPr>
    </w:p>
    <w:p w14:paraId="2FE01254">
      <w:pPr>
        <w:spacing w:line="242" w:lineRule="auto"/>
        <w:rPr>
          <w:rFonts w:ascii="Arial"/>
          <w:sz w:val="21"/>
        </w:rPr>
      </w:pPr>
    </w:p>
    <w:p w14:paraId="70E13409">
      <w:pPr>
        <w:bidi w:val="0"/>
        <w:rPr>
          <w:rFonts w:hint="eastAsia" w:ascii="Arial" w:hAnsi="Arial" w:eastAsia="Arial" w:cs="Arial"/>
          <w:snapToGrid w:val="0"/>
          <w:color w:val="000000"/>
          <w:kern w:val="0"/>
          <w:sz w:val="21"/>
          <w:szCs w:val="21"/>
          <w:lang w:val="en-US" w:eastAsia="zh-CN" w:bidi="ar-SA"/>
        </w:rPr>
      </w:pPr>
    </w:p>
    <w:bookmarkEnd w:id="0"/>
    <w:p w14:paraId="0976001F">
      <w:pPr>
        <w:bidi w:val="0"/>
        <w:jc w:val="left"/>
      </w:pPr>
    </w:p>
    <w:p w14:paraId="0FCD93D2"/>
    <w:p w14:paraId="64836F6E"/>
    <w:p w14:paraId="3968C591"/>
    <w:p w14:paraId="3B2185CB"/>
    <w:p w14:paraId="684D4874"/>
    <w:p w14:paraId="1914DA38">
      <w:pPr>
        <w:rPr>
          <w:rFonts w:hint="eastAsia" w:eastAsia="宋体"/>
          <w:lang w:eastAsia="zh-CN"/>
        </w:rPr>
      </w:pPr>
    </w:p>
    <w:p w14:paraId="04FCC3E1">
      <w:pPr>
        <w:rPr>
          <w:rFonts w:hint="eastAsia" w:eastAsia="宋体"/>
          <w:lang w:eastAsia="zh-CN"/>
        </w:rPr>
      </w:pPr>
    </w:p>
    <w:p w14:paraId="5BF836AF">
      <w:pPr>
        <w:rPr>
          <w:rFonts w:hint="eastAsia" w:eastAsia="宋体"/>
          <w:lang w:eastAsia="zh-CN"/>
        </w:rPr>
      </w:pPr>
    </w:p>
    <w:p w14:paraId="4E503304">
      <w:pPr>
        <w:rPr>
          <w:rFonts w:hint="eastAsia" w:eastAsia="宋体"/>
          <w:lang w:eastAsia="zh-CN"/>
        </w:rPr>
      </w:pPr>
    </w:p>
    <w:p w14:paraId="6AA1C99F">
      <w:pPr>
        <w:rPr>
          <w:rFonts w:hint="eastAsia" w:eastAsia="宋体"/>
          <w:lang w:eastAsia="zh-CN"/>
        </w:rPr>
      </w:pPr>
    </w:p>
    <w:p w14:paraId="378D4B4E">
      <w:pPr>
        <w:rPr>
          <w:rFonts w:hint="eastAsia" w:eastAsia="宋体"/>
          <w:lang w:eastAsia="zh-CN"/>
        </w:rPr>
      </w:pPr>
    </w:p>
    <w:p w14:paraId="080DED33">
      <w:pPr>
        <w:rPr>
          <w:rFonts w:hint="eastAsia" w:eastAsia="宋体"/>
          <w:lang w:eastAsia="zh-CN"/>
        </w:rPr>
      </w:pPr>
    </w:p>
    <w:p w14:paraId="7D9D10AC">
      <w:pPr>
        <w:rPr>
          <w:rFonts w:hint="eastAsia" w:eastAsia="宋体"/>
          <w:lang w:eastAsia="zh-CN"/>
        </w:rPr>
      </w:pPr>
    </w:p>
    <w:p w14:paraId="6C670154">
      <w:pPr>
        <w:rPr>
          <w:rFonts w:hint="eastAsia" w:eastAsia="宋体"/>
          <w:lang w:eastAsia="zh-CN"/>
        </w:rPr>
      </w:pPr>
    </w:p>
    <w:p w14:paraId="25C1FDB6">
      <w:pPr>
        <w:rPr>
          <w:rFonts w:hint="eastAsia" w:eastAsia="宋体"/>
          <w:lang w:eastAsia="zh-CN"/>
        </w:rPr>
      </w:pPr>
    </w:p>
    <w:p w14:paraId="47DC6FB0">
      <w:pPr>
        <w:rPr>
          <w:rFonts w:hint="eastAsia" w:eastAsia="宋体"/>
          <w:lang w:eastAsia="zh-CN"/>
        </w:rPr>
      </w:pPr>
    </w:p>
    <w:p w14:paraId="3EA4B223">
      <w:pPr>
        <w:rPr>
          <w:rFonts w:hint="eastAsia" w:eastAsia="宋体"/>
          <w:lang w:eastAsia="zh-CN"/>
        </w:rPr>
      </w:pPr>
    </w:p>
    <w:p w14:paraId="3CD6EEAD">
      <w:pPr>
        <w:rPr>
          <w:rFonts w:hint="eastAsia" w:eastAsia="宋体"/>
          <w:lang w:eastAsia="zh-CN"/>
        </w:rPr>
      </w:pPr>
    </w:p>
    <w:p w14:paraId="438E1DB9">
      <w:pPr>
        <w:rPr>
          <w:rFonts w:hint="eastAsia" w:eastAsia="宋体"/>
          <w:lang w:eastAsia="zh-CN"/>
        </w:rPr>
      </w:pPr>
    </w:p>
    <w:p w14:paraId="069D2DF2">
      <w:pPr>
        <w:rPr>
          <w:rFonts w:hint="eastAsia" w:eastAsia="宋体"/>
          <w:lang w:eastAsia="zh-CN"/>
        </w:rPr>
      </w:pPr>
    </w:p>
    <w:p w14:paraId="7FB94FE0">
      <w:pPr>
        <w:rPr>
          <w:rFonts w:hint="eastAsia" w:eastAsia="宋体"/>
          <w:lang w:eastAsia="zh-CN"/>
        </w:rPr>
      </w:pPr>
    </w:p>
    <w:p w14:paraId="467C8269">
      <w:pPr>
        <w:rPr>
          <w:rFonts w:hint="eastAsia" w:eastAsia="宋体"/>
          <w:lang w:eastAsia="zh-CN"/>
        </w:rPr>
      </w:pPr>
    </w:p>
    <w:p w14:paraId="187EC8E3">
      <w:r>
        <w:rPr>
          <w:rFonts w:hint="eastAsia" w:ascii="黑体" w:hAnsi="黑体" w:eastAsia="黑体" w:cs="黑体"/>
          <w:sz w:val="32"/>
          <w:szCs w:val="32"/>
          <w:lang w:eastAsia="zh-CN"/>
        </w:rPr>
        <w:t>附件：</w:t>
      </w:r>
    </w:p>
    <w:p w14:paraId="336B0EAF">
      <w:pPr>
        <w:overflowPunct w:val="0"/>
        <w:adjustRightInd w:val="0"/>
        <w:snapToGrid w:val="0"/>
        <w:spacing w:line="584" w:lineRule="exact"/>
        <w:rPr>
          <w:rFonts w:hint="eastAsia" w:ascii="黑体" w:hAnsi="黑体" w:eastAsia="黑体" w:cs="黑体"/>
          <w:sz w:val="44"/>
          <w:szCs w:val="44"/>
          <w:lang w:eastAsia="zh-CN"/>
        </w:rPr>
      </w:pPr>
    </w:p>
    <w:p w14:paraId="69B71582">
      <w:pPr>
        <w:overflowPunct w:val="0"/>
        <w:adjustRightInd w:val="0"/>
        <w:snapToGrid w:val="0"/>
        <w:spacing w:line="584"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永清县</w:t>
      </w:r>
      <w:r>
        <w:rPr>
          <w:rFonts w:hint="eastAsia" w:ascii="方正小标宋简体" w:hAnsi="方正小标宋简体" w:eastAsia="方正小标宋简体" w:cs="方正小标宋简体"/>
          <w:b w:val="0"/>
          <w:bCs w:val="0"/>
          <w:sz w:val="44"/>
          <w:szCs w:val="44"/>
        </w:rPr>
        <w:t>发展和改革</w:t>
      </w:r>
      <w:r>
        <w:rPr>
          <w:rFonts w:hint="eastAsia" w:ascii="方正小标宋简体" w:hAnsi="方正小标宋简体" w:eastAsia="方正小标宋简体" w:cs="方正小标宋简体"/>
          <w:b w:val="0"/>
          <w:bCs w:val="0"/>
          <w:sz w:val="44"/>
          <w:szCs w:val="44"/>
          <w:lang w:eastAsia="zh-CN"/>
        </w:rPr>
        <w:t>局</w:t>
      </w:r>
      <w:r>
        <w:rPr>
          <w:rFonts w:hint="eastAsia" w:ascii="方正小标宋简体" w:hAnsi="方正小标宋简体" w:eastAsia="方正小标宋简体" w:cs="方正小标宋简体"/>
          <w:b w:val="0"/>
          <w:bCs w:val="0"/>
          <w:sz w:val="44"/>
          <w:szCs w:val="44"/>
        </w:rPr>
        <w:t>等四部门</w:t>
      </w:r>
    </w:p>
    <w:p w14:paraId="651F7796">
      <w:pPr>
        <w:overflowPunct w:val="0"/>
        <w:adjustRightInd w:val="0"/>
        <w:snapToGrid w:val="0"/>
        <w:spacing w:line="584"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贯彻落实建立健全涉企收费长效监管机制</w:t>
      </w:r>
    </w:p>
    <w:p w14:paraId="765E8C68">
      <w:pPr>
        <w:overflowPunct w:val="0"/>
        <w:adjustRightInd w:val="0"/>
        <w:snapToGrid w:val="0"/>
        <w:spacing w:line="584" w:lineRule="exact"/>
        <w:jc w:val="cente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rPr>
        <w:t>工作措施</w:t>
      </w:r>
    </w:p>
    <w:p w14:paraId="10C97EC8">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rPr>
          <w:rFonts w:hint="eastAsia" w:ascii="仿宋" w:hAnsi="仿宋" w:eastAsia="仿宋" w:cs="仿宋"/>
          <w:sz w:val="32"/>
          <w:szCs w:val="32"/>
        </w:rPr>
      </w:pPr>
    </w:p>
    <w:p w14:paraId="013824B8">
      <w:pPr>
        <w:keepNext w:val="0"/>
        <w:keepLines w:val="0"/>
        <w:pageBreakBefore w:val="0"/>
        <w:widowControl w:val="0"/>
        <w:kinsoku/>
        <w:wordWrap/>
        <w:overflowPunct w:val="0"/>
        <w:topLinePunct w:val="0"/>
        <w:autoSpaceDE/>
        <w:autoSpaceDN/>
        <w:bidi w:val="0"/>
        <w:adjustRightInd w:val="0"/>
        <w:snapToGrid w:val="0"/>
        <w:spacing w:line="580" w:lineRule="exact"/>
        <w:ind w:firstLine="624" w:firstLineChars="200"/>
        <w:jc w:val="both"/>
        <w:rPr>
          <w:rFonts w:hint="eastAsia" w:ascii="仿宋" w:hAnsi="仿宋" w:eastAsia="仿宋" w:cs="仿宋"/>
          <w:spacing w:val="-4"/>
          <w:sz w:val="32"/>
          <w:szCs w:val="32"/>
        </w:rPr>
      </w:pPr>
      <w:r>
        <w:rPr>
          <w:rFonts w:hint="eastAsia" w:ascii="仿宋" w:hAnsi="仿宋" w:eastAsia="仿宋" w:cs="仿宋"/>
          <w:spacing w:val="-4"/>
          <w:sz w:val="32"/>
          <w:szCs w:val="32"/>
        </w:rPr>
        <w:t>为贯彻落实《国务院办公厅关于建立健全涉企收费长效监管机制的指导意见》（国办函</w:t>
      </w:r>
      <w:r>
        <w:rPr>
          <w:rFonts w:hint="eastAsia" w:ascii="仿宋" w:hAnsi="仿宋" w:eastAsia="仿宋" w:cs="仿宋"/>
          <w:sz w:val="32"/>
          <w:szCs w:val="32"/>
        </w:rPr>
        <w:t>﹝</w:t>
      </w:r>
      <w:r>
        <w:rPr>
          <w:rFonts w:hint="default" w:ascii="Times New Roman" w:hAnsi="Times New Roman" w:eastAsia="仿宋" w:cs="Times New Roman"/>
          <w:sz w:val="32"/>
          <w:szCs w:val="32"/>
        </w:rPr>
        <w:t>20</w:t>
      </w:r>
      <w:r>
        <w:rPr>
          <w:rFonts w:hint="default" w:ascii="Times New Roman" w:hAnsi="Times New Roman" w:eastAsia="仿宋" w:cs="Times New Roman"/>
          <w:sz w:val="32"/>
          <w:szCs w:val="32"/>
          <w:lang w:val="en-US" w:eastAsia="zh-CN"/>
        </w:rPr>
        <w:t>25</w:t>
      </w:r>
      <w:r>
        <w:rPr>
          <w:rFonts w:hint="eastAsia" w:ascii="仿宋" w:hAnsi="仿宋" w:eastAsia="仿宋" w:cs="仿宋"/>
          <w:sz w:val="32"/>
          <w:szCs w:val="32"/>
        </w:rPr>
        <w:t>﹞</w:t>
      </w:r>
      <w:r>
        <w:rPr>
          <w:rFonts w:hint="default" w:ascii="Times New Roman" w:hAnsi="Times New Roman" w:eastAsia="仿宋" w:cs="Times New Roman"/>
          <w:spacing w:val="-4"/>
          <w:sz w:val="32"/>
          <w:szCs w:val="32"/>
        </w:rPr>
        <w:t>30</w:t>
      </w:r>
      <w:r>
        <w:rPr>
          <w:rFonts w:hint="eastAsia" w:ascii="仿宋" w:hAnsi="仿宋" w:eastAsia="仿宋" w:cs="仿宋"/>
          <w:spacing w:val="-4"/>
          <w:sz w:val="32"/>
          <w:szCs w:val="32"/>
        </w:rPr>
        <w:t>号）、《河北省发展和改革委员会等四部门关于河北省建立健全涉企收费长效监管机制有关事项的通知》（冀发改公价</w:t>
      </w:r>
      <w:r>
        <w:rPr>
          <w:rFonts w:hint="eastAsia" w:ascii="仿宋" w:hAnsi="仿宋" w:eastAsia="仿宋" w:cs="仿宋"/>
          <w:sz w:val="32"/>
          <w:szCs w:val="32"/>
        </w:rPr>
        <w:t>﹝</w:t>
      </w:r>
      <w:r>
        <w:rPr>
          <w:rFonts w:hint="default" w:ascii="Times New Roman" w:hAnsi="Times New Roman" w:eastAsia="仿宋" w:cs="Times New Roman"/>
          <w:sz w:val="32"/>
          <w:szCs w:val="32"/>
        </w:rPr>
        <w:t>20</w:t>
      </w:r>
      <w:r>
        <w:rPr>
          <w:rFonts w:hint="default" w:ascii="Times New Roman" w:hAnsi="Times New Roman" w:eastAsia="仿宋" w:cs="Times New Roman"/>
          <w:sz w:val="32"/>
          <w:szCs w:val="32"/>
          <w:lang w:val="en-US" w:eastAsia="zh-CN"/>
        </w:rPr>
        <w:t>25</w:t>
      </w:r>
      <w:r>
        <w:rPr>
          <w:rFonts w:hint="eastAsia" w:ascii="仿宋" w:hAnsi="仿宋" w:eastAsia="仿宋" w:cs="仿宋"/>
          <w:sz w:val="32"/>
          <w:szCs w:val="32"/>
        </w:rPr>
        <w:t>﹞</w:t>
      </w:r>
      <w:r>
        <w:rPr>
          <w:rFonts w:hint="default" w:ascii="Times New Roman" w:hAnsi="Times New Roman" w:eastAsia="仿宋" w:cs="Times New Roman"/>
          <w:spacing w:val="-4"/>
          <w:sz w:val="32"/>
          <w:szCs w:val="32"/>
        </w:rPr>
        <w:t>462</w:t>
      </w:r>
      <w:r>
        <w:rPr>
          <w:rFonts w:hint="eastAsia" w:ascii="仿宋" w:hAnsi="仿宋" w:eastAsia="仿宋" w:cs="仿宋"/>
          <w:spacing w:val="-4"/>
          <w:sz w:val="32"/>
          <w:szCs w:val="32"/>
        </w:rPr>
        <w:t>号）</w:t>
      </w:r>
      <w:r>
        <w:rPr>
          <w:rFonts w:hint="eastAsia" w:ascii="仿宋" w:hAnsi="仿宋" w:eastAsia="仿宋" w:cs="仿宋"/>
          <w:spacing w:val="-4"/>
          <w:sz w:val="32"/>
          <w:szCs w:val="32"/>
          <w:lang w:eastAsia="zh-CN"/>
        </w:rPr>
        <w:t>、</w:t>
      </w:r>
      <w:r>
        <w:rPr>
          <w:rFonts w:hint="eastAsia" w:ascii="仿宋" w:hAnsi="仿宋" w:eastAsia="仿宋" w:cs="仿宋"/>
          <w:spacing w:val="-4"/>
          <w:sz w:val="32"/>
          <w:szCs w:val="32"/>
        </w:rPr>
        <w:t>《</w:t>
      </w:r>
      <w:r>
        <w:rPr>
          <w:rFonts w:hint="eastAsia" w:ascii="仿宋" w:hAnsi="仿宋" w:eastAsia="仿宋" w:cs="仿宋"/>
          <w:spacing w:val="-4"/>
          <w:sz w:val="32"/>
          <w:szCs w:val="32"/>
          <w:lang w:val="en-US" w:eastAsia="zh-CN"/>
        </w:rPr>
        <w:t>廊坊市</w:t>
      </w:r>
      <w:r>
        <w:rPr>
          <w:rFonts w:hint="eastAsia" w:ascii="仿宋" w:hAnsi="仿宋" w:eastAsia="仿宋" w:cs="仿宋"/>
          <w:spacing w:val="-4"/>
          <w:sz w:val="32"/>
          <w:szCs w:val="32"/>
        </w:rPr>
        <w:t>发展和改革委员会等四部门关于</w:t>
      </w:r>
      <w:r>
        <w:rPr>
          <w:rFonts w:hint="eastAsia" w:ascii="仿宋" w:hAnsi="仿宋" w:eastAsia="仿宋" w:cs="仿宋"/>
          <w:spacing w:val="-4"/>
          <w:sz w:val="32"/>
          <w:szCs w:val="32"/>
          <w:lang w:val="en-US" w:eastAsia="zh-CN"/>
        </w:rPr>
        <w:t>印发〈贯彻落实</w:t>
      </w:r>
      <w:r>
        <w:rPr>
          <w:rFonts w:hint="eastAsia" w:ascii="仿宋" w:hAnsi="仿宋" w:eastAsia="仿宋" w:cs="仿宋"/>
          <w:spacing w:val="-4"/>
          <w:sz w:val="32"/>
          <w:szCs w:val="32"/>
        </w:rPr>
        <w:t>建立健全涉企收费长效监管机制</w:t>
      </w:r>
      <w:r>
        <w:rPr>
          <w:rFonts w:hint="eastAsia" w:ascii="仿宋" w:hAnsi="仿宋" w:eastAsia="仿宋" w:cs="仿宋"/>
          <w:spacing w:val="-4"/>
          <w:sz w:val="32"/>
          <w:szCs w:val="32"/>
          <w:lang w:val="en-US" w:eastAsia="zh-CN"/>
        </w:rPr>
        <w:t>工作措施〉</w:t>
      </w:r>
      <w:r>
        <w:rPr>
          <w:rFonts w:hint="eastAsia" w:ascii="仿宋" w:hAnsi="仿宋" w:eastAsia="仿宋" w:cs="仿宋"/>
          <w:spacing w:val="-4"/>
          <w:sz w:val="32"/>
          <w:szCs w:val="32"/>
        </w:rPr>
        <w:t>的通知》（</w:t>
      </w:r>
      <w:r>
        <w:rPr>
          <w:rFonts w:hint="eastAsia" w:ascii="仿宋" w:hAnsi="仿宋" w:eastAsia="仿宋" w:cs="仿宋"/>
          <w:spacing w:val="-4"/>
          <w:sz w:val="32"/>
          <w:szCs w:val="32"/>
          <w:lang w:val="en-US" w:eastAsia="zh-CN"/>
        </w:rPr>
        <w:t>廊</w:t>
      </w:r>
      <w:r>
        <w:rPr>
          <w:rFonts w:hint="eastAsia" w:ascii="仿宋" w:hAnsi="仿宋" w:eastAsia="仿宋" w:cs="仿宋"/>
          <w:spacing w:val="-4"/>
          <w:sz w:val="32"/>
          <w:szCs w:val="32"/>
        </w:rPr>
        <w:t>发改公价</w:t>
      </w:r>
      <w:r>
        <w:rPr>
          <w:rFonts w:hint="eastAsia" w:ascii="仿宋" w:hAnsi="仿宋" w:eastAsia="仿宋" w:cs="仿宋"/>
          <w:sz w:val="32"/>
          <w:szCs w:val="32"/>
        </w:rPr>
        <w:t>﹝</w:t>
      </w:r>
      <w:r>
        <w:rPr>
          <w:rFonts w:hint="default" w:ascii="Times New Roman" w:hAnsi="Times New Roman" w:eastAsia="仿宋" w:cs="Times New Roman"/>
          <w:sz w:val="32"/>
          <w:szCs w:val="32"/>
        </w:rPr>
        <w:t>20</w:t>
      </w:r>
      <w:r>
        <w:rPr>
          <w:rFonts w:hint="default" w:ascii="Times New Roman" w:hAnsi="Times New Roman" w:eastAsia="仿宋" w:cs="Times New Roman"/>
          <w:sz w:val="32"/>
          <w:szCs w:val="32"/>
          <w:lang w:val="en-US" w:eastAsia="zh-CN"/>
        </w:rPr>
        <w:t>25</w:t>
      </w:r>
      <w:r>
        <w:rPr>
          <w:rFonts w:hint="eastAsia" w:ascii="仿宋" w:hAnsi="仿宋" w:eastAsia="仿宋" w:cs="仿宋"/>
          <w:sz w:val="32"/>
          <w:szCs w:val="32"/>
        </w:rPr>
        <w:t>﹞</w:t>
      </w:r>
      <w:r>
        <w:rPr>
          <w:rFonts w:hint="default" w:ascii="Times New Roman" w:hAnsi="Times New Roman" w:eastAsia="仿宋" w:cs="Times New Roman"/>
          <w:spacing w:val="-4"/>
          <w:sz w:val="32"/>
          <w:szCs w:val="32"/>
          <w:lang w:val="en-US" w:eastAsia="zh-CN"/>
        </w:rPr>
        <w:t>285</w:t>
      </w:r>
      <w:r>
        <w:rPr>
          <w:rFonts w:hint="eastAsia" w:ascii="仿宋" w:hAnsi="仿宋" w:eastAsia="仿宋" w:cs="仿宋"/>
          <w:spacing w:val="-4"/>
          <w:sz w:val="32"/>
          <w:szCs w:val="32"/>
        </w:rPr>
        <w:t>号）要求，着力优化营商环境，激发市场活力，</w:t>
      </w:r>
      <w:r>
        <w:rPr>
          <w:rFonts w:hint="eastAsia" w:ascii="仿宋" w:hAnsi="仿宋" w:eastAsia="仿宋" w:cs="仿宋"/>
          <w:spacing w:val="-4"/>
          <w:sz w:val="32"/>
          <w:szCs w:val="32"/>
          <w:lang w:val="en-US" w:eastAsia="zh-CN"/>
        </w:rPr>
        <w:t>现就有关事项通知</w:t>
      </w:r>
      <w:r>
        <w:rPr>
          <w:rFonts w:hint="eastAsia" w:ascii="仿宋" w:hAnsi="仿宋" w:eastAsia="仿宋" w:cs="仿宋"/>
          <w:spacing w:val="-4"/>
          <w:sz w:val="32"/>
          <w:szCs w:val="32"/>
        </w:rPr>
        <w:t>如下。</w:t>
      </w:r>
    </w:p>
    <w:p w14:paraId="3505DFE3">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rPr>
          <w:rFonts w:hint="eastAsia" w:ascii="黑体" w:hAnsi="黑体" w:eastAsia="黑体" w:cs="黑体"/>
          <w:color w:val="000000"/>
          <w:sz w:val="32"/>
          <w:szCs w:val="32"/>
        </w:rPr>
      </w:pPr>
      <w:r>
        <w:rPr>
          <w:rFonts w:hint="eastAsia" w:ascii="黑体" w:hAnsi="黑体" w:eastAsia="黑体" w:cs="黑体"/>
          <w:color w:val="000000"/>
          <w:sz w:val="32"/>
          <w:szCs w:val="32"/>
        </w:rPr>
        <w:t>一、落实涉企收费目录清单管理制度</w:t>
      </w:r>
    </w:p>
    <w:p w14:paraId="20BD2A00">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center"/>
        <w:rPr>
          <w:rFonts w:hint="eastAsia" w:ascii="仿宋" w:hAnsi="仿宋" w:eastAsia="仿宋" w:cs="仿宋"/>
          <w:bCs/>
          <w:color w:val="000000"/>
          <w:sz w:val="32"/>
          <w:szCs w:val="32"/>
        </w:rPr>
      </w:pPr>
      <w:r>
        <w:rPr>
          <w:rFonts w:hint="eastAsia" w:ascii="楷体" w:hAnsi="楷体" w:eastAsia="楷体" w:cs="楷体"/>
          <w:b/>
          <w:bCs/>
          <w:color w:val="000000"/>
          <w:sz w:val="32"/>
          <w:szCs w:val="32"/>
        </w:rPr>
        <w:t>（</w:t>
      </w:r>
      <w:r>
        <w:rPr>
          <w:rFonts w:hint="eastAsia" w:ascii="楷体" w:hAnsi="楷体" w:eastAsia="楷体" w:cs="楷体"/>
          <w:b/>
          <w:bCs/>
          <w:color w:val="000000"/>
          <w:sz w:val="32"/>
          <w:szCs w:val="32"/>
          <w:lang w:val="en-US" w:eastAsia="zh-CN"/>
        </w:rPr>
        <w:t>一</w:t>
      </w:r>
      <w:r>
        <w:rPr>
          <w:rFonts w:hint="eastAsia" w:ascii="楷体" w:hAnsi="楷体" w:eastAsia="楷体" w:cs="楷体"/>
          <w:b/>
          <w:bCs/>
          <w:color w:val="000000"/>
          <w:sz w:val="32"/>
          <w:szCs w:val="32"/>
        </w:rPr>
        <w:t>）</w:t>
      </w:r>
      <w:r>
        <w:rPr>
          <w:rFonts w:hint="eastAsia" w:ascii="楷体" w:hAnsi="楷体" w:eastAsia="楷体" w:cs="楷体"/>
          <w:b/>
          <w:color w:val="000000"/>
          <w:sz w:val="32"/>
          <w:szCs w:val="32"/>
        </w:rPr>
        <w:t>分类分级管理。</w:t>
      </w:r>
      <w:r>
        <w:rPr>
          <w:rFonts w:hint="eastAsia" w:ascii="仿宋" w:hAnsi="仿宋" w:eastAsia="仿宋" w:cs="仿宋"/>
          <w:bCs/>
          <w:color w:val="000000"/>
          <w:sz w:val="32"/>
          <w:szCs w:val="32"/>
        </w:rPr>
        <w:t>涉企收费实行目录清单制度管理，发改部门制定政府定价的经营服务性收费目录清单，财政、</w:t>
      </w:r>
      <w:r>
        <w:rPr>
          <w:rFonts w:hint="eastAsia" w:ascii="仿宋" w:hAnsi="仿宋" w:eastAsia="仿宋" w:cs="仿宋"/>
          <w:bCs/>
          <w:color w:val="000000"/>
          <w:sz w:val="32"/>
          <w:szCs w:val="32"/>
          <w:lang w:val="en-US" w:eastAsia="zh-CN"/>
        </w:rPr>
        <w:t>科</w:t>
      </w:r>
      <w:r>
        <w:rPr>
          <w:rFonts w:hint="eastAsia" w:ascii="仿宋" w:hAnsi="仿宋" w:eastAsia="仿宋" w:cs="仿宋"/>
          <w:bCs/>
          <w:color w:val="000000"/>
          <w:sz w:val="32"/>
          <w:szCs w:val="32"/>
        </w:rPr>
        <w:t>工部门严格执行中央、省级行政事业性收费和政府性基金、涉企保证金目录清单，行业企业制定城镇供水供电供气供暖行业收费目录清单，确保清单之外无收费，并按照规定时限及清单格式及时向社会公开发布。行业主管部门制定本部门及下属单位综合性涉企收费目录清单，涵盖行政事业性收费、政府性基金、涉企保证金、经营服务性收费等收费项目，要明确服务内容、服务标准、收费水平，实现每个部门涉企收费一张清单全覆盖，及时公开发布，清单之外一律不得收费。</w:t>
      </w:r>
    </w:p>
    <w:p w14:paraId="5D396FB2">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center"/>
        <w:rPr>
          <w:rFonts w:hint="eastAsia" w:ascii="仿宋" w:hAnsi="仿宋" w:eastAsia="仿宋" w:cs="仿宋"/>
          <w:bCs/>
          <w:color w:val="000000"/>
          <w:sz w:val="32"/>
          <w:szCs w:val="32"/>
        </w:rPr>
      </w:pPr>
      <w:r>
        <w:rPr>
          <w:rFonts w:hint="eastAsia" w:ascii="楷体" w:hAnsi="楷体" w:eastAsia="楷体" w:cs="楷体"/>
          <w:b/>
          <w:bCs/>
          <w:color w:val="000000"/>
          <w:sz w:val="32"/>
          <w:szCs w:val="32"/>
        </w:rPr>
        <w:t>（二）规范性一致性管理。</w:t>
      </w:r>
      <w:r>
        <w:rPr>
          <w:rFonts w:hint="eastAsia" w:ascii="仿宋" w:hAnsi="仿宋" w:eastAsia="仿宋" w:cs="仿宋"/>
          <w:bCs/>
          <w:color w:val="000000"/>
          <w:sz w:val="32"/>
          <w:szCs w:val="32"/>
        </w:rPr>
        <w:t>涉企收费目录清单要严格按照统一的编制要求、清单格式和公开时限及时向社会公开发布。同步建立动态调整机制，当收费政策发生新增、取消或调整收费项目等变化时，在规定时间内更新目录清单，提高准确性和时效性。发改、财政、</w:t>
      </w:r>
      <w:r>
        <w:rPr>
          <w:rFonts w:hint="eastAsia" w:ascii="仿宋" w:hAnsi="仿宋" w:eastAsia="仿宋" w:cs="仿宋"/>
          <w:bCs/>
          <w:color w:val="000000"/>
          <w:sz w:val="32"/>
          <w:szCs w:val="32"/>
          <w:lang w:eastAsia="zh-CN"/>
        </w:rPr>
        <w:t>科工</w:t>
      </w:r>
      <w:r>
        <w:rPr>
          <w:rFonts w:hint="eastAsia" w:ascii="仿宋" w:hAnsi="仿宋" w:eastAsia="仿宋" w:cs="仿宋"/>
          <w:bCs/>
          <w:color w:val="000000"/>
          <w:sz w:val="32"/>
          <w:szCs w:val="32"/>
        </w:rPr>
        <w:t>、市场监管部门要对涉企收费目录清单编制和执行情况进行抽查检查，并接受社会监督。</w:t>
      </w:r>
    </w:p>
    <w:p w14:paraId="1229B343">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rPr>
          <w:rFonts w:hint="eastAsia" w:ascii="黑体" w:hAnsi="黑体" w:eastAsia="黑体" w:cs="黑体"/>
          <w:color w:val="000000"/>
          <w:sz w:val="32"/>
          <w:szCs w:val="32"/>
        </w:rPr>
      </w:pPr>
      <w:r>
        <w:rPr>
          <w:rFonts w:hint="eastAsia" w:ascii="黑体" w:hAnsi="黑体" w:eastAsia="黑体" w:cs="黑体"/>
          <w:color w:val="000000"/>
          <w:sz w:val="32"/>
          <w:szCs w:val="32"/>
        </w:rPr>
        <w:t>二、落实涉企收费政策评估审核工作机制</w:t>
      </w:r>
    </w:p>
    <w:p w14:paraId="4A2107F5">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center"/>
        <w:rPr>
          <w:rFonts w:hint="eastAsia" w:ascii="仿宋" w:hAnsi="仿宋" w:eastAsia="仿宋" w:cs="仿宋"/>
          <w:color w:val="000000"/>
          <w:sz w:val="32"/>
          <w:szCs w:val="32"/>
        </w:rPr>
      </w:pPr>
      <w:r>
        <w:rPr>
          <w:rFonts w:hint="eastAsia" w:ascii="楷体" w:hAnsi="楷体" w:eastAsia="楷体" w:cs="楷体"/>
          <w:b/>
          <w:bCs/>
          <w:color w:val="000000"/>
          <w:sz w:val="32"/>
          <w:szCs w:val="32"/>
        </w:rPr>
        <w:t>（</w:t>
      </w:r>
      <w:r>
        <w:rPr>
          <w:rFonts w:hint="eastAsia" w:ascii="楷体" w:hAnsi="楷体" w:eastAsia="楷体" w:cs="楷体"/>
          <w:b/>
          <w:bCs/>
          <w:color w:val="000000"/>
          <w:sz w:val="32"/>
          <w:szCs w:val="32"/>
          <w:lang w:val="en-US" w:eastAsia="zh-CN"/>
        </w:rPr>
        <w:t>三</w:t>
      </w:r>
      <w:r>
        <w:rPr>
          <w:rFonts w:hint="eastAsia" w:ascii="楷体" w:hAnsi="楷体" w:eastAsia="楷体" w:cs="楷体"/>
          <w:b/>
          <w:bCs/>
          <w:color w:val="000000"/>
          <w:sz w:val="32"/>
          <w:szCs w:val="32"/>
        </w:rPr>
        <w:t>）清理违规收费政策。</w:t>
      </w:r>
      <w:r>
        <w:rPr>
          <w:rFonts w:hint="eastAsia" w:ascii="仿宋" w:hAnsi="仿宋" w:eastAsia="仿宋" w:cs="仿宋"/>
          <w:color w:val="000000"/>
          <w:sz w:val="32"/>
          <w:szCs w:val="32"/>
        </w:rPr>
        <w:t>市场监管部门配合省</w:t>
      </w:r>
      <w:r>
        <w:rPr>
          <w:rFonts w:hint="eastAsia" w:ascii="仿宋" w:hAnsi="仿宋" w:eastAsia="仿宋" w:cs="仿宋"/>
          <w:color w:val="000000"/>
          <w:sz w:val="32"/>
          <w:szCs w:val="32"/>
          <w:lang w:eastAsia="zh-CN"/>
        </w:rPr>
        <w:t>、市</w:t>
      </w:r>
      <w:r>
        <w:rPr>
          <w:rFonts w:hint="eastAsia" w:ascii="仿宋" w:hAnsi="仿宋" w:eastAsia="仿宋" w:cs="仿宋"/>
          <w:color w:val="000000"/>
          <w:sz w:val="32"/>
          <w:szCs w:val="32"/>
        </w:rPr>
        <w:t>市场监管局推动涉企收费政策评估审核和论证工作指引的实施。</w:t>
      </w:r>
    </w:p>
    <w:p w14:paraId="1D31ED79">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center"/>
        <w:rPr>
          <w:rFonts w:hint="eastAsia" w:ascii="仿宋" w:hAnsi="仿宋" w:eastAsia="仿宋" w:cs="仿宋"/>
          <w:color w:val="000000"/>
          <w:sz w:val="32"/>
          <w:szCs w:val="32"/>
        </w:rPr>
      </w:pPr>
      <w:r>
        <w:rPr>
          <w:rFonts w:hint="eastAsia" w:ascii="楷体" w:hAnsi="楷体" w:eastAsia="楷体" w:cs="楷体"/>
          <w:b/>
          <w:bCs/>
          <w:color w:val="000000"/>
          <w:sz w:val="32"/>
          <w:szCs w:val="32"/>
        </w:rPr>
        <w:t>（</w:t>
      </w:r>
      <w:r>
        <w:rPr>
          <w:rFonts w:hint="eastAsia" w:ascii="楷体" w:hAnsi="楷体" w:eastAsia="楷体" w:cs="楷体"/>
          <w:b/>
          <w:bCs/>
          <w:color w:val="000000"/>
          <w:sz w:val="32"/>
          <w:szCs w:val="32"/>
          <w:lang w:val="en-US" w:eastAsia="zh-CN"/>
        </w:rPr>
        <w:t>四</w:t>
      </w:r>
      <w:r>
        <w:rPr>
          <w:rFonts w:hint="eastAsia" w:ascii="楷体" w:hAnsi="楷体" w:eastAsia="楷体" w:cs="楷体"/>
          <w:b/>
          <w:bCs/>
          <w:color w:val="000000"/>
          <w:sz w:val="32"/>
          <w:szCs w:val="32"/>
        </w:rPr>
        <w:t>）严控新设收费项目。</w:t>
      </w:r>
      <w:r>
        <w:rPr>
          <w:rFonts w:hint="eastAsia" w:ascii="仿宋" w:hAnsi="仿宋" w:eastAsia="仿宋" w:cs="仿宋"/>
          <w:color w:val="000000"/>
          <w:sz w:val="32"/>
          <w:szCs w:val="32"/>
        </w:rPr>
        <w:t>发改、司法行政、市场监管等部门按规定开展宏观政策取向一致性评估、合法性审核、公平竞争审查等工作时，要对标对表党中央、国务院</w:t>
      </w:r>
      <w:r>
        <w:rPr>
          <w:rFonts w:hint="eastAsia" w:ascii="仿宋" w:hAnsi="仿宋" w:eastAsia="仿宋" w:cs="仿宋"/>
          <w:color w:val="000000"/>
          <w:sz w:val="32"/>
          <w:szCs w:val="32"/>
          <w:lang w:eastAsia="zh-CN"/>
        </w:rPr>
        <w:t>和</w:t>
      </w:r>
      <w:r>
        <w:rPr>
          <w:rFonts w:hint="eastAsia" w:ascii="仿宋" w:hAnsi="仿宋" w:eastAsia="仿宋" w:cs="仿宋"/>
          <w:color w:val="000000"/>
          <w:sz w:val="32"/>
          <w:szCs w:val="32"/>
        </w:rPr>
        <w:t>省</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市</w:t>
      </w:r>
      <w:r>
        <w:rPr>
          <w:rFonts w:hint="eastAsia" w:ascii="仿宋" w:hAnsi="仿宋" w:eastAsia="仿宋" w:cs="仿宋"/>
          <w:color w:val="000000"/>
          <w:sz w:val="32"/>
          <w:szCs w:val="32"/>
          <w:lang w:eastAsia="zh-CN"/>
        </w:rPr>
        <w:t>、县</w:t>
      </w:r>
      <w:r>
        <w:rPr>
          <w:rFonts w:hint="eastAsia" w:ascii="仿宋" w:hAnsi="仿宋" w:eastAsia="仿宋" w:cs="仿宋"/>
          <w:color w:val="000000"/>
          <w:sz w:val="32"/>
          <w:szCs w:val="32"/>
        </w:rPr>
        <w:t>关于优化营商环境、减轻企业负担的要求，加强对新出台涉企收费政策合法性、公平性以及社会预期影响等方面的评估审核；组织开展公平竞争审查交叉检查，排查政策措施“应审未审”“带病出台”等问题。行业主管部门及下属单位、行政审批中介服务机构、行业协会商会等要加强涉企收费项目评估论证，严禁违规新设涉企收费项目。</w:t>
      </w:r>
    </w:p>
    <w:p w14:paraId="7184AEA7">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rPr>
          <w:rFonts w:hint="eastAsia" w:ascii="黑体" w:hAnsi="黑体" w:eastAsia="黑体" w:cs="黑体"/>
          <w:color w:val="000000"/>
          <w:sz w:val="32"/>
          <w:szCs w:val="32"/>
        </w:rPr>
      </w:pPr>
      <w:r>
        <w:rPr>
          <w:rFonts w:hint="eastAsia" w:ascii="黑体" w:hAnsi="黑体" w:eastAsia="黑体" w:cs="黑体"/>
          <w:color w:val="000000"/>
          <w:sz w:val="32"/>
          <w:szCs w:val="32"/>
        </w:rPr>
        <w:t>三、落实涉企收费政策常态化宣传解读制度</w:t>
      </w:r>
    </w:p>
    <w:p w14:paraId="4812CACA">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center"/>
        <w:rPr>
          <w:rFonts w:hint="eastAsia" w:ascii="仿宋" w:hAnsi="仿宋" w:eastAsia="仿宋" w:cs="仿宋"/>
          <w:color w:val="000000"/>
          <w:sz w:val="32"/>
          <w:szCs w:val="32"/>
        </w:rPr>
      </w:pPr>
      <w:r>
        <w:rPr>
          <w:rFonts w:hint="eastAsia" w:ascii="楷体" w:hAnsi="楷体" w:eastAsia="楷体" w:cs="楷体"/>
          <w:b/>
          <w:color w:val="000000"/>
          <w:sz w:val="32"/>
          <w:szCs w:val="32"/>
        </w:rPr>
        <w:t>（</w:t>
      </w:r>
      <w:r>
        <w:rPr>
          <w:rFonts w:hint="eastAsia" w:ascii="楷体" w:hAnsi="楷体" w:eastAsia="楷体" w:cs="楷体"/>
          <w:b/>
          <w:color w:val="000000"/>
          <w:sz w:val="32"/>
          <w:szCs w:val="32"/>
          <w:lang w:val="en-US" w:eastAsia="zh-CN"/>
        </w:rPr>
        <w:t>五</w:t>
      </w:r>
      <w:r>
        <w:rPr>
          <w:rFonts w:hint="eastAsia" w:ascii="楷体" w:hAnsi="楷体" w:eastAsia="楷体" w:cs="楷体"/>
          <w:b/>
          <w:color w:val="000000"/>
          <w:sz w:val="32"/>
          <w:szCs w:val="32"/>
        </w:rPr>
        <w:t>）加大宣传解读力度。</w:t>
      </w:r>
      <w:r>
        <w:rPr>
          <w:rFonts w:hint="eastAsia" w:ascii="仿宋" w:hAnsi="仿宋" w:eastAsia="仿宋" w:cs="仿宋"/>
          <w:color w:val="000000"/>
          <w:sz w:val="32"/>
          <w:szCs w:val="32"/>
        </w:rPr>
        <w:t>行业主管部门要常态化发布本领域涉企收费政策，要通过</w:t>
      </w:r>
      <w:r>
        <w:rPr>
          <w:rFonts w:hint="eastAsia" w:ascii="仿宋" w:hAnsi="仿宋" w:eastAsia="仿宋" w:cs="仿宋"/>
          <w:color w:val="000000"/>
          <w:sz w:val="32"/>
          <w:szCs w:val="32"/>
          <w:lang w:val="en-US" w:eastAsia="zh-CN"/>
        </w:rPr>
        <w:t>多种</w:t>
      </w:r>
      <w:r>
        <w:rPr>
          <w:rFonts w:hint="eastAsia" w:ascii="仿宋" w:hAnsi="仿宋" w:eastAsia="仿宋" w:cs="仿宋"/>
          <w:color w:val="000000"/>
          <w:sz w:val="32"/>
          <w:szCs w:val="32"/>
        </w:rPr>
        <w:t>方式加大政策宣传</w:t>
      </w:r>
      <w:r>
        <w:rPr>
          <w:rFonts w:hint="eastAsia" w:ascii="仿宋" w:hAnsi="仿宋" w:eastAsia="仿宋" w:cs="仿宋"/>
          <w:color w:val="000000"/>
          <w:sz w:val="32"/>
          <w:szCs w:val="32"/>
          <w:lang w:val="en-US" w:eastAsia="zh-CN"/>
        </w:rPr>
        <w:t>和</w:t>
      </w:r>
      <w:r>
        <w:rPr>
          <w:rFonts w:hint="eastAsia" w:ascii="仿宋" w:hAnsi="仿宋" w:eastAsia="仿宋" w:cs="仿宋"/>
          <w:color w:val="000000"/>
          <w:sz w:val="32"/>
          <w:szCs w:val="32"/>
        </w:rPr>
        <w:t>培训力度，提升执收人员业务水平，增强服务意识。</w:t>
      </w:r>
      <w:r>
        <w:rPr>
          <w:rFonts w:hint="eastAsia" w:ascii="仿宋" w:hAnsi="仿宋" w:eastAsia="仿宋" w:cs="仿宋"/>
          <w:color w:val="000000"/>
          <w:sz w:val="32"/>
          <w:szCs w:val="32"/>
          <w:lang w:eastAsia="zh-CN"/>
        </w:rPr>
        <w:t>科工</w:t>
      </w:r>
      <w:r>
        <w:rPr>
          <w:rFonts w:hint="eastAsia" w:ascii="仿宋" w:hAnsi="仿宋" w:eastAsia="仿宋" w:cs="仿宋"/>
          <w:color w:val="000000"/>
          <w:sz w:val="32"/>
          <w:szCs w:val="32"/>
        </w:rPr>
        <w:t>部门要充分发挥减轻企业负担职能，精心组织政策宣传周，定期汇编发布减轻企业负担政策。</w:t>
      </w:r>
    </w:p>
    <w:p w14:paraId="31E1BD7F">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center"/>
        <w:rPr>
          <w:rFonts w:hint="eastAsia" w:ascii="仿宋" w:hAnsi="仿宋" w:eastAsia="仿宋" w:cs="仿宋"/>
          <w:bCs/>
          <w:color w:val="000000"/>
          <w:sz w:val="32"/>
          <w:szCs w:val="32"/>
        </w:rPr>
      </w:pPr>
      <w:r>
        <w:rPr>
          <w:rFonts w:hint="eastAsia" w:ascii="楷体" w:hAnsi="楷体" w:eastAsia="楷体" w:cs="楷体"/>
          <w:b/>
          <w:color w:val="000000"/>
          <w:sz w:val="32"/>
          <w:szCs w:val="32"/>
        </w:rPr>
        <w:t>（</w:t>
      </w:r>
      <w:r>
        <w:rPr>
          <w:rFonts w:hint="eastAsia" w:ascii="楷体" w:hAnsi="楷体" w:eastAsia="楷体" w:cs="楷体"/>
          <w:b/>
          <w:color w:val="000000"/>
          <w:sz w:val="32"/>
          <w:szCs w:val="32"/>
          <w:lang w:val="en-US" w:eastAsia="zh-CN"/>
        </w:rPr>
        <w:t>六</w:t>
      </w:r>
      <w:r>
        <w:rPr>
          <w:rFonts w:hint="eastAsia" w:ascii="楷体" w:hAnsi="楷体" w:eastAsia="楷体" w:cs="楷体"/>
          <w:b/>
          <w:color w:val="000000"/>
          <w:sz w:val="32"/>
          <w:szCs w:val="32"/>
        </w:rPr>
        <w:t>）创新宣传解读方式。</w:t>
      </w:r>
      <w:r>
        <w:rPr>
          <w:rFonts w:hint="eastAsia" w:ascii="仿宋" w:hAnsi="仿宋" w:eastAsia="仿宋" w:cs="仿宋"/>
          <w:bCs/>
          <w:color w:val="000000"/>
          <w:sz w:val="32"/>
          <w:szCs w:val="32"/>
        </w:rPr>
        <w:t>数据部门会同有关部门加快公共数据资源共享和开放平台建设。各有关部门要创新运用人工智能、大数据等手段，结合企业办理中介服务等事项，向企业精准推送收费目录指引以及有关解读说明材料，及时解疑释惑。</w:t>
      </w:r>
    </w:p>
    <w:p w14:paraId="7D7EC54C">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rPr>
          <w:rFonts w:hint="eastAsia" w:ascii="黑体" w:hAnsi="黑体" w:eastAsia="黑体" w:cs="黑体"/>
          <w:color w:val="000000"/>
          <w:sz w:val="32"/>
          <w:szCs w:val="32"/>
        </w:rPr>
      </w:pPr>
      <w:r>
        <w:rPr>
          <w:rFonts w:hint="eastAsia" w:ascii="黑体" w:hAnsi="黑体" w:eastAsia="黑体" w:cs="黑体"/>
          <w:color w:val="000000"/>
          <w:sz w:val="32"/>
          <w:szCs w:val="32"/>
        </w:rPr>
        <w:t>四、落实涉企收费跟踪监测制度</w:t>
      </w:r>
    </w:p>
    <w:p w14:paraId="38C04323">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center"/>
        <w:rPr>
          <w:rFonts w:hint="eastAsia" w:ascii="仿宋" w:hAnsi="仿宋" w:eastAsia="仿宋" w:cs="仿宋"/>
          <w:color w:val="000000"/>
          <w:sz w:val="32"/>
          <w:szCs w:val="32"/>
        </w:rPr>
      </w:pPr>
      <w:r>
        <w:rPr>
          <w:rFonts w:hint="eastAsia" w:ascii="楷体" w:hAnsi="楷体" w:eastAsia="楷体" w:cs="楷体"/>
          <w:b/>
          <w:color w:val="000000"/>
          <w:sz w:val="32"/>
          <w:szCs w:val="32"/>
        </w:rPr>
        <w:t>（</w:t>
      </w:r>
      <w:r>
        <w:rPr>
          <w:rFonts w:hint="eastAsia" w:ascii="楷体" w:hAnsi="楷体" w:eastAsia="楷体" w:cs="楷体"/>
          <w:b/>
          <w:color w:val="000000"/>
          <w:sz w:val="32"/>
          <w:szCs w:val="32"/>
          <w:lang w:val="en-US" w:eastAsia="zh-CN"/>
        </w:rPr>
        <w:t>七</w:t>
      </w:r>
      <w:r>
        <w:rPr>
          <w:rFonts w:hint="eastAsia" w:ascii="楷体" w:hAnsi="楷体" w:eastAsia="楷体" w:cs="楷体"/>
          <w:b/>
          <w:color w:val="000000"/>
          <w:sz w:val="32"/>
          <w:szCs w:val="32"/>
        </w:rPr>
        <w:t>）加强日常监测。</w:t>
      </w:r>
      <w:r>
        <w:rPr>
          <w:rFonts w:hint="eastAsia" w:ascii="仿宋" w:hAnsi="仿宋" w:eastAsia="仿宋" w:cs="仿宋"/>
          <w:color w:val="000000"/>
          <w:sz w:val="32"/>
          <w:szCs w:val="32"/>
        </w:rPr>
        <w:t>各有关部门要通过召开经营主体座谈会等方式，加强对本领域涉企收费情况的监测，发挥新闻媒体、行业协会商会等作用，及时了解涉企收费政策执行情况和企业意见建议，推动解决企业关切的问题。</w:t>
      </w:r>
    </w:p>
    <w:p w14:paraId="62D4A0D9">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center"/>
        <w:rPr>
          <w:rFonts w:hint="eastAsia" w:ascii="仿宋" w:hAnsi="仿宋" w:eastAsia="仿宋" w:cs="仿宋"/>
          <w:color w:val="000000"/>
          <w:sz w:val="32"/>
          <w:szCs w:val="32"/>
        </w:rPr>
      </w:pPr>
      <w:r>
        <w:rPr>
          <w:rFonts w:hint="eastAsia" w:ascii="楷体" w:hAnsi="楷体" w:eastAsia="楷体" w:cs="楷体"/>
          <w:b/>
          <w:color w:val="000000"/>
          <w:sz w:val="32"/>
          <w:szCs w:val="32"/>
        </w:rPr>
        <w:t>（</w:t>
      </w:r>
      <w:r>
        <w:rPr>
          <w:rFonts w:hint="eastAsia" w:ascii="楷体" w:hAnsi="楷体" w:eastAsia="楷体" w:cs="楷体"/>
          <w:b/>
          <w:color w:val="000000"/>
          <w:sz w:val="32"/>
          <w:szCs w:val="32"/>
          <w:lang w:val="en-US" w:eastAsia="zh-CN"/>
        </w:rPr>
        <w:t>八</w:t>
      </w:r>
      <w:r>
        <w:rPr>
          <w:rFonts w:hint="eastAsia" w:ascii="楷体" w:hAnsi="楷体" w:eastAsia="楷体" w:cs="楷体"/>
          <w:b/>
          <w:color w:val="000000"/>
          <w:sz w:val="32"/>
          <w:szCs w:val="32"/>
        </w:rPr>
        <w:t>）完善制度方法。</w:t>
      </w:r>
      <w:r>
        <w:rPr>
          <w:rFonts w:hint="eastAsia" w:ascii="仿宋" w:hAnsi="仿宋" w:eastAsia="仿宋" w:cs="仿宋"/>
          <w:color w:val="000000"/>
          <w:sz w:val="32"/>
          <w:szCs w:val="32"/>
          <w:lang w:eastAsia="zh-CN"/>
        </w:rPr>
        <w:t>科工</w:t>
      </w:r>
      <w:r>
        <w:rPr>
          <w:rFonts w:hint="eastAsia" w:ascii="仿宋" w:hAnsi="仿宋" w:eastAsia="仿宋" w:cs="仿宋"/>
          <w:color w:val="000000"/>
          <w:sz w:val="32"/>
          <w:szCs w:val="32"/>
        </w:rPr>
        <w:t>部门要健全完善重点企业运行监测统计调查制度，持续发布企业负担调查评估报告。市场监管等部门根据工作情况可以通过选取企业或个体工商户等建立涉企收费监测点。财政部门要加强行政事业性收费、政府性基金等非税收入监测预警，及时分析研判，必要时向相关部门推送预警信息，促进部门规范收费管理。发展改革部门要探索对实行市场调节价的经营服务性收费，通过开展价格、成本调查等方式，引导有关涉企收费主体合理合规收费。</w:t>
      </w:r>
    </w:p>
    <w:p w14:paraId="1BEB4FAA">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rPr>
          <w:rFonts w:hint="eastAsia" w:ascii="黑体" w:hAnsi="黑体" w:eastAsia="黑体" w:cs="黑体"/>
          <w:color w:val="000000"/>
          <w:sz w:val="32"/>
          <w:szCs w:val="32"/>
        </w:rPr>
      </w:pPr>
      <w:r>
        <w:rPr>
          <w:rFonts w:hint="eastAsia" w:ascii="黑体" w:hAnsi="黑体" w:eastAsia="黑体" w:cs="黑体"/>
          <w:color w:val="000000"/>
          <w:sz w:val="32"/>
          <w:szCs w:val="32"/>
        </w:rPr>
        <w:t>五、落实涉企收费问题线索收集和处理机制</w:t>
      </w:r>
    </w:p>
    <w:p w14:paraId="1E02D0F8">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rPr>
          <w:rFonts w:hint="eastAsia" w:ascii="仿宋" w:hAnsi="仿宋" w:eastAsia="仿宋" w:cs="仿宋"/>
          <w:color w:val="000000"/>
          <w:sz w:val="32"/>
          <w:szCs w:val="32"/>
        </w:rPr>
      </w:pPr>
      <w:r>
        <w:rPr>
          <w:rFonts w:hint="eastAsia" w:ascii="楷体" w:hAnsi="楷体" w:eastAsia="楷体" w:cs="楷体"/>
          <w:b/>
          <w:color w:val="000000"/>
          <w:sz w:val="32"/>
          <w:szCs w:val="32"/>
        </w:rPr>
        <w:t>（</w:t>
      </w:r>
      <w:r>
        <w:rPr>
          <w:rFonts w:hint="eastAsia" w:ascii="楷体" w:hAnsi="楷体" w:eastAsia="楷体" w:cs="楷体"/>
          <w:b/>
          <w:color w:val="000000"/>
          <w:sz w:val="32"/>
          <w:szCs w:val="32"/>
          <w:lang w:val="en-US" w:eastAsia="zh-CN"/>
        </w:rPr>
        <w:t>九</w:t>
      </w:r>
      <w:r>
        <w:rPr>
          <w:rFonts w:hint="eastAsia" w:ascii="楷体" w:hAnsi="楷体" w:eastAsia="楷体" w:cs="楷体"/>
          <w:b/>
          <w:color w:val="000000"/>
          <w:sz w:val="32"/>
          <w:szCs w:val="32"/>
        </w:rPr>
        <w:t>）健全问题线索收集机制。</w:t>
      </w:r>
      <w:r>
        <w:rPr>
          <w:rFonts w:hint="eastAsia" w:ascii="仿宋" w:hAnsi="仿宋" w:eastAsia="仿宋" w:cs="仿宋"/>
          <w:color w:val="000000"/>
          <w:sz w:val="32"/>
          <w:szCs w:val="32"/>
        </w:rPr>
        <w:t>各有关部门要通过公开投诉举报电话等方式，常态化收集涉企违规收费问题线索和意见建议，健全涉企违规收费投诉举报问题线索处理规定，细化完善登记、受理、转办、处理、反馈等各环节流程和要求。</w:t>
      </w:r>
    </w:p>
    <w:p w14:paraId="54DCC56B">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center"/>
        <w:rPr>
          <w:rFonts w:hint="eastAsia" w:ascii="仿宋" w:hAnsi="仿宋" w:eastAsia="仿宋" w:cs="仿宋"/>
          <w:color w:val="000000"/>
          <w:sz w:val="32"/>
          <w:szCs w:val="32"/>
        </w:rPr>
      </w:pPr>
      <w:r>
        <w:rPr>
          <w:rFonts w:hint="eastAsia" w:ascii="楷体" w:hAnsi="楷体" w:eastAsia="楷体" w:cs="楷体"/>
          <w:b/>
          <w:color w:val="000000"/>
          <w:sz w:val="32"/>
          <w:szCs w:val="32"/>
        </w:rPr>
        <w:t>（</w:t>
      </w:r>
      <w:r>
        <w:rPr>
          <w:rFonts w:hint="eastAsia" w:ascii="楷体" w:hAnsi="楷体" w:eastAsia="楷体" w:cs="楷体"/>
          <w:b/>
          <w:color w:val="000000"/>
          <w:sz w:val="32"/>
          <w:szCs w:val="32"/>
          <w:lang w:val="en-US" w:eastAsia="zh-CN"/>
        </w:rPr>
        <w:t>十</w:t>
      </w:r>
      <w:r>
        <w:rPr>
          <w:rFonts w:hint="eastAsia" w:ascii="楷体" w:hAnsi="楷体" w:eastAsia="楷体" w:cs="楷体"/>
          <w:b/>
          <w:color w:val="000000"/>
          <w:sz w:val="32"/>
          <w:szCs w:val="32"/>
        </w:rPr>
        <w:t>）健全问题线索处理机制。</w:t>
      </w:r>
      <w:r>
        <w:rPr>
          <w:rFonts w:hint="eastAsia" w:ascii="仿宋" w:hAnsi="仿宋" w:eastAsia="仿宋" w:cs="仿宋"/>
          <w:color w:val="000000"/>
          <w:sz w:val="32"/>
          <w:szCs w:val="32"/>
        </w:rPr>
        <w:t>市场监管部门要聚焦重点领域强化涉企收费监督检查，结合工作实际，可以会同有关部门开展涉企违规收费专项治理，加强对违规收费行为查处，依法曝光涉企违规收费典型案例，对群众反映强烈、危害性大、具有代表性的典型案例，要多部门联合曝光。财政、民政部门会同有关部门定期开展行政事业性收费、政府性基金政策落实情况和行业协会商会收费情况监督检查。各行业主管部门定期开展本行业收费情况自查自纠，按照“谁审批、谁监管，谁主管、谁监管”原则，严格落实涉企收费监管责任。</w:t>
      </w:r>
      <w:r>
        <w:rPr>
          <w:rFonts w:hint="eastAsia" w:ascii="仿宋" w:hAnsi="仿宋" w:eastAsia="仿宋" w:cs="仿宋"/>
          <w:color w:val="000000"/>
          <w:sz w:val="32"/>
          <w:szCs w:val="32"/>
          <w:lang w:eastAsia="zh-CN"/>
        </w:rPr>
        <w:t>科工</w:t>
      </w:r>
      <w:r>
        <w:rPr>
          <w:rFonts w:hint="eastAsia" w:ascii="仿宋" w:hAnsi="仿宋" w:eastAsia="仿宋" w:cs="仿宋"/>
          <w:color w:val="000000"/>
          <w:sz w:val="32"/>
          <w:szCs w:val="32"/>
        </w:rPr>
        <w:t>部门会同有关部门按规定督促整改发现的涉企违规收费问题。各有关部门要综合利用市场监管、行业监管、信用监管等手段，依法加大对违规收费主体的惩戒力度，重大违法违纪问题线索依法按程序移交纪检监察和司法机关。</w:t>
      </w:r>
    </w:p>
    <w:p w14:paraId="41DD9E29">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rPr>
          <w:rFonts w:hint="eastAsia" w:ascii="黑体" w:hAnsi="黑体" w:eastAsia="黑体" w:cs="黑体"/>
          <w:color w:val="000000"/>
          <w:sz w:val="32"/>
          <w:szCs w:val="32"/>
        </w:rPr>
      </w:pPr>
      <w:r>
        <w:rPr>
          <w:rFonts w:hint="eastAsia" w:ascii="黑体" w:hAnsi="黑体" w:eastAsia="黑体" w:cs="黑体"/>
          <w:color w:val="000000"/>
          <w:sz w:val="32"/>
          <w:szCs w:val="32"/>
        </w:rPr>
        <w:t>六、加强相关领域收费规范</w:t>
      </w:r>
    </w:p>
    <w:p w14:paraId="4B432201">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center"/>
        <w:rPr>
          <w:rFonts w:hint="eastAsia" w:ascii="仿宋" w:hAnsi="仿宋" w:eastAsia="仿宋" w:cs="仿宋"/>
          <w:color w:val="000000"/>
          <w:sz w:val="32"/>
          <w:szCs w:val="32"/>
        </w:rPr>
      </w:pPr>
      <w:r>
        <w:rPr>
          <w:rFonts w:hint="eastAsia" w:ascii="楷体" w:hAnsi="楷体" w:eastAsia="楷体" w:cs="楷体"/>
          <w:b/>
          <w:color w:val="000000"/>
          <w:sz w:val="32"/>
          <w:szCs w:val="32"/>
        </w:rPr>
        <w:t>（</w:t>
      </w:r>
      <w:r>
        <w:rPr>
          <w:rFonts w:hint="eastAsia" w:ascii="楷体" w:hAnsi="楷体" w:eastAsia="楷体" w:cs="楷体"/>
          <w:b/>
          <w:color w:val="000000"/>
          <w:sz w:val="32"/>
          <w:szCs w:val="32"/>
          <w:lang w:val="en-US" w:eastAsia="zh-CN"/>
        </w:rPr>
        <w:t>十</w:t>
      </w:r>
      <w:r>
        <w:rPr>
          <w:rFonts w:hint="eastAsia" w:ascii="楷体" w:hAnsi="楷体" w:eastAsia="楷体" w:cs="楷体"/>
          <w:b/>
          <w:color w:val="000000"/>
          <w:sz w:val="32"/>
          <w:szCs w:val="32"/>
        </w:rPr>
        <w:t>一）规范中介服务事项。</w:t>
      </w:r>
      <w:r>
        <w:rPr>
          <w:rFonts w:hint="eastAsia" w:ascii="仿宋" w:hAnsi="仿宋" w:eastAsia="仿宋" w:cs="仿宋"/>
          <w:color w:val="000000"/>
          <w:sz w:val="32"/>
          <w:szCs w:val="32"/>
        </w:rPr>
        <w:t>行政审批部门会同有关部门要对照新修订的《河北省政务服务领域中介服务事项清单》调整规范我</w:t>
      </w:r>
      <w:r>
        <w:rPr>
          <w:rFonts w:hint="eastAsia" w:ascii="仿宋" w:hAnsi="仿宋" w:eastAsia="仿宋" w:cs="仿宋"/>
          <w:color w:val="000000"/>
          <w:sz w:val="32"/>
          <w:szCs w:val="32"/>
          <w:lang w:eastAsia="zh-CN"/>
        </w:rPr>
        <w:t>县</w:t>
      </w:r>
      <w:r>
        <w:rPr>
          <w:rFonts w:hint="eastAsia" w:ascii="仿宋" w:hAnsi="仿宋" w:eastAsia="仿宋" w:cs="仿宋"/>
          <w:color w:val="000000"/>
          <w:sz w:val="32"/>
          <w:szCs w:val="32"/>
        </w:rPr>
        <w:t>的政务服务领域中介服务事项清单，及时动态调整并对外公布，不得违规新增中介服务事项</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 xml:space="preserve">凡未纳入清单的中介服务事项，一律不得要求申请人提供相关中介服务材料作为政务服务的受理条件，由各有关部门委托相关专家、机构开展的技术性服务事项，一律不得要求申请人承担费用；不得将政务服务事项转为中介服务事项，属于政府管理职责的委托服务事项，相关费用由行政审批管理部门支付，不得转嫁给企业。各有关部门要进一步清理没有法律法规或国务院决定依据的中介服务事项，清理对中介服务的不合理市场准入限制，支持和培育更多经营主体进入市场，促进公平竞争。  </w:t>
      </w:r>
    </w:p>
    <w:p w14:paraId="6F3A4DBF">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center"/>
        <w:rPr>
          <w:rFonts w:hint="eastAsia" w:ascii="仿宋" w:hAnsi="仿宋" w:eastAsia="仿宋" w:cs="仿宋"/>
          <w:color w:val="000000"/>
          <w:sz w:val="32"/>
          <w:szCs w:val="32"/>
        </w:rPr>
      </w:pPr>
      <w:r>
        <w:rPr>
          <w:rFonts w:hint="eastAsia" w:ascii="楷体" w:hAnsi="楷体" w:eastAsia="楷体" w:cs="楷体"/>
          <w:b/>
          <w:color w:val="000000"/>
          <w:sz w:val="32"/>
          <w:szCs w:val="32"/>
        </w:rPr>
        <w:t>（</w:t>
      </w:r>
      <w:r>
        <w:rPr>
          <w:rFonts w:hint="eastAsia" w:ascii="楷体" w:hAnsi="楷体" w:eastAsia="楷体" w:cs="楷体"/>
          <w:b/>
          <w:color w:val="000000"/>
          <w:sz w:val="32"/>
          <w:szCs w:val="32"/>
          <w:lang w:val="en-US" w:eastAsia="zh-CN"/>
        </w:rPr>
        <w:t>十二</w:t>
      </w:r>
      <w:r>
        <w:rPr>
          <w:rFonts w:hint="eastAsia" w:ascii="楷体" w:hAnsi="楷体" w:eastAsia="楷体" w:cs="楷体"/>
          <w:b/>
          <w:color w:val="000000"/>
          <w:sz w:val="32"/>
          <w:szCs w:val="32"/>
        </w:rPr>
        <w:t>）规范其他领域收费。</w:t>
      </w:r>
      <w:r>
        <w:rPr>
          <w:rFonts w:hint="eastAsia" w:ascii="仿宋" w:hAnsi="仿宋" w:eastAsia="仿宋" w:cs="仿宋"/>
          <w:color w:val="000000"/>
          <w:sz w:val="32"/>
          <w:szCs w:val="32"/>
        </w:rPr>
        <w:t>民政部门要配合有关部门，持续深化行业协会商会改革，推动健全综合监管体系，规范行业协会商会收费行为。发展改革等部门要持续规范城镇供水、供电、供气、供暖行业收费，进一步清理取消不合理收费项目，</w:t>
      </w:r>
      <w:r>
        <w:rPr>
          <w:rFonts w:hint="eastAsia" w:ascii="仿宋" w:hAnsi="仿宋" w:eastAsia="仿宋" w:cs="仿宋"/>
          <w:color w:val="000000"/>
          <w:sz w:val="32"/>
          <w:szCs w:val="32"/>
          <w:lang w:val="en-US" w:eastAsia="zh-CN"/>
        </w:rPr>
        <w:t>积极</w:t>
      </w:r>
      <w:r>
        <w:rPr>
          <w:rFonts w:hint="eastAsia" w:ascii="仿宋" w:hAnsi="仿宋" w:eastAsia="仿宋" w:cs="仿宋"/>
          <w:color w:val="000000"/>
          <w:sz w:val="32"/>
          <w:szCs w:val="32"/>
        </w:rPr>
        <w:t>配合有关部门推动竞争性环节市场化改革。</w:t>
      </w:r>
    </w:p>
    <w:p w14:paraId="73ECDBED">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rPr>
          <w:rFonts w:hint="eastAsia" w:ascii="黑体" w:hAnsi="黑体" w:eastAsia="黑体" w:cs="黑体"/>
          <w:color w:val="000000"/>
          <w:sz w:val="32"/>
          <w:szCs w:val="32"/>
        </w:rPr>
      </w:pPr>
      <w:r>
        <w:rPr>
          <w:rFonts w:hint="eastAsia" w:ascii="黑体" w:hAnsi="黑体" w:eastAsia="黑体" w:cs="黑体"/>
          <w:color w:val="000000"/>
          <w:sz w:val="32"/>
          <w:szCs w:val="32"/>
        </w:rPr>
        <w:t>七、健全相关规章制度</w:t>
      </w:r>
    </w:p>
    <w:p w14:paraId="7D2C8F3B">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center"/>
        <w:rPr>
          <w:rFonts w:hint="eastAsia" w:ascii="仿宋" w:hAnsi="仿宋" w:eastAsia="仿宋" w:cs="仿宋"/>
          <w:color w:val="000000"/>
          <w:sz w:val="32"/>
          <w:szCs w:val="32"/>
        </w:rPr>
      </w:pPr>
      <w:r>
        <w:rPr>
          <w:rFonts w:hint="eastAsia" w:ascii="楷体" w:hAnsi="楷体" w:eastAsia="楷体" w:cs="楷体"/>
          <w:b/>
          <w:color w:val="000000"/>
          <w:sz w:val="32"/>
          <w:szCs w:val="32"/>
        </w:rPr>
        <w:t>（</w:t>
      </w:r>
      <w:r>
        <w:rPr>
          <w:rFonts w:hint="eastAsia" w:ascii="楷体" w:hAnsi="楷体" w:eastAsia="楷体" w:cs="楷体"/>
          <w:b/>
          <w:color w:val="000000"/>
          <w:sz w:val="32"/>
          <w:szCs w:val="32"/>
          <w:lang w:val="en-US" w:eastAsia="zh-CN"/>
        </w:rPr>
        <w:t>十三</w:t>
      </w:r>
      <w:r>
        <w:rPr>
          <w:rFonts w:hint="eastAsia" w:ascii="楷体" w:hAnsi="楷体" w:eastAsia="楷体" w:cs="楷体"/>
          <w:b/>
          <w:color w:val="000000"/>
          <w:sz w:val="32"/>
          <w:szCs w:val="32"/>
        </w:rPr>
        <w:t>）健全收费监管制度。</w:t>
      </w:r>
      <w:r>
        <w:rPr>
          <w:rFonts w:hint="eastAsia" w:ascii="仿宋" w:hAnsi="仿宋" w:eastAsia="仿宋" w:cs="仿宋"/>
          <w:color w:val="000000"/>
          <w:sz w:val="32"/>
          <w:szCs w:val="32"/>
        </w:rPr>
        <w:t>各有关部门要根据涉企收费监管工作需要，加快推动相关规章制度的制定修订工作，依法加强对行政审批中介服务机构、行业协会商会、经营自然垄断环节业务的企业等收费行为的监管。发展改革部门会同有关部门落实省重点领域行政事业性收费、政府定价的经营服务性收费管理办法。市场监管部门落实涉企收费违法行为处理办法及相关指南等。民政部门督促指导</w:t>
      </w:r>
      <w:r>
        <w:rPr>
          <w:rFonts w:hint="eastAsia" w:ascii="仿宋" w:hAnsi="仿宋" w:eastAsia="仿宋" w:cs="仿宋"/>
          <w:color w:val="000000"/>
          <w:sz w:val="32"/>
          <w:szCs w:val="32"/>
          <w:lang w:eastAsia="zh-CN"/>
        </w:rPr>
        <w:t>县域</w:t>
      </w:r>
      <w:r>
        <w:rPr>
          <w:rFonts w:hint="eastAsia" w:ascii="仿宋" w:hAnsi="仿宋" w:eastAsia="仿宋" w:cs="仿宋"/>
          <w:color w:val="000000"/>
          <w:sz w:val="32"/>
          <w:szCs w:val="32"/>
        </w:rPr>
        <w:t>行业协会商会严格执行社会团体会费管理等制度。</w:t>
      </w:r>
    </w:p>
    <w:p w14:paraId="4CD552BB">
      <w:pPr>
        <w:keepNext w:val="0"/>
        <w:keepLines w:val="0"/>
        <w:pageBreakBefore w:val="0"/>
        <w:widowControl w:val="0"/>
        <w:kinsoku/>
        <w:wordWrap/>
        <w:overflowPunct w:val="0"/>
        <w:topLinePunct w:val="0"/>
        <w:autoSpaceDE/>
        <w:autoSpaceDN/>
        <w:bidi w:val="0"/>
        <w:adjustRightInd w:val="0"/>
        <w:snapToGrid w:val="0"/>
        <w:spacing w:line="580" w:lineRule="exact"/>
        <w:ind w:firstLine="643" w:firstLineChars="200"/>
        <w:jc w:val="both"/>
        <w:textAlignment w:val="center"/>
        <w:rPr>
          <w:rFonts w:hint="eastAsia" w:ascii="仿宋" w:hAnsi="仿宋" w:eastAsia="仿宋" w:cs="仿宋"/>
          <w:color w:val="000000"/>
          <w:spacing w:val="6"/>
          <w:sz w:val="32"/>
          <w:szCs w:val="32"/>
        </w:rPr>
      </w:pPr>
      <w:r>
        <w:rPr>
          <w:rFonts w:hint="eastAsia" w:ascii="楷体" w:hAnsi="楷体" w:eastAsia="楷体" w:cs="楷体"/>
          <w:b/>
          <w:color w:val="000000"/>
          <w:sz w:val="32"/>
          <w:szCs w:val="32"/>
        </w:rPr>
        <w:t>（</w:t>
      </w:r>
      <w:r>
        <w:rPr>
          <w:rFonts w:hint="eastAsia" w:ascii="楷体" w:hAnsi="楷体" w:eastAsia="楷体" w:cs="楷体"/>
          <w:b/>
          <w:color w:val="000000"/>
          <w:sz w:val="32"/>
          <w:szCs w:val="32"/>
          <w:lang w:val="en-US" w:eastAsia="zh-CN"/>
        </w:rPr>
        <w:t>十四</w:t>
      </w:r>
      <w:r>
        <w:rPr>
          <w:rFonts w:hint="eastAsia" w:ascii="楷体" w:hAnsi="楷体" w:eastAsia="楷体" w:cs="楷体"/>
          <w:b/>
          <w:color w:val="000000"/>
          <w:sz w:val="32"/>
          <w:szCs w:val="32"/>
        </w:rPr>
        <w:t>）健全会商研判制度。</w:t>
      </w:r>
      <w:r>
        <w:rPr>
          <w:rFonts w:hint="eastAsia" w:ascii="仿宋" w:hAnsi="仿宋" w:eastAsia="仿宋" w:cs="仿宋"/>
          <w:bCs/>
          <w:color w:val="000000"/>
          <w:spacing w:val="6"/>
          <w:sz w:val="32"/>
          <w:szCs w:val="32"/>
        </w:rPr>
        <w:t>发改、财政、</w:t>
      </w:r>
      <w:r>
        <w:rPr>
          <w:rFonts w:hint="eastAsia" w:ascii="仿宋" w:hAnsi="仿宋" w:eastAsia="仿宋" w:cs="仿宋"/>
          <w:bCs/>
          <w:color w:val="000000"/>
          <w:spacing w:val="6"/>
          <w:sz w:val="32"/>
          <w:szCs w:val="32"/>
          <w:lang w:eastAsia="zh-CN"/>
        </w:rPr>
        <w:t>科工</w:t>
      </w:r>
      <w:r>
        <w:rPr>
          <w:rFonts w:hint="eastAsia" w:ascii="仿宋" w:hAnsi="仿宋" w:eastAsia="仿宋" w:cs="仿宋"/>
          <w:bCs/>
          <w:color w:val="000000"/>
          <w:spacing w:val="6"/>
          <w:sz w:val="32"/>
          <w:szCs w:val="32"/>
        </w:rPr>
        <w:t>、市场监管部门</w:t>
      </w:r>
      <w:r>
        <w:rPr>
          <w:rFonts w:hint="eastAsia" w:ascii="仿宋" w:hAnsi="仿宋" w:eastAsia="仿宋" w:cs="仿宋"/>
          <w:color w:val="000000"/>
          <w:spacing w:val="6"/>
          <w:sz w:val="32"/>
          <w:szCs w:val="32"/>
        </w:rPr>
        <w:t>要依托降低实体经济企业成本、减轻企业负担等有关工作机制，会同相关部门定期会商，及时分析研判涉企收费形势，推动解决有关重大问题，强化涉企收费政策</w:t>
      </w:r>
      <w:r>
        <w:rPr>
          <w:rFonts w:hint="eastAsia" w:ascii="仿宋" w:hAnsi="仿宋" w:eastAsia="仿宋" w:cs="仿宋"/>
          <w:color w:val="000000"/>
          <w:spacing w:val="6"/>
          <w:sz w:val="32"/>
          <w:szCs w:val="32"/>
          <w:lang w:val="en-US" w:eastAsia="zh-CN"/>
        </w:rPr>
        <w:t>落实</w:t>
      </w:r>
      <w:r>
        <w:rPr>
          <w:rFonts w:hint="eastAsia" w:ascii="仿宋" w:hAnsi="仿宋" w:eastAsia="仿宋" w:cs="仿宋"/>
          <w:color w:val="000000"/>
          <w:spacing w:val="6"/>
          <w:sz w:val="32"/>
          <w:szCs w:val="32"/>
        </w:rPr>
        <w:t>和监督检查工作协同。</w:t>
      </w:r>
    </w:p>
    <w:p w14:paraId="6DEDB8BA">
      <w:pPr>
        <w:keepNext w:val="0"/>
        <w:keepLines w:val="0"/>
        <w:pageBreakBefore w:val="0"/>
        <w:widowControl w:val="0"/>
        <w:kinsoku/>
        <w:wordWrap/>
        <w:overflowPunct w:val="0"/>
        <w:topLinePunct w:val="0"/>
        <w:autoSpaceDE/>
        <w:autoSpaceDN/>
        <w:bidi w:val="0"/>
        <w:adjustRightInd w:val="0"/>
        <w:snapToGrid w:val="0"/>
        <w:spacing w:line="580" w:lineRule="exact"/>
        <w:ind w:firstLine="640" w:firstLineChars="200"/>
        <w:jc w:val="both"/>
        <w:textAlignment w:val="center"/>
        <w:rPr>
          <w:rFonts w:hint="eastAsia" w:ascii="仿宋" w:hAnsi="仿宋" w:eastAsia="仿宋" w:cs="仿宋"/>
          <w:sz w:val="32"/>
          <w:szCs w:val="32"/>
          <w:lang w:val="en-US" w:eastAsia="zh-CN"/>
        </w:rPr>
      </w:pPr>
      <w:r>
        <w:rPr>
          <w:rFonts w:hint="eastAsia" w:ascii="仿宋" w:hAnsi="仿宋" w:eastAsia="仿宋" w:cs="仿宋"/>
          <w:color w:val="000000"/>
          <w:sz w:val="32"/>
          <w:szCs w:val="32"/>
        </w:rPr>
        <w:t>各有关部门</w:t>
      </w:r>
      <w:r>
        <w:rPr>
          <w:rFonts w:hint="eastAsia" w:ascii="仿宋" w:hAnsi="仿宋" w:eastAsia="仿宋" w:cs="仿宋"/>
          <w:sz w:val="32"/>
          <w:szCs w:val="32"/>
        </w:rPr>
        <w:t>要</w:t>
      </w:r>
      <w:r>
        <w:rPr>
          <w:rFonts w:hint="eastAsia" w:ascii="仿宋" w:hAnsi="仿宋" w:eastAsia="仿宋" w:cs="仿宋"/>
          <w:sz w:val="32"/>
          <w:szCs w:val="32"/>
          <w:lang w:val="en-US" w:eastAsia="zh-CN"/>
        </w:rPr>
        <w:t>严格按照</w:t>
      </w:r>
      <w:r>
        <w:rPr>
          <w:rFonts w:hint="eastAsia" w:ascii="仿宋" w:hAnsi="仿宋" w:eastAsia="仿宋" w:cs="仿宋"/>
          <w:sz w:val="32"/>
          <w:szCs w:val="32"/>
        </w:rPr>
        <w:t>职责分工</w:t>
      </w:r>
      <w:r>
        <w:rPr>
          <w:rFonts w:hint="eastAsia" w:ascii="仿宋" w:hAnsi="仿宋" w:eastAsia="仿宋" w:cs="仿宋"/>
          <w:sz w:val="32"/>
          <w:szCs w:val="32"/>
          <w:lang w:eastAsia="zh-CN"/>
        </w:rPr>
        <w:t>，</w:t>
      </w:r>
      <w:r>
        <w:rPr>
          <w:rFonts w:hint="eastAsia" w:ascii="仿宋" w:hAnsi="仿宋" w:eastAsia="仿宋" w:cs="仿宋"/>
          <w:sz w:val="32"/>
          <w:szCs w:val="32"/>
        </w:rPr>
        <w:t>认真抓好</w:t>
      </w:r>
      <w:r>
        <w:rPr>
          <w:rFonts w:hint="eastAsia" w:ascii="仿宋" w:hAnsi="仿宋" w:eastAsia="仿宋" w:cs="仿宋"/>
          <w:sz w:val="32"/>
          <w:szCs w:val="32"/>
          <w:lang w:val="en-US" w:eastAsia="zh-CN"/>
        </w:rPr>
        <w:t>涉企收费长效监管机制的贯彻</w:t>
      </w:r>
      <w:r>
        <w:rPr>
          <w:rFonts w:hint="eastAsia" w:ascii="仿宋" w:hAnsi="仿宋" w:eastAsia="仿宋" w:cs="仿宋"/>
          <w:sz w:val="32"/>
          <w:szCs w:val="32"/>
        </w:rPr>
        <w:t>落实，并于每年</w:t>
      </w:r>
      <w:r>
        <w:rPr>
          <w:rFonts w:hint="default" w:ascii="Times New Roman" w:hAnsi="Times New Roman" w:eastAsia="仿宋" w:cs="Times New Roman"/>
          <w:sz w:val="32"/>
          <w:szCs w:val="32"/>
        </w:rPr>
        <w:t>11</w:t>
      </w:r>
      <w:r>
        <w:rPr>
          <w:rFonts w:hint="eastAsia" w:ascii="仿宋" w:hAnsi="仿宋" w:eastAsia="仿宋" w:cs="仿宋"/>
          <w:sz w:val="32"/>
          <w:szCs w:val="32"/>
        </w:rPr>
        <w:t>月</w:t>
      </w:r>
      <w:r>
        <w:rPr>
          <w:rFonts w:hint="default" w:ascii="Times New Roman" w:hAnsi="Times New Roman" w:eastAsia="仿宋" w:cs="Times New Roman"/>
          <w:sz w:val="32"/>
          <w:szCs w:val="32"/>
          <w:lang w:eastAsia="zh-CN"/>
        </w:rPr>
        <w:t>1</w:t>
      </w:r>
      <w:r>
        <w:rPr>
          <w:rFonts w:hint="default" w:ascii="Times New Roman" w:hAnsi="Times New Roman" w:eastAsia="仿宋" w:cs="Times New Roman"/>
          <w:sz w:val="32"/>
          <w:szCs w:val="32"/>
        </w:rPr>
        <w:t>0</w:t>
      </w:r>
      <w:r>
        <w:rPr>
          <w:rFonts w:hint="eastAsia" w:ascii="仿宋" w:hAnsi="仿宋" w:eastAsia="仿宋" w:cs="仿宋"/>
          <w:sz w:val="32"/>
          <w:szCs w:val="32"/>
        </w:rPr>
        <w:t>日前将工作进展、主要成效、存在问题和下步工作安排分别报送</w:t>
      </w:r>
      <w:r>
        <w:rPr>
          <w:rFonts w:hint="eastAsia" w:ascii="仿宋" w:hAnsi="仿宋" w:eastAsia="仿宋" w:cs="仿宋"/>
          <w:sz w:val="32"/>
          <w:szCs w:val="32"/>
          <w:lang w:eastAsia="zh-CN"/>
        </w:rPr>
        <w:t>县</w:t>
      </w:r>
      <w:r>
        <w:rPr>
          <w:rFonts w:hint="eastAsia" w:ascii="仿宋" w:hAnsi="仿宋" w:eastAsia="仿宋" w:cs="仿宋"/>
          <w:sz w:val="32"/>
          <w:szCs w:val="32"/>
        </w:rPr>
        <w:t>发改、财政、</w:t>
      </w:r>
      <w:r>
        <w:rPr>
          <w:rFonts w:hint="eastAsia" w:ascii="仿宋" w:hAnsi="仿宋" w:eastAsia="仿宋" w:cs="仿宋"/>
          <w:sz w:val="32"/>
          <w:szCs w:val="32"/>
          <w:lang w:eastAsia="zh-CN"/>
        </w:rPr>
        <w:t>科工</w:t>
      </w:r>
      <w:r>
        <w:rPr>
          <w:rFonts w:hint="eastAsia" w:ascii="仿宋" w:hAnsi="仿宋" w:eastAsia="仿宋" w:cs="仿宋"/>
          <w:sz w:val="32"/>
          <w:szCs w:val="32"/>
        </w:rPr>
        <w:t>、市场监管</w:t>
      </w:r>
      <w:r>
        <w:rPr>
          <w:rFonts w:hint="eastAsia" w:ascii="仿宋" w:hAnsi="仿宋" w:eastAsia="仿宋" w:cs="仿宋"/>
          <w:sz w:val="32"/>
          <w:szCs w:val="32"/>
          <w:lang w:val="en-US" w:eastAsia="zh-CN"/>
        </w:rPr>
        <w:t>部门。同时，要及时梳理总结涉企收费监管举措及成效、减轻企业负担等方面的典型经验，切实加大推广和宣传，营造全社会良好氛围。</w:t>
      </w:r>
    </w:p>
    <w:p w14:paraId="5BC90C17">
      <w:pPr>
        <w:keepNext w:val="0"/>
        <w:keepLines w:val="0"/>
        <w:pageBreakBefore w:val="0"/>
        <w:widowControl w:val="0"/>
        <w:kinsoku/>
        <w:wordWrap/>
        <w:overflowPunct w:val="0"/>
        <w:topLinePunct w:val="0"/>
        <w:autoSpaceDE/>
        <w:autoSpaceDN/>
        <w:bidi w:val="0"/>
        <w:adjustRightInd w:val="0"/>
        <w:snapToGrid w:val="0"/>
        <w:spacing w:line="584" w:lineRule="exact"/>
        <w:rPr>
          <w:rFonts w:hint="eastAsia" w:ascii="仿宋" w:hAnsi="仿宋" w:eastAsia="仿宋" w:cs="仿宋"/>
          <w:bCs/>
          <w:sz w:val="32"/>
          <w:szCs w:val="32"/>
        </w:rPr>
      </w:pPr>
    </w:p>
    <w:p w14:paraId="0EF0D16E">
      <w:pPr>
        <w:overflowPunct w:val="0"/>
        <w:adjustRightInd w:val="0"/>
        <w:snapToGrid w:val="0"/>
        <w:spacing w:line="584" w:lineRule="exact"/>
        <w:rPr>
          <w:rFonts w:eastAsia="仿宋_GB2312"/>
          <w:bCs/>
          <w:sz w:val="28"/>
          <w:szCs w:val="28"/>
        </w:rPr>
      </w:pPr>
    </w:p>
    <w:p w14:paraId="327EEBE8">
      <w:pPr>
        <w:overflowPunct w:val="0"/>
        <w:adjustRightInd w:val="0"/>
        <w:snapToGrid w:val="0"/>
        <w:spacing w:line="584" w:lineRule="exact"/>
        <w:rPr>
          <w:rFonts w:eastAsia="仿宋_GB2312"/>
          <w:bCs/>
          <w:sz w:val="28"/>
          <w:szCs w:val="28"/>
        </w:rPr>
      </w:pPr>
    </w:p>
    <w:p w14:paraId="77012EA6">
      <w:pPr>
        <w:overflowPunct w:val="0"/>
        <w:adjustRightInd w:val="0"/>
        <w:snapToGrid w:val="0"/>
        <w:spacing w:line="584" w:lineRule="exact"/>
        <w:rPr>
          <w:rFonts w:eastAsia="仿宋_GB2312"/>
          <w:bCs/>
          <w:sz w:val="28"/>
          <w:szCs w:val="28"/>
        </w:rPr>
      </w:pPr>
    </w:p>
    <w:p w14:paraId="5A3C9C29">
      <w:pPr>
        <w:overflowPunct w:val="0"/>
        <w:adjustRightInd w:val="0"/>
        <w:snapToGrid w:val="0"/>
        <w:spacing w:line="584" w:lineRule="exact"/>
        <w:rPr>
          <w:rFonts w:eastAsia="仿宋_GB2312"/>
          <w:bCs/>
          <w:sz w:val="28"/>
          <w:szCs w:val="28"/>
        </w:rPr>
      </w:pPr>
    </w:p>
    <w:p w14:paraId="3B00EC6C">
      <w:pPr>
        <w:overflowPunct w:val="0"/>
        <w:adjustRightInd w:val="0"/>
        <w:snapToGrid w:val="0"/>
        <w:spacing w:line="584" w:lineRule="exact"/>
        <w:rPr>
          <w:rFonts w:eastAsia="仿宋_GB2312"/>
          <w:bCs/>
          <w:sz w:val="28"/>
          <w:szCs w:val="28"/>
        </w:rPr>
      </w:pPr>
    </w:p>
    <w:p w14:paraId="0AA01745">
      <w:pPr>
        <w:overflowPunct w:val="0"/>
        <w:adjustRightInd w:val="0"/>
        <w:snapToGrid w:val="0"/>
        <w:spacing w:line="584" w:lineRule="exact"/>
        <w:rPr>
          <w:rFonts w:eastAsia="仿宋_GB2312"/>
          <w:bCs/>
          <w:sz w:val="28"/>
          <w:szCs w:val="28"/>
        </w:rPr>
      </w:pPr>
    </w:p>
    <w:p w14:paraId="221F546F">
      <w:pPr>
        <w:overflowPunct w:val="0"/>
        <w:adjustRightInd w:val="0"/>
        <w:snapToGrid w:val="0"/>
        <w:spacing w:line="584" w:lineRule="exact"/>
        <w:rPr>
          <w:rFonts w:eastAsia="仿宋_GB2312"/>
          <w:bCs/>
          <w:sz w:val="28"/>
          <w:szCs w:val="28"/>
        </w:rPr>
      </w:pPr>
    </w:p>
    <w:p w14:paraId="44CA8999">
      <w:pPr>
        <w:overflowPunct w:val="0"/>
        <w:adjustRightInd w:val="0"/>
        <w:snapToGrid w:val="0"/>
        <w:spacing w:line="584" w:lineRule="exact"/>
        <w:ind w:firstLine="280" w:firstLineChars="100"/>
        <w:rPr>
          <w:rFonts w:hint="eastAsia" w:ascii="宋体" w:hAnsi="宋体" w:eastAsia="宋体" w:cs="宋体"/>
          <w:bCs/>
          <w:sz w:val="28"/>
          <w:szCs w:val="28"/>
          <w:lang w:eastAsia="zh-CN"/>
        </w:rPr>
      </w:pPr>
      <w:r>
        <w:rPr>
          <w:rFonts w:hint="eastAsia" w:ascii="宋体" w:hAnsi="宋体" w:eastAsia="宋体" w:cs="宋体"/>
          <w:bCs/>
          <w:sz w:val="28"/>
          <w:szCs w:val="28"/>
          <w:lang w:eastAsia="zh-CN"/>
        </w:rPr>
        <w:t>信息属性：</w:t>
      </w:r>
      <w:r>
        <w:rPr>
          <w:rFonts w:hint="eastAsia" w:ascii="宋体" w:hAnsi="宋体" w:eastAsia="宋体" w:cs="宋体"/>
          <w:b/>
          <w:bCs w:val="0"/>
          <w:sz w:val="28"/>
          <w:szCs w:val="28"/>
          <w:lang w:eastAsia="zh-CN"/>
        </w:rPr>
        <w:t>主动公开</w:t>
      </w:r>
    </w:p>
    <w:p w14:paraId="1522F176">
      <w:pPr>
        <w:overflowPunct w:val="0"/>
        <w:adjustRightInd w:val="0"/>
        <w:snapToGrid w:val="0"/>
        <w:spacing w:line="584" w:lineRule="exact"/>
        <w:ind w:left="210" w:leftChars="100" w:right="210" w:rightChars="100"/>
      </w:pPr>
      <w:r>
        <w:rPr>
          <w:rFonts w:hint="eastAsia" w:ascii="仿宋" w:hAnsi="仿宋" w:eastAsia="仿宋" w:cs="仿宋"/>
          <w:color w:val="000000"/>
          <w:sz w:val="28"/>
          <w:szCs w:val="28"/>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391160</wp:posOffset>
                </wp:positionV>
                <wp:extent cx="5615940" cy="0"/>
                <wp:effectExtent l="0" t="6350" r="0" b="6350"/>
                <wp:wrapNone/>
                <wp:docPr id="5" name="直接箭头连接符 5"/>
                <wp:cNvGraphicFramePr/>
                <a:graphic xmlns:a="http://schemas.openxmlformats.org/drawingml/2006/main">
                  <a:graphicData uri="http://schemas.microsoft.com/office/word/2010/wordprocessingShape">
                    <wps:wsp>
                      <wps:cNvCnPr/>
                      <wps:spPr>
                        <a:xfrm>
                          <a:off x="0" y="0"/>
                          <a:ext cx="5615940" cy="0"/>
                        </a:xfrm>
                        <a:prstGeom prst="straightConnector1">
                          <a:avLst/>
                        </a:prstGeom>
                        <a:ln w="12700"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top:30.8pt;height:0pt;width:442.2pt;mso-position-horizontal:center;z-index:251660288;mso-width-relative:page;mso-height-relative:page;" o:connectortype="straight" filled="f" stroked="t" coordsize="21600,21600" o:gfxdata="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WdCXk1AAAAAYBAAAPAAAAAAAAAAEAIAAAACIAAABkcnMvZG93bnJl&#10;di54bWxQSwECFAAUAAAACACHTuJAdSRR2wECAAD7AwAADgAAAAAAAAABACAAAAAjAQAAZHJzL2Uy&#10;b0RvYy54bWxQSwUGAAAAAAYABgBZAQAAlgUAAAAA&#10;">
                <v:fill on="f" focussize="0,0"/>
                <v:stroke weight="1pt" color="#000000" joinstyle="round"/>
                <v:imagedata o:title=""/>
                <o:lock v:ext="edit" aspectratio="f"/>
              </v:shape>
            </w:pict>
          </mc:Fallback>
        </mc:AlternateContent>
      </w:r>
      <w:r>
        <w:rPr>
          <w:rFonts w:hint="eastAsia" w:ascii="仿宋" w:hAnsi="仿宋" w:eastAsia="仿宋" w:cs="仿宋"/>
          <w:color w:val="000000"/>
          <w:sz w:val="28"/>
          <w:szCs w:val="28"/>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10160</wp:posOffset>
                </wp:positionV>
                <wp:extent cx="5615940" cy="0"/>
                <wp:effectExtent l="0" t="6350" r="0" b="6350"/>
                <wp:wrapNone/>
                <wp:docPr id="4" name="直接箭头连接符 4"/>
                <wp:cNvGraphicFramePr/>
                <a:graphic xmlns:a="http://schemas.openxmlformats.org/drawingml/2006/main">
                  <a:graphicData uri="http://schemas.microsoft.com/office/word/2010/wordprocessingShape">
                    <wps:wsp>
                      <wps:cNvCnPr/>
                      <wps:spPr>
                        <a:xfrm>
                          <a:off x="0" y="0"/>
                          <a:ext cx="5615940" cy="0"/>
                        </a:xfrm>
                        <a:prstGeom prst="straightConnector1">
                          <a:avLst/>
                        </a:prstGeom>
                        <a:ln w="12700"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0.05pt;margin-top:0.8pt;height:0pt;width:442.2pt;z-index:251659264;mso-width-relative:page;mso-height-relative:page;" o:connectortype="straight" filled="f" stroked="t" coordsize="21600,21600" o:gfxdata="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qmtJNIAAAAEAQAADwAAAAAAAAABACAAAAAiAAAAZHJzL2Rvd25yZXYu&#10;eG1sUEsBAhQAFAAAAAgAh07iQGe2/6MBAgAA+wMAAA4AAAAAAAAAAQAgAAAAIQEAAGRycy9lMm9E&#10;b2MueG1sUEsFBgAAAAAGAAYAWQEAAJQFAAAAAA==&#10;">
                <v:fill on="f" focussize="0,0"/>
                <v:stroke weight="1pt" color="#000000" joinstyle="round"/>
                <v:imagedata o:title=""/>
                <o:lock v:ext="edit" aspectratio="f"/>
              </v:shape>
            </w:pict>
          </mc:Fallback>
        </mc:AlternateContent>
      </w:r>
      <w:r>
        <w:rPr>
          <w:rFonts w:hint="eastAsia" w:ascii="仿宋" w:hAnsi="仿宋" w:eastAsia="仿宋" w:cs="仿宋"/>
          <w:color w:val="000000"/>
          <w:sz w:val="28"/>
          <w:szCs w:val="28"/>
          <w:lang w:eastAsia="zh-CN"/>
        </w:rPr>
        <w:t>永清县</w:t>
      </w:r>
      <w:r>
        <w:rPr>
          <w:rFonts w:hint="eastAsia" w:ascii="仿宋" w:hAnsi="仿宋" w:eastAsia="仿宋" w:cs="仿宋"/>
          <w:color w:val="000000"/>
          <w:sz w:val="28"/>
          <w:szCs w:val="28"/>
        </w:rPr>
        <w:t>发展和改革</w:t>
      </w:r>
      <w:r>
        <w:rPr>
          <w:rFonts w:hint="eastAsia" w:ascii="仿宋" w:hAnsi="仿宋" w:eastAsia="仿宋" w:cs="仿宋"/>
          <w:color w:val="000000"/>
          <w:sz w:val="28"/>
          <w:szCs w:val="28"/>
          <w:lang w:eastAsia="zh-CN"/>
        </w:rPr>
        <w:t>局办公室印发</w:t>
      </w:r>
      <w:r>
        <w:rPr>
          <w:rFonts w:eastAsia="仿宋_GB2312"/>
          <w:color w:val="000000"/>
          <w:sz w:val="28"/>
          <w:szCs w:val="28"/>
        </w:rPr>
        <w:t xml:space="preserve">     </w:t>
      </w:r>
      <w:r>
        <w:rPr>
          <w:rFonts w:hint="eastAsia" w:eastAsia="仿宋_GB2312"/>
          <w:color w:val="000000"/>
          <w:sz w:val="28"/>
          <w:szCs w:val="28"/>
          <w:lang w:val="en-US" w:eastAsia="zh-CN"/>
        </w:rPr>
        <w:t xml:space="preserve">     </w:t>
      </w:r>
      <w:r>
        <w:rPr>
          <w:rFonts w:eastAsia="仿宋_GB2312"/>
          <w:color w:val="000000"/>
          <w:sz w:val="28"/>
          <w:szCs w:val="28"/>
        </w:rPr>
        <w:t xml:space="preserve"> </w:t>
      </w:r>
      <w:r>
        <w:rPr>
          <w:rFonts w:hint="default" w:ascii="Times New Roman" w:hAnsi="Times New Roman" w:eastAsia="仿宋_GB2312" w:cs="Times New Roman"/>
          <w:color w:val="000000"/>
          <w:sz w:val="28"/>
          <w:szCs w:val="28"/>
        </w:rPr>
        <w:t xml:space="preserve"> 2025</w:t>
      </w:r>
      <w:r>
        <w:rPr>
          <w:rFonts w:hint="eastAsia" w:ascii="仿宋" w:hAnsi="仿宋" w:eastAsia="仿宋" w:cs="仿宋"/>
          <w:color w:val="000000"/>
          <w:sz w:val="28"/>
          <w:szCs w:val="28"/>
        </w:rPr>
        <w:t>年</w:t>
      </w:r>
      <w:r>
        <w:rPr>
          <w:rFonts w:hint="default" w:ascii="Times New Roman" w:hAnsi="Times New Roman" w:eastAsia="仿宋_GB2312" w:cs="Times New Roman"/>
          <w:color w:val="000000"/>
          <w:sz w:val="28"/>
          <w:szCs w:val="28"/>
          <w:lang w:val="en-US" w:eastAsia="zh-CN"/>
        </w:rPr>
        <w:t>10</w:t>
      </w:r>
      <w:r>
        <w:rPr>
          <w:rFonts w:hint="eastAsia" w:ascii="仿宋" w:hAnsi="仿宋" w:eastAsia="仿宋" w:cs="仿宋"/>
          <w:color w:val="000000"/>
          <w:sz w:val="28"/>
          <w:szCs w:val="28"/>
        </w:rPr>
        <w:t>月</w:t>
      </w:r>
      <w:bookmarkStart w:id="2" w:name="_GoBack"/>
      <w:r>
        <w:rPr>
          <w:rFonts w:hint="default" w:ascii="Times New Roman" w:hAnsi="Times New Roman" w:eastAsia="仿宋_GB2312" w:cs="Times New Roman"/>
          <w:color w:val="000000"/>
          <w:sz w:val="28"/>
          <w:szCs w:val="28"/>
          <w:lang w:val="en-US" w:eastAsia="zh-CN"/>
        </w:rPr>
        <w:t>15</w:t>
      </w:r>
      <w:bookmarkEnd w:id="2"/>
      <w:r>
        <w:rPr>
          <w:rFonts w:hint="eastAsia" w:ascii="仿宋" w:hAnsi="仿宋" w:eastAsia="仿宋" w:cs="仿宋"/>
          <w:color w:val="000000"/>
          <w:sz w:val="28"/>
          <w:szCs w:val="28"/>
        </w:rPr>
        <w:t>日印发</w:t>
      </w:r>
    </w:p>
    <w:p w14:paraId="12836EE4"/>
    <w:p w14:paraId="11FF74E6">
      <w:pPr>
        <w:rPr>
          <w:rFonts w:hint="eastAsia" w:eastAsia="宋体"/>
          <w:lang w:eastAsia="zh-CN"/>
        </w:rPr>
      </w:pPr>
    </w:p>
    <w:sectPr>
      <w:footerReference r:id="rId5" w:type="default"/>
      <w:pgSz w:w="11910" w:h="16850"/>
      <w:pgMar w:top="2098" w:right="1474" w:bottom="1984" w:left="1587" w:header="0" w:footer="1135" w:gutter="0"/>
      <w:pgBorders>
        <w:top w:val="none" w:sz="0" w:space="0"/>
        <w:left w:val="none" w:sz="0" w:space="0"/>
        <w:bottom w:val="none" w:sz="0" w:space="0"/>
        <w:right w:val="none" w:sz="0" w:space="0"/>
      </w:pgBorders>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7F192137-7730-4E6C-8227-8A31439D08A9}"/>
  </w:font>
  <w:font w:name="黑体">
    <w:panose1 w:val="02010609060101010101"/>
    <w:charset w:val="86"/>
    <w:family w:val="auto"/>
    <w:pitch w:val="default"/>
    <w:sig w:usb0="800002BF" w:usb1="38CF7CFA" w:usb2="00000016" w:usb3="00000000" w:csb0="00040001" w:csb1="00000000"/>
    <w:embedRegular r:id="rId2" w:fontKey="{20158154-BE80-4E4D-8BEC-0976D4AD1A5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10AAC5A0-37F6-4CC8-86AB-6EBC5326C190}"/>
  </w:font>
  <w:font w:name="方正仿宋_GB2312">
    <w:panose1 w:val="02000000000000000000"/>
    <w:charset w:val="86"/>
    <w:family w:val="auto"/>
    <w:pitch w:val="default"/>
    <w:sig w:usb0="A00002BF" w:usb1="184F6CFA" w:usb2="00000012" w:usb3="00000000" w:csb0="00040001" w:csb1="00000000"/>
    <w:embedRegular r:id="rId4" w:fontKey="{329810D1-8279-4D48-81A1-5F265534640F}"/>
  </w:font>
  <w:font w:name="仿宋">
    <w:panose1 w:val="02010609060101010101"/>
    <w:charset w:val="86"/>
    <w:family w:val="auto"/>
    <w:pitch w:val="default"/>
    <w:sig w:usb0="800002BF" w:usb1="38CF7CFA" w:usb2="00000016" w:usb3="00000000" w:csb0="00040001" w:csb1="00000000"/>
    <w:embedRegular r:id="rId5" w:fontKey="{B9ABB166-8E9E-4AB7-8E7D-86933FCEDFD6}"/>
  </w:font>
  <w:font w:name="仿宋_GB2312">
    <w:panose1 w:val="02010609030101010101"/>
    <w:charset w:val="86"/>
    <w:family w:val="modern"/>
    <w:pitch w:val="default"/>
    <w:sig w:usb0="00000001" w:usb1="080E0000" w:usb2="00000000" w:usb3="00000000" w:csb0="00040000" w:csb1="00000000"/>
    <w:embedRegular r:id="rId6" w:fontKey="{FCD787F3-5EB0-4698-93F2-8423E3BDCFC9}"/>
  </w:font>
  <w:font w:name="方正小标宋简体">
    <w:panose1 w:val="02010600010101010101"/>
    <w:charset w:val="86"/>
    <w:family w:val="script"/>
    <w:pitch w:val="default"/>
    <w:sig w:usb0="00000001" w:usb1="080E0000" w:usb2="00000000" w:usb3="00000000" w:csb0="00040000" w:csb1="00000000"/>
    <w:embedRegular r:id="rId7" w:fontKey="{7EE3CF71-63EC-4A80-82E2-7D3C85FF5CBB}"/>
  </w:font>
  <w:font w:name="楷体">
    <w:panose1 w:val="02010609060101010101"/>
    <w:charset w:val="86"/>
    <w:family w:val="auto"/>
    <w:pitch w:val="default"/>
    <w:sig w:usb0="800002BF" w:usb1="38CF7CFA" w:usb2="00000016" w:usb3="00000000" w:csb0="00040001" w:csb1="00000000"/>
    <w:embedRegular r:id="rId8" w:fontKey="{18CC2AE8-222B-4C54-A977-36DE061DB04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1AC33B">
    <w:pPr>
      <w:pStyle w:val="2"/>
      <w:spacing w:before="1" w:line="233" w:lineRule="auto"/>
      <w:ind w:left="119"/>
      <w:rPr>
        <w:sz w:val="33"/>
        <w:szCs w:val="33"/>
      </w:rPr>
    </w:pPr>
    <w:r>
      <w:rPr>
        <w:sz w:val="33"/>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D8CDE5">
                          <w:pPr>
                            <w:pStyle w:val="3"/>
                          </w:pPr>
                          <w:r>
                            <w:t>—</w:t>
                          </w:r>
                          <w:r>
                            <w:rPr>
                              <w:sz w:val="24"/>
                              <w:szCs w:val="24"/>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w:t>
                          </w:r>
                          <w:r>
                            <w:rPr>
                              <w:rFonts w:hint="default" w:ascii="Times New Roman" w:hAnsi="Times New Roman" w:cs="Times New Roman"/>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6ED8CDE5">
                    <w:pPr>
                      <w:pStyle w:val="3"/>
                    </w:pPr>
                    <w:r>
                      <w:t>—</w:t>
                    </w:r>
                    <w:r>
                      <w:rPr>
                        <w:sz w:val="24"/>
                        <w:szCs w:val="24"/>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w:t>
                    </w:r>
                    <w:r>
                      <w:rPr>
                        <w:rFonts w:hint="default" w:ascii="Times New Roman" w:hAnsi="Times New Roman" w:cs="Times New Roman"/>
                        <w:sz w:val="28"/>
                        <w:szCs w:val="28"/>
                      </w:rP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ED2072"/>
    <w:rsid w:val="078D3A1F"/>
    <w:rsid w:val="1069377D"/>
    <w:rsid w:val="117479FE"/>
    <w:rsid w:val="12DB7D35"/>
    <w:rsid w:val="14D56A06"/>
    <w:rsid w:val="14DF1C4A"/>
    <w:rsid w:val="19C71013"/>
    <w:rsid w:val="1A141D7E"/>
    <w:rsid w:val="21AB5CAB"/>
    <w:rsid w:val="25981AB5"/>
    <w:rsid w:val="2C5801F0"/>
    <w:rsid w:val="37A83DDA"/>
    <w:rsid w:val="37ED2072"/>
    <w:rsid w:val="3C595690"/>
    <w:rsid w:val="3E1A3557"/>
    <w:rsid w:val="4C6A56AA"/>
    <w:rsid w:val="4D0E1029"/>
    <w:rsid w:val="591C41D0"/>
    <w:rsid w:val="5942054E"/>
    <w:rsid w:val="6025396A"/>
    <w:rsid w:val="64B27796"/>
    <w:rsid w:val="69110F2F"/>
    <w:rsid w:val="69B9797F"/>
    <w:rsid w:val="757F36C5"/>
    <w:rsid w:val="7CDE5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rPr>
      <w:rFonts w:ascii="宋体" w:hAnsi="宋体" w:eastAsia="宋体" w:cs="宋体"/>
      <w:sz w:val="77"/>
      <w:szCs w:val="77"/>
      <w:lang w:val="en-US" w:eastAsia="en-US" w:bidi="ar-SA"/>
    </w:rPr>
  </w:style>
  <w:style w:type="paragraph" w:styleId="3">
    <w:name w:val="footer"/>
    <w:basedOn w:val="1"/>
    <w:qFormat/>
    <w:uiPriority w:val="99"/>
    <w:pPr>
      <w:widowControl w:val="0"/>
      <w:tabs>
        <w:tab w:val="center" w:pos="4153"/>
        <w:tab w:val="right" w:pos="8306"/>
      </w:tabs>
      <w:snapToGrid w:val="0"/>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272</Words>
  <Characters>281</Characters>
  <Lines>0</Lines>
  <Paragraphs>0</Paragraphs>
  <TotalTime>4</TotalTime>
  <ScaleCrop>false</ScaleCrop>
  <LinksUpToDate>false</LinksUpToDate>
  <CharactersWithSpaces>342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2025-10-11T01:44:00Z</dcterms:created>
  <dc:creator>猫Sir丹</dc:creator>
  <cp:lastModifiedBy>Sakura89</cp:lastModifiedBy>
  <dcterms:modified xsi:type="dcterms:W3CDTF">2025-10-15T03:09:02Z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89B23C816DDB4CB39EE47E2151AC70AC_11</vt:lpwstr>
  </property>
  <property fmtid="{D5CDD505-2E9C-101B-9397-08002B2CF9AE}" pid="4" name="KSOTemplateDocerSaveRecord">
    <vt:lpwstr>eyJoZGlkIjoiZDg3ODg1NmU1NzAxZGUxNTA1ZmJhZjBhYmU5OGJkZWIiLCJ1c2VySWQiOiIzODQwNzA5MDAifQ==</vt:lpwstr>
  </property>
</Properties>
</file>