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06458">
      <w:pPr>
        <w:keepNext w:val="0"/>
        <w:keepLines w:val="0"/>
        <w:pageBreakBefore w:val="0"/>
        <w:kinsoku/>
        <w:wordWrap/>
        <w:overflowPunct/>
        <w:topLinePunct w:val="0"/>
        <w:autoSpaceDE/>
        <w:autoSpaceDN/>
        <w:bidi w:val="0"/>
        <w:spacing w:line="580" w:lineRule="exact"/>
        <w:jc w:val="center"/>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永清县财政局</w:t>
      </w:r>
    </w:p>
    <w:p w14:paraId="21414A51">
      <w:pPr>
        <w:keepNext w:val="0"/>
        <w:keepLines w:val="0"/>
        <w:pageBreakBefore w:val="0"/>
        <w:kinsoku/>
        <w:wordWrap/>
        <w:overflowPunct/>
        <w:topLinePunct w:val="0"/>
        <w:autoSpaceDE/>
        <w:autoSpaceDN/>
        <w:bidi w:val="0"/>
        <w:spacing w:line="580" w:lineRule="exact"/>
        <w:jc w:val="center"/>
        <w:rPr>
          <w:rFonts w:hint="eastAsia"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2026年工作谋划</w:t>
      </w:r>
    </w:p>
    <w:p w14:paraId="682B725A">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
        </w:rPr>
      </w:pPr>
    </w:p>
    <w:p w14:paraId="23E2DD89">
      <w:pPr>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lang w:val="en-US" w:eastAsia="zh-CN" w:bidi="ar"/>
        </w:rPr>
        <w:t>2026年</w:t>
      </w:r>
      <w:r>
        <w:rPr>
          <w:rFonts w:hint="eastAsia" w:ascii="Times New Roman" w:hAnsi="Times New Roman" w:eastAsia="仿宋_GB2312" w:cs="Times New Roman"/>
          <w:color w:val="auto"/>
          <w:kern w:val="0"/>
          <w:sz w:val="32"/>
          <w:szCs w:val="32"/>
          <w:lang w:val="en-US" w:eastAsia="zh-CN" w:bidi="ar"/>
        </w:rPr>
        <w:t>是“十五五”规划开局之年</w:t>
      </w:r>
      <w:r>
        <w:rPr>
          <w:rFonts w:hint="default" w:ascii="Times New Roman" w:hAnsi="Times New Roman" w:eastAsia="仿宋_GB2312" w:cs="Times New Roman"/>
          <w:color w:val="auto"/>
          <w:kern w:val="0"/>
          <w:sz w:val="32"/>
          <w:szCs w:val="32"/>
          <w:lang w:val="en-US" w:eastAsia="zh-CN" w:bidi="ar"/>
        </w:rPr>
        <w:t>，</w:t>
      </w:r>
      <w:r>
        <w:rPr>
          <w:rFonts w:hint="eastAsia" w:ascii="Times New Roman" w:hAnsi="Times New Roman" w:eastAsia="仿宋_GB2312" w:cs="Times New Roman"/>
          <w:color w:val="auto"/>
          <w:kern w:val="0"/>
          <w:sz w:val="32"/>
          <w:szCs w:val="32"/>
          <w:lang w:val="en-US" w:eastAsia="zh-CN" w:bidi="ar"/>
        </w:rPr>
        <w:t>县财政局</w:t>
      </w:r>
      <w:r>
        <w:rPr>
          <w:rFonts w:hint="default" w:ascii="Times New Roman" w:hAnsi="Times New Roman" w:eastAsia="仿宋_GB2312" w:cs="Times New Roman"/>
          <w:color w:val="auto"/>
          <w:kern w:val="0"/>
          <w:sz w:val="32"/>
          <w:szCs w:val="32"/>
          <w:lang w:val="en-US" w:eastAsia="zh-CN" w:bidi="ar"/>
        </w:rPr>
        <w:t>将把握中央预算内投资、超长期国债、地方政府专项债券等政策机遇，以更开阔的视野、更创新的路径、更严实的作风加强财政调控、深化财政改革、强化财政管理，强化资金效能、严守风险底线，发挥积极财政政策作用，强化重大战略任务和基本民生财力保障</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为全县经济社会高质量发展向上突围贡献财政力量。</w:t>
      </w:r>
    </w:p>
    <w:p w14:paraId="1FBC844F">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一、聚焦政策赋能，构建现代财源体系</w:t>
      </w:r>
    </w:p>
    <w:p w14:paraId="20FDA1C4">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default" w:ascii="Times New Roman" w:hAnsi="Times New Roman" w:eastAsia="仿宋_GB2312" w:cs="Times New Roman"/>
          <w:b w:val="0"/>
          <w:bCs w:val="0"/>
          <w:color w:val="auto"/>
          <w:kern w:val="0"/>
          <w:sz w:val="32"/>
          <w:szCs w:val="32"/>
          <w:lang w:val="en-US" w:eastAsia="zh-CN" w:bidi="ar"/>
        </w:rPr>
      </w:pPr>
      <w:r>
        <w:rPr>
          <w:rFonts w:hint="eastAsia" w:ascii="Times New Roman" w:hAnsi="Times New Roman" w:eastAsia="仿宋_GB2312" w:cs="Times New Roman"/>
          <w:color w:val="auto"/>
          <w:sz w:val="32"/>
          <w:szCs w:val="32"/>
          <w:lang w:val="en-US" w:eastAsia="zh-CN"/>
        </w:rPr>
        <w:t>一是</w:t>
      </w:r>
      <w:r>
        <w:rPr>
          <w:rFonts w:hint="default" w:ascii="Times New Roman" w:hAnsi="Times New Roman" w:eastAsia="仿宋_GB2312" w:cs="Times New Roman"/>
          <w:color w:val="auto"/>
          <w:sz w:val="32"/>
          <w:szCs w:val="32"/>
        </w:rPr>
        <w:t>深化政策机遇转化</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紧扣“两重”“两新”宏观政策加力提效机遇期，持续唱响“三全一上”主旋律（全员抓招商、全力强实体、全</w:t>
      </w:r>
      <w:r>
        <w:rPr>
          <w:rFonts w:hint="eastAsia" w:ascii="Times New Roman" w:hAnsi="Times New Roman" w:eastAsia="仿宋_GB2312" w:cs="Times New Roman"/>
          <w:b w:val="0"/>
          <w:bCs w:val="0"/>
          <w:color w:val="auto"/>
          <w:kern w:val="0"/>
          <w:sz w:val="32"/>
          <w:szCs w:val="32"/>
          <w:lang w:val="en-US" w:eastAsia="zh-CN" w:bidi="ar"/>
        </w:rPr>
        <w:t>面</w:t>
      </w:r>
      <w:r>
        <w:rPr>
          <w:rFonts w:hint="default" w:ascii="Times New Roman" w:hAnsi="Times New Roman" w:eastAsia="仿宋_GB2312" w:cs="Times New Roman"/>
          <w:b w:val="0"/>
          <w:bCs w:val="0"/>
          <w:color w:val="auto"/>
          <w:kern w:val="0"/>
          <w:sz w:val="32"/>
          <w:szCs w:val="32"/>
          <w:lang w:val="en-US" w:eastAsia="zh-CN" w:bidi="ar"/>
        </w:rPr>
        <w:t>优结构、创新突破上项目）。重点对接超长期特别国债支持领域，围绕能源电力、老旧电梯更新等新增方向谋划储备项目，争取将县域内符合条件的设备更新和消费品以旧换新项目纳入资金支持清单。把握财政部提前下达2026年新增地方政府债务限额政策窗口，加快项目前期手续办理，确保债券资金一季度即可投入使用</w:t>
      </w:r>
      <w:r>
        <w:rPr>
          <w:rFonts w:hint="eastAsia" w:ascii="Times New Roman" w:hAnsi="Times New Roman" w:eastAsia="仿宋_GB2312" w:cs="Times New Roman"/>
          <w:b w:val="0"/>
          <w:bCs w:val="0"/>
          <w:color w:val="auto"/>
          <w:kern w:val="0"/>
          <w:sz w:val="32"/>
          <w:szCs w:val="32"/>
          <w:lang w:val="en-US" w:eastAsia="zh-CN" w:bidi="ar"/>
        </w:rPr>
        <w:t>。</w:t>
      </w:r>
      <w:r>
        <w:rPr>
          <w:rFonts w:hint="eastAsia" w:ascii="Times New Roman" w:hAnsi="Times New Roman" w:eastAsia="仿宋_GB2312" w:cs="Times New Roman"/>
          <w:color w:val="auto"/>
          <w:sz w:val="32"/>
          <w:szCs w:val="32"/>
          <w:lang w:val="en-US" w:eastAsia="zh-CN"/>
        </w:rPr>
        <w:t>二是</w:t>
      </w:r>
      <w:r>
        <w:rPr>
          <w:rFonts w:hint="default" w:ascii="Times New Roman" w:hAnsi="Times New Roman" w:eastAsia="仿宋_GB2312" w:cs="Times New Roman"/>
          <w:color w:val="auto"/>
          <w:sz w:val="32"/>
          <w:szCs w:val="32"/>
        </w:rPr>
        <w:t>推动产业能级跃升</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打好“财政+金融”政策组合拳，统筹运用财政奖补、研发费用加计扣除、税费减免等政策工具，加速构建“2+3+2”现代产业体系。聚焦核雕等特色非遗产业，设立专项扶持资金，支持知识产权保护、品牌建设和市场拓展，助力提升产业附加值和市场竞争力。促进新质生产力发展，引导资金向战略性新兴产业倾斜，推动产业结构优化升级。</w:t>
      </w:r>
    </w:p>
    <w:p w14:paraId="73233790">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Times New Roman" w:hAnsi="Times New Roman" w:eastAsia="仿宋_GB2312" w:cs="Times New Roman"/>
          <w:b w:val="0"/>
          <w:bCs w:val="0"/>
          <w:color w:val="auto"/>
          <w:kern w:val="0"/>
          <w:sz w:val="32"/>
          <w:szCs w:val="32"/>
          <w:lang w:val="en-US" w:eastAsia="zh-CN" w:bidi="ar"/>
        </w:rPr>
      </w:pPr>
      <w:r>
        <w:rPr>
          <w:rFonts w:hint="eastAsia" w:ascii="黑体" w:hAnsi="黑体" w:eastAsia="黑体" w:cs="黑体"/>
          <w:b w:val="0"/>
          <w:bCs w:val="0"/>
          <w:color w:val="auto"/>
          <w:sz w:val="32"/>
          <w:szCs w:val="32"/>
          <w:lang w:val="en-US" w:eastAsia="zh-CN"/>
        </w:rPr>
        <w:t>二、</w:t>
      </w:r>
      <w:r>
        <w:rPr>
          <w:rFonts w:hint="default" w:ascii="黑体" w:hAnsi="黑体" w:eastAsia="黑体" w:cs="黑体"/>
          <w:b w:val="0"/>
          <w:bCs w:val="0"/>
          <w:color w:val="auto"/>
          <w:sz w:val="32"/>
          <w:szCs w:val="32"/>
          <w:lang w:val="en-US" w:eastAsia="zh-CN"/>
        </w:rPr>
        <w:t>强化收支统筹，保障财政平稳运行</w:t>
      </w:r>
    </w:p>
    <w:p w14:paraId="6803288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default" w:ascii="Times New Roman" w:hAnsi="Times New Roman" w:eastAsia="仿宋_GB2312" w:cs="Times New Roman"/>
          <w:b w:val="0"/>
          <w:bCs w:val="0"/>
          <w:color w:val="auto"/>
          <w:sz w:val="32"/>
          <w:szCs w:val="32"/>
        </w:rPr>
      </w:pPr>
      <w:r>
        <w:rPr>
          <w:rFonts w:hint="eastAsia" w:ascii="Times New Roman" w:hAnsi="Times New Roman" w:eastAsia="仿宋_GB2312" w:cs="Times New Roman"/>
          <w:color w:val="auto"/>
          <w:sz w:val="32"/>
          <w:szCs w:val="32"/>
          <w:lang w:val="en-US" w:eastAsia="zh-CN"/>
        </w:rPr>
        <w:t>一是</w:t>
      </w:r>
      <w:r>
        <w:rPr>
          <w:rFonts w:hint="default" w:ascii="Times New Roman" w:hAnsi="Times New Roman" w:eastAsia="仿宋_GB2312" w:cs="Times New Roman"/>
          <w:color w:val="auto"/>
          <w:sz w:val="32"/>
          <w:szCs w:val="32"/>
        </w:rPr>
        <w:t>精准组织财政收入</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坚持依法依规征管，加强财税部门协调联动，科学研判财政经济运行形势。强化税收和非税收入管理，重点抓好土地出让工作，拓宽收入来源渠道。深化综合治税体系建设，建立部门联席会议机制，加强涉税信息共享和重点行业专项稽查，按月调度工作进展，确保财政收入及时足额入库。</w:t>
      </w:r>
      <w:r>
        <w:rPr>
          <w:rFonts w:hint="eastAsia" w:ascii="Times New Roman" w:hAnsi="Times New Roman" w:eastAsia="仿宋_GB2312" w:cs="Times New Roman"/>
          <w:color w:val="auto"/>
          <w:sz w:val="32"/>
          <w:szCs w:val="32"/>
          <w:lang w:val="en-US" w:eastAsia="zh-CN"/>
        </w:rPr>
        <w:t>二是</w:t>
      </w:r>
      <w:r>
        <w:rPr>
          <w:rFonts w:hint="default" w:ascii="Times New Roman" w:hAnsi="Times New Roman" w:eastAsia="仿宋_GB2312" w:cs="Times New Roman"/>
          <w:color w:val="auto"/>
          <w:sz w:val="32"/>
          <w:szCs w:val="32"/>
        </w:rPr>
        <w:t>提升资金使用效能</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深化零基预算改革，统一预算分配权，优化支出结构，加强预算绩效管理</w:t>
      </w:r>
      <w:r>
        <w:rPr>
          <w:rFonts w:hint="eastAsia" w:ascii="Times New Roman" w:hAnsi="Times New Roman" w:eastAsia="仿宋_GB2312" w:cs="Times New Roman"/>
          <w:b w:val="0"/>
          <w:bCs w:val="0"/>
          <w:color w:val="auto"/>
          <w:kern w:val="0"/>
          <w:sz w:val="32"/>
          <w:szCs w:val="32"/>
          <w:lang w:val="en-US" w:eastAsia="zh-CN" w:bidi="ar"/>
        </w:rPr>
        <w:t>；</w:t>
      </w:r>
      <w:r>
        <w:rPr>
          <w:rFonts w:hint="default" w:ascii="Times New Roman" w:hAnsi="Times New Roman" w:eastAsia="仿宋_GB2312" w:cs="Times New Roman"/>
          <w:b w:val="0"/>
          <w:bCs w:val="0"/>
          <w:color w:val="auto"/>
          <w:kern w:val="0"/>
          <w:sz w:val="32"/>
          <w:szCs w:val="32"/>
          <w:lang w:val="en-US" w:eastAsia="zh-CN" w:bidi="ar"/>
        </w:rPr>
        <w:t>严格预算刚性约束，严控预算追加，确保全年收支平衡。大力盘活闲置沉淀资金，加强预算执行动态监控，促进资金早支出、早使用、早达效，实现公共资金使用效益最大化。</w:t>
      </w:r>
    </w:p>
    <w:p w14:paraId="5F5D5A40">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w:t>
      </w:r>
      <w:r>
        <w:rPr>
          <w:rFonts w:hint="default" w:ascii="黑体" w:hAnsi="黑体" w:eastAsia="黑体" w:cs="黑体"/>
          <w:b w:val="0"/>
          <w:bCs w:val="0"/>
          <w:color w:val="auto"/>
          <w:sz w:val="32"/>
          <w:szCs w:val="32"/>
          <w:lang w:val="en-US" w:eastAsia="zh-CN"/>
        </w:rPr>
        <w:t>突出重点领域，服务重大战略实施</w:t>
      </w:r>
    </w:p>
    <w:p w14:paraId="015B003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一是</w:t>
      </w:r>
      <w:r>
        <w:rPr>
          <w:rFonts w:hint="default" w:ascii="Times New Roman" w:hAnsi="Times New Roman" w:eastAsia="仿宋_GB2312" w:cs="Times New Roman"/>
          <w:color w:val="auto"/>
          <w:sz w:val="32"/>
          <w:szCs w:val="32"/>
        </w:rPr>
        <w:t>全力保障民生福祉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优化支出结构，优先保障教育、医疗、文化、社保等民生事业发展，加快10件民生实事落地见效。整合涉农资金，推进农田水利、农村人居环境整治、村街道路硬化等项目建设，全面助推乡村振兴。</w:t>
      </w:r>
      <w:r>
        <w:rPr>
          <w:rFonts w:hint="eastAsia" w:ascii="Times New Roman" w:hAnsi="Times New Roman" w:eastAsia="仿宋_GB2312" w:cs="Times New Roman"/>
          <w:color w:val="auto"/>
          <w:sz w:val="32"/>
          <w:szCs w:val="32"/>
          <w:lang w:val="en-US" w:eastAsia="zh-CN"/>
        </w:rPr>
        <w:t>二是</w:t>
      </w:r>
      <w:r>
        <w:rPr>
          <w:rFonts w:hint="default" w:ascii="Times New Roman" w:hAnsi="Times New Roman" w:eastAsia="仿宋_GB2312" w:cs="Times New Roman"/>
          <w:color w:val="auto"/>
          <w:sz w:val="32"/>
          <w:szCs w:val="32"/>
        </w:rPr>
        <w:t>支持城乡品质提升</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多渠道筹集资金，推动交通路网建设，打通“大动脉”、畅通“微循环”，满足群众便捷出行需求。支持生态环境保护，助力打好蓝天、碧水、净土保卫战，筑牢首都生态屏障。</w:t>
      </w:r>
    </w:p>
    <w:p w14:paraId="3815771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w:t>
      </w:r>
      <w:r>
        <w:rPr>
          <w:rFonts w:hint="default" w:ascii="黑体" w:hAnsi="黑体" w:eastAsia="黑体" w:cs="黑体"/>
          <w:b w:val="0"/>
          <w:bCs w:val="0"/>
          <w:color w:val="auto"/>
          <w:sz w:val="32"/>
          <w:szCs w:val="32"/>
          <w:lang w:val="en-US" w:eastAsia="zh-CN"/>
        </w:rPr>
        <w:t>严守风险底线，筑牢财政安全屏障</w:t>
      </w:r>
    </w:p>
    <w:p w14:paraId="2757CE9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3" w:firstLineChars="200"/>
        <w:jc w:val="both"/>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一是</w:t>
      </w:r>
      <w:r>
        <w:rPr>
          <w:rFonts w:hint="default" w:ascii="Times New Roman" w:hAnsi="Times New Roman" w:eastAsia="仿宋_GB2312" w:cs="Times New Roman"/>
          <w:color w:val="auto"/>
          <w:sz w:val="32"/>
          <w:szCs w:val="32"/>
        </w:rPr>
        <w:t>强化债务全周期管理</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完善全口径债务监测监管体系，利用财政部平台每月统计债务变化，定期开展风险评估。加快专项债券支出进度，督促项目单位形成实物工作量，杜绝资金闲置。严格执行《永清县防范化解政府债务风险专项方案》，压实债务单位主体责任，拓宽化债方式，稳妥推进隐性债务化解；严格债务限额管理，将还本付息资金全额纳入年初预算。加快构建同高质量发展相适应的政府债务管理长效机制。</w:t>
      </w:r>
      <w:r>
        <w:rPr>
          <w:rFonts w:hint="eastAsia" w:ascii="Times New Roman" w:hAnsi="Times New Roman" w:eastAsia="仿宋_GB2312" w:cs="Times New Roman"/>
          <w:color w:val="auto"/>
          <w:sz w:val="32"/>
          <w:szCs w:val="32"/>
          <w:lang w:val="en-US" w:eastAsia="zh-CN"/>
        </w:rPr>
        <w:t>二是</w:t>
      </w:r>
      <w:r>
        <w:rPr>
          <w:rFonts w:hint="default" w:ascii="Times New Roman" w:hAnsi="Times New Roman" w:eastAsia="仿宋_GB2312" w:cs="Times New Roman"/>
          <w:color w:val="auto"/>
          <w:sz w:val="32"/>
          <w:szCs w:val="32"/>
        </w:rPr>
        <w:t>健全风险防控机制</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kern w:val="0"/>
          <w:sz w:val="32"/>
          <w:szCs w:val="32"/>
          <w:lang w:val="en-US" w:eastAsia="zh-CN" w:bidi="ar"/>
        </w:rPr>
        <w:t>兜牢“三保”底线，按月开展支出监控审核，提早预警库款保障、收支平衡等风险。严格落实财政承受能力评估和事前绩效评估“双评估”机制，将评估结果作为预算安排和项目招投标的前置条件，从源头防范超越财力的投资项目风险。加大存量暂付款清理力度，严控新增暂付款，确保财政平稳运行。</w:t>
      </w:r>
    </w:p>
    <w:p w14:paraId="2A0E9844">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lang w:eastAsia="zh-CN"/>
        </w:rPr>
        <w:t>强化党建引领，夯实财政工作保障</w:t>
      </w:r>
    </w:p>
    <w:p w14:paraId="07BDBE25">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val="0"/>
          <w:bCs w:val="0"/>
          <w:color w:val="auto"/>
          <w:kern w:val="0"/>
          <w:sz w:val="32"/>
          <w:szCs w:val="32"/>
          <w:lang w:val="en-US" w:eastAsia="zh-CN" w:bidi="ar"/>
        </w:rPr>
        <w:t>深化政治引领，学习贯彻党的二十大及二十届</w:t>
      </w:r>
      <w:r>
        <w:rPr>
          <w:rFonts w:hint="eastAsia" w:ascii="Times New Roman" w:hAnsi="Times New Roman" w:eastAsia="仿宋_GB2312" w:cs="Times New Roman"/>
          <w:b w:val="0"/>
          <w:bCs w:val="0"/>
          <w:color w:val="auto"/>
          <w:kern w:val="0"/>
          <w:sz w:val="32"/>
          <w:szCs w:val="32"/>
          <w:lang w:val="en-US" w:eastAsia="zh-CN" w:bidi="ar"/>
        </w:rPr>
        <w:t>历次</w:t>
      </w:r>
      <w:r>
        <w:rPr>
          <w:rFonts w:hint="default" w:ascii="Times New Roman" w:hAnsi="Times New Roman" w:eastAsia="仿宋_GB2312" w:cs="Times New Roman"/>
          <w:b w:val="0"/>
          <w:bCs w:val="0"/>
          <w:color w:val="auto"/>
          <w:kern w:val="0"/>
          <w:sz w:val="32"/>
          <w:szCs w:val="32"/>
          <w:lang w:val="en-US" w:eastAsia="zh-CN" w:bidi="ar"/>
        </w:rPr>
        <w:t>全会精神，严格落实“第一议题”制度，提升“线上”学习应用率。加强队伍建设，开展特色财政文化活动，发挥党支部战斗堡垒和党员先锋模范作用。持续深化作风建设，巩固中央八项规定精神学习教育成果，常态化开展谈心谈话及廉政谈话，营造风清气正的政治生态。</w:t>
      </w:r>
    </w:p>
    <w:p w14:paraId="4571B103">
      <w:pPr>
        <w:keepNext w:val="0"/>
        <w:keepLines w:val="0"/>
        <w:pageBreakBefore w:val="0"/>
        <w:widowControl w:val="0"/>
        <w:pBdr>
          <w:bottom w:val="none" w:color="auto" w:sz="0" w:space="23"/>
        </w:pBdr>
        <w:tabs>
          <w:tab w:val="left" w:pos="0"/>
        </w:tabs>
        <w:kinsoku/>
        <w:wordWrap/>
        <w:overflowPunct/>
        <w:topLinePunct w:val="0"/>
        <w:autoSpaceDE/>
        <w:autoSpaceDN/>
        <w:bidi w:val="0"/>
        <w:adjustRightInd w:val="0"/>
        <w:snapToGrid w:val="0"/>
        <w:spacing w:beforeAutospacing="0" w:afterAutospacing="0" w:line="580" w:lineRule="exact"/>
        <w:jc w:val="both"/>
        <w:textAlignment w:val="baseline"/>
        <w:rPr>
          <w:rFonts w:hint="default" w:ascii="Times New Roman" w:hAnsi="Times New Roman" w:eastAsia="仿宋_GB2312" w:cs="Times New Roman"/>
          <w:sz w:val="32"/>
          <w:szCs w:val="32"/>
          <w:lang w:val="en-US" w:eastAsia="zh-CN"/>
        </w:rPr>
      </w:pPr>
    </w:p>
    <w:p w14:paraId="2A201F10">
      <w:pPr>
        <w:keepNext w:val="0"/>
        <w:keepLines w:val="0"/>
        <w:pageBreakBefore w:val="0"/>
        <w:widowControl w:val="0"/>
        <w:pBdr>
          <w:bottom w:val="none" w:color="auto" w:sz="0" w:space="23"/>
        </w:pBdr>
        <w:tabs>
          <w:tab w:val="left" w:pos="0"/>
        </w:tabs>
        <w:kinsoku/>
        <w:wordWrap/>
        <w:overflowPunct/>
        <w:topLinePunct w:val="0"/>
        <w:autoSpaceDE/>
        <w:autoSpaceDN/>
        <w:bidi w:val="0"/>
        <w:adjustRightInd w:val="0"/>
        <w:snapToGrid w:val="0"/>
        <w:spacing w:beforeAutospacing="0" w:afterAutospacing="0" w:line="580" w:lineRule="exact"/>
        <w:jc w:val="right"/>
        <w:textAlignment w:val="baseline"/>
        <w:rPr>
          <w:rFonts w:hint="default" w:ascii="Times New Roman" w:hAnsi="Times New Roman" w:eastAsia="仿宋_GB2312" w:cs="Times New Roman"/>
          <w:sz w:val="32"/>
          <w:szCs w:val="32"/>
        </w:rPr>
      </w:pPr>
      <w:bookmarkStart w:id="0" w:name="_GoBack"/>
      <w:bookmarkEnd w:id="0"/>
    </w:p>
    <w:p w14:paraId="6E3D0A93">
      <w:pPr>
        <w:keepNext w:val="0"/>
        <w:keepLines w:val="0"/>
        <w:pageBreakBefore w:val="0"/>
        <w:widowControl w:val="0"/>
        <w:pBdr>
          <w:bottom w:val="none" w:color="auto" w:sz="0" w:space="23"/>
        </w:pBdr>
        <w:tabs>
          <w:tab w:val="left" w:pos="0"/>
        </w:tabs>
        <w:kinsoku/>
        <w:wordWrap/>
        <w:overflowPunct/>
        <w:topLinePunct w:val="0"/>
        <w:autoSpaceDE/>
        <w:autoSpaceDN/>
        <w:bidi w:val="0"/>
        <w:adjustRightInd w:val="0"/>
        <w:snapToGrid w:val="0"/>
        <w:spacing w:beforeAutospacing="0" w:afterAutospacing="0" w:line="580" w:lineRule="exact"/>
        <w:jc w:val="right"/>
        <w:textAlignment w:val="baseline"/>
        <w:rPr>
          <w:rFonts w:hint="default" w:ascii="Times New Roman" w:hAnsi="Times New Roman" w:eastAsia="仿宋_GB2312" w:cs="Times New Roman"/>
          <w:sz w:val="32"/>
          <w:szCs w:val="32"/>
        </w:rPr>
      </w:pPr>
    </w:p>
    <w:p w14:paraId="39A9AF2A">
      <w:pPr>
        <w:keepNext w:val="0"/>
        <w:keepLines w:val="0"/>
        <w:pageBreakBefore w:val="0"/>
        <w:widowControl w:val="0"/>
        <w:pBdr>
          <w:bottom w:val="none" w:color="auto" w:sz="0" w:space="23"/>
        </w:pBdr>
        <w:tabs>
          <w:tab w:val="left" w:pos="0"/>
        </w:tabs>
        <w:kinsoku/>
        <w:wordWrap/>
        <w:overflowPunct/>
        <w:topLinePunct w:val="0"/>
        <w:autoSpaceDE/>
        <w:autoSpaceDN/>
        <w:bidi w:val="0"/>
        <w:adjustRightInd w:val="0"/>
        <w:snapToGrid w:val="0"/>
        <w:spacing w:beforeAutospacing="0" w:afterAutospacing="0" w:line="580" w:lineRule="exact"/>
        <w:jc w:val="center"/>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永清县财政局       </w:t>
      </w:r>
      <w:r>
        <w:rPr>
          <w:rFonts w:hint="eastAsia" w:ascii="Times New Roman" w:hAnsi="Times New Roman" w:eastAsia="仿宋_GB2312" w:cs="Times New Roman"/>
          <w:sz w:val="32"/>
          <w:szCs w:val="32"/>
          <w:lang w:val="en-US" w:eastAsia="zh-CN"/>
        </w:rPr>
        <w:t xml:space="preserve">                         </w:t>
      </w:r>
    </w:p>
    <w:p w14:paraId="01D56BB2">
      <w:pPr>
        <w:keepNext w:val="0"/>
        <w:keepLines w:val="0"/>
        <w:pageBreakBefore w:val="0"/>
        <w:widowControl w:val="0"/>
        <w:pBdr>
          <w:bottom w:val="none" w:color="auto" w:sz="0" w:space="23"/>
        </w:pBdr>
        <w:tabs>
          <w:tab w:val="left" w:pos="0"/>
        </w:tabs>
        <w:kinsoku/>
        <w:wordWrap/>
        <w:overflowPunct/>
        <w:topLinePunct w:val="0"/>
        <w:autoSpaceDE/>
        <w:autoSpaceDN/>
        <w:bidi w:val="0"/>
        <w:adjustRightInd w:val="0"/>
        <w:snapToGrid w:val="0"/>
        <w:spacing w:beforeAutospacing="0" w:afterAutospacing="0" w:line="580" w:lineRule="exact"/>
        <w:jc w:val="right"/>
        <w:textAlignment w:val="baseline"/>
        <w:rPr>
          <w:rFonts w:hint="eastAsia" w:ascii="Times New Roman" w:hAnsi="Times New Roman" w:eastAsia="方正小标宋简体" w:cs="Times New Roman"/>
          <w:sz w:val="44"/>
          <w:szCs w:val="44"/>
          <w:lang w:val="en-US"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 xml:space="preserve">日  </w:t>
      </w:r>
    </w:p>
    <w:sectPr>
      <w:footerReference r:id="rId3" w:type="default"/>
      <w:pgSz w:w="11906" w:h="16838"/>
      <w:pgMar w:top="1587" w:right="1474"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6F00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B4D2F26">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B4D2F26">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348CA"/>
    <w:rsid w:val="0BE65DF4"/>
    <w:rsid w:val="0C8C1A61"/>
    <w:rsid w:val="0EAA406C"/>
    <w:rsid w:val="10CA7A92"/>
    <w:rsid w:val="111C29CB"/>
    <w:rsid w:val="2F144DE8"/>
    <w:rsid w:val="32DB75DF"/>
    <w:rsid w:val="571E461F"/>
    <w:rsid w:val="58686430"/>
    <w:rsid w:val="79450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2023-10-27T01:06:00Z</dcterms:created>
  <dc:creator>admin</dc:creator>
  <cp:lastModifiedBy>行云流水</cp:lastModifiedBy>
  <dcterms:modified xsi:type="dcterms:W3CDTF">2025-11-25T01:44:24Z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299D3271236140C694B2397BDBAF1984_12</vt:lpwstr>
  </property>
  <property fmtid="{D5CDD505-2E9C-101B-9397-08002B2CF9AE}" pid="4" name="KSOTemplateDocerSaveRecord">
    <vt:lpwstr>eyJoZGlkIjoiOTZkMThiYmE3NWQ4ZjU1OTNjOWYwZmYyYzgxMzFlMzQiLCJ1c2VySWQiOiI1NTg4MzY4OTQifQ==</vt:lpwstr>
  </property>
</Properties>
</file>