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9A48A">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jc w:val="center"/>
        <w:textAlignment w:val="auto"/>
        <w:outlineLvl w:val="9"/>
        <w:rPr>
          <w:rFonts w:ascii="黑体" w:hAnsi="黑体" w:eastAsia="黑体"/>
          <w:sz w:val="36"/>
          <w:szCs w:val="36"/>
        </w:rPr>
      </w:pPr>
      <w:r>
        <w:rPr>
          <w:rFonts w:ascii="黑体" w:hAnsi="黑体" w:eastAsia="黑体"/>
          <w:sz w:val="36"/>
          <w:szCs w:val="36"/>
        </w:rPr>
        <w:t>城市综合管理</w:t>
      </w:r>
    </w:p>
    <w:p w14:paraId="0D35CD60">
      <w:pPr>
        <w:pStyle w:val="5"/>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pPr>
    </w:p>
    <w:p w14:paraId="01912B77">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asciiTheme="minorEastAsia" w:hAnsiTheme="minorEastAsia" w:eastAsiaTheme="minorEastAsia"/>
          <w:sz w:val="24"/>
          <w:szCs w:val="24"/>
        </w:rPr>
      </w:pPr>
      <w:r>
        <w:rPr>
          <w:rFonts w:hint="eastAsia" w:ascii="黑体" w:hAnsi="黑体" w:eastAsia="黑体"/>
          <w:b w:val="0"/>
          <w:bCs w:val="0"/>
          <w:sz w:val="24"/>
          <w:szCs w:val="24"/>
        </w:rPr>
        <w:t>【概况】</w:t>
      </w:r>
      <w:r>
        <w:rPr>
          <w:rFonts w:hint="eastAsia" w:ascii="黑体" w:hAnsi="黑体" w:eastAsia="黑体"/>
          <w:b w:val="0"/>
          <w:bCs w:val="0"/>
          <w:sz w:val="24"/>
          <w:szCs w:val="24"/>
          <w:lang w:val="en-US" w:eastAsia="zh-CN"/>
        </w:rPr>
        <w:t xml:space="preserve">  </w:t>
      </w:r>
      <w:r>
        <w:rPr>
          <w:rFonts w:hint="eastAsia"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4</w:t>
      </w:r>
      <w:r>
        <w:rPr>
          <w:rFonts w:asciiTheme="minorEastAsia" w:hAnsiTheme="minorEastAsia" w:eastAsiaTheme="minorEastAsia"/>
          <w:sz w:val="24"/>
          <w:szCs w:val="24"/>
        </w:rPr>
        <w:t>年，永清县城市管理综合行政执法局</w:t>
      </w:r>
      <w:r>
        <w:rPr>
          <w:rFonts w:hint="eastAsia" w:asciiTheme="minorEastAsia" w:hAnsiTheme="minorEastAsia" w:eastAsiaTheme="minorEastAsia"/>
          <w:sz w:val="24"/>
          <w:szCs w:val="24"/>
        </w:rPr>
        <w:t>(以下简称</w:t>
      </w:r>
      <w:r>
        <w:rPr>
          <w:rFonts w:asciiTheme="minorEastAsia" w:hAnsiTheme="minorEastAsia" w:eastAsiaTheme="minorEastAsia"/>
          <w:sz w:val="24"/>
          <w:szCs w:val="24"/>
        </w:rPr>
        <w:t>县</w:t>
      </w:r>
      <w:r>
        <w:rPr>
          <w:rFonts w:hint="eastAsia" w:asciiTheme="minorEastAsia" w:hAnsiTheme="minorEastAsia" w:eastAsiaTheme="minorEastAsia"/>
          <w:sz w:val="24"/>
          <w:szCs w:val="24"/>
          <w:lang w:eastAsia="zh-CN"/>
        </w:rPr>
        <w:t>城管</w:t>
      </w:r>
      <w:r>
        <w:rPr>
          <w:rFonts w:asciiTheme="minorEastAsia" w:hAnsiTheme="minorEastAsia" w:eastAsiaTheme="minorEastAsia"/>
          <w:sz w:val="24"/>
          <w:szCs w:val="24"/>
        </w:rPr>
        <w:t>行政执法局</w:t>
      </w:r>
      <w:r>
        <w:rPr>
          <w:rFonts w:hint="eastAsia" w:asciiTheme="minorEastAsia" w:hAnsiTheme="minorEastAsia" w:eastAsiaTheme="minorEastAsia"/>
          <w:sz w:val="24"/>
          <w:szCs w:val="24"/>
        </w:rPr>
        <w:t>)</w:t>
      </w:r>
      <w:r>
        <w:rPr>
          <w:rFonts w:asciiTheme="minorEastAsia" w:hAnsiTheme="minorEastAsia" w:eastAsiaTheme="minorEastAsia"/>
          <w:sz w:val="24"/>
          <w:szCs w:val="24"/>
        </w:rPr>
        <w:t>，</w:t>
      </w:r>
      <w:r>
        <w:rPr>
          <w:rFonts w:hint="eastAsia" w:asciiTheme="minorEastAsia" w:hAnsiTheme="minorEastAsia" w:eastAsiaTheme="minorEastAsia"/>
          <w:sz w:val="24"/>
          <w:szCs w:val="24"/>
        </w:rPr>
        <w:t>根据《廊坊市深入推进城市执法体制改革改进城市管理工作实施方案》（廊改革字【2024】2号)、《永清县深入推进城市执法体制改革改进城市管理工作实施方案》（永改革字【2024】1号)、《关于永清县城市管理执法体制改革机构编制职责划转的通知》（永编〔2024〕73号）</w:t>
      </w:r>
      <w:r>
        <w:rPr>
          <w:rFonts w:hint="eastAsia" w:asciiTheme="minorEastAsia" w:hAnsiTheme="minorEastAsia" w:eastAsiaTheme="minorEastAsia"/>
          <w:sz w:val="24"/>
          <w:szCs w:val="24"/>
          <w:lang w:eastAsia="zh-CN"/>
        </w:rPr>
        <w:t>要求</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将县住建局承担的城市道路、桥梁、照明、排水、燃气、供热、污水和垃圾处理等市政公用设施运行管理、城市容貌和环境卫生管理、城市园林绿化管理、城市燃气、供热、污水和垃圾处理、环卫市政等市政公用设施建设和水务局承担的城市公共供水设施建设和运行管理，指导城市公共供水、节水管理的等；与群众生产生活密切相关、执法频率高、多头执法扰民问题突出、专业技术要求适宜、与城市管理密切相关且需要集中行使的行政处罚权都划转到县城管行政执法局。整合后</w:t>
      </w:r>
      <w:r>
        <w:rPr>
          <w:rFonts w:asciiTheme="minorEastAsia" w:hAnsiTheme="minorEastAsia" w:eastAsiaTheme="minorEastAsia"/>
          <w:sz w:val="24"/>
          <w:szCs w:val="24"/>
        </w:rPr>
        <w:t>内设</w:t>
      </w:r>
      <w:r>
        <w:rPr>
          <w:rFonts w:hint="eastAsia" w:asciiTheme="minorEastAsia" w:hAnsiTheme="minorEastAsia" w:eastAsiaTheme="minorEastAsia"/>
          <w:sz w:val="24"/>
          <w:szCs w:val="24"/>
        </w:rPr>
        <w:t>办公室</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政策法规股</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城市容貌管理股</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城市管理股</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环境卫生管理股</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市政设施管理股</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园林绿化管理股</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公用事业管理股</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项目管理股</w:t>
      </w:r>
      <w:r>
        <w:rPr>
          <w:rFonts w:hint="eastAsia" w:asciiTheme="minorEastAsia" w:hAnsiTheme="minorEastAsia" w:eastAsiaTheme="minorEastAsia"/>
          <w:sz w:val="24"/>
          <w:szCs w:val="24"/>
          <w:lang w:val="en-US" w:eastAsia="zh-CN"/>
        </w:rPr>
        <w:t>10</w:t>
      </w:r>
      <w:r>
        <w:rPr>
          <w:rFonts w:asciiTheme="minorEastAsia" w:hAnsiTheme="minorEastAsia" w:eastAsiaTheme="minorEastAsia"/>
          <w:sz w:val="24"/>
          <w:szCs w:val="24"/>
        </w:rPr>
        <w:t>个行政股室，下设</w:t>
      </w:r>
      <w:r>
        <w:rPr>
          <w:rFonts w:hint="eastAsia" w:asciiTheme="minorEastAsia" w:hAnsiTheme="minorEastAsia" w:eastAsiaTheme="minorEastAsia"/>
          <w:sz w:val="24"/>
          <w:szCs w:val="24"/>
        </w:rPr>
        <w:t>数字化</w:t>
      </w:r>
      <w:r>
        <w:rPr>
          <w:rFonts w:hint="eastAsia" w:asciiTheme="minorEastAsia" w:hAnsiTheme="minorEastAsia" w:eastAsiaTheme="minorEastAsia"/>
          <w:sz w:val="24"/>
          <w:szCs w:val="24"/>
          <w:lang w:eastAsia="zh-CN"/>
        </w:rPr>
        <w:t>城市</w:t>
      </w:r>
      <w:r>
        <w:rPr>
          <w:rFonts w:hint="eastAsia" w:asciiTheme="minorEastAsia" w:hAnsiTheme="minorEastAsia" w:eastAsiaTheme="minorEastAsia"/>
          <w:sz w:val="24"/>
          <w:szCs w:val="24"/>
        </w:rPr>
        <w:t>管理中心</w:t>
      </w:r>
      <w:r>
        <w:rPr>
          <w:rFonts w:hint="eastAsia" w:asciiTheme="minorEastAsia" w:hAnsiTheme="minorEastAsia" w:eastAsiaTheme="minorEastAsia"/>
          <w:sz w:val="24"/>
          <w:szCs w:val="24"/>
          <w:lang w:eastAsia="zh-CN"/>
        </w:rPr>
        <w:t>、城区公园管理中心、市政管理中心、燃热管理中心、停车管理中心、环境卫生管理中心</w:t>
      </w:r>
      <w:r>
        <w:rPr>
          <w:rFonts w:hint="eastAsia" w:asciiTheme="minorEastAsia" w:hAnsiTheme="minorEastAsia" w:eastAsiaTheme="minorEastAsia"/>
          <w:sz w:val="24"/>
          <w:szCs w:val="24"/>
          <w:lang w:val="en-US" w:eastAsia="zh-CN"/>
        </w:rPr>
        <w:t>6个所属事业中心和</w:t>
      </w:r>
      <w:r>
        <w:rPr>
          <w:rFonts w:hint="eastAsia" w:asciiTheme="minorEastAsia" w:hAnsiTheme="minorEastAsia" w:eastAsiaTheme="minorEastAsia"/>
          <w:sz w:val="24"/>
          <w:szCs w:val="24"/>
          <w:lang w:eastAsia="zh-CN"/>
        </w:rPr>
        <w:t>综合行政执法大队</w:t>
      </w:r>
      <w:r>
        <w:rPr>
          <w:rFonts w:asciiTheme="minorEastAsia" w:hAnsiTheme="minorEastAsia" w:eastAsiaTheme="minorEastAsia"/>
          <w:sz w:val="24"/>
          <w:szCs w:val="24"/>
        </w:rPr>
        <w:t>。</w:t>
      </w:r>
      <w:r>
        <w:rPr>
          <w:rFonts w:hint="eastAsia" w:asciiTheme="minorEastAsia" w:hAnsiTheme="minorEastAsia" w:eastAsiaTheme="minorEastAsia"/>
          <w:sz w:val="24"/>
          <w:szCs w:val="24"/>
          <w:lang w:eastAsia="zh-CN"/>
        </w:rPr>
        <w:t>年内，围绕</w:t>
      </w:r>
      <w:r>
        <w:rPr>
          <w:rFonts w:hint="eastAsia" w:asciiTheme="minorEastAsia" w:hAnsiTheme="minorEastAsia" w:eastAsiaTheme="minorEastAsia"/>
          <w:sz w:val="24"/>
          <w:szCs w:val="24"/>
        </w:rPr>
        <w:t>县委县政府</w:t>
      </w:r>
      <w:r>
        <w:rPr>
          <w:rFonts w:hint="eastAsia" w:asciiTheme="minorEastAsia" w:hAnsiTheme="minorEastAsia" w:eastAsiaTheme="minorEastAsia"/>
          <w:sz w:val="24"/>
          <w:szCs w:val="24"/>
          <w:lang w:eastAsia="zh-CN"/>
        </w:rPr>
        <w:t>中心工作</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县城管行政执法局</w:t>
      </w:r>
      <w:r>
        <w:rPr>
          <w:rFonts w:hint="eastAsia" w:asciiTheme="minorEastAsia" w:hAnsiTheme="minorEastAsia" w:eastAsiaTheme="minorEastAsia"/>
          <w:sz w:val="24"/>
          <w:szCs w:val="24"/>
        </w:rPr>
        <w:t>秉持以“市容精细化管理、执法规范化建设”为主线</w:t>
      </w:r>
      <w:r>
        <w:rPr>
          <w:rFonts w:hint="eastAsia" w:asciiTheme="minorEastAsia" w:hAnsiTheme="minorEastAsia" w:eastAsiaTheme="minorEastAsia"/>
          <w:sz w:val="24"/>
          <w:szCs w:val="24"/>
          <w:lang w:eastAsia="zh-CN"/>
        </w:rPr>
        <w:t>，</w:t>
      </w:r>
      <w:r>
        <w:rPr>
          <w:rFonts w:hint="default" w:asciiTheme="minorEastAsia" w:hAnsiTheme="minorEastAsia" w:eastAsiaTheme="minorEastAsia"/>
          <w:sz w:val="24"/>
          <w:szCs w:val="24"/>
          <w:lang w:val="en-US" w:eastAsia="zh-CN"/>
        </w:rPr>
        <w:t>以关注民生、服务群众为重点，以“绣花功夫”实施城市精细化管理，</w:t>
      </w:r>
      <w:r>
        <w:rPr>
          <w:rFonts w:hint="eastAsia" w:asciiTheme="minorEastAsia" w:hAnsiTheme="minorEastAsia" w:eastAsiaTheme="minorEastAsia"/>
          <w:sz w:val="24"/>
          <w:szCs w:val="24"/>
          <w:lang w:val="en-US" w:eastAsia="zh-CN"/>
        </w:rPr>
        <w:t>提升</w:t>
      </w:r>
      <w:r>
        <w:rPr>
          <w:rFonts w:hint="default" w:asciiTheme="minorEastAsia" w:hAnsiTheme="minorEastAsia" w:eastAsiaTheme="minorEastAsia"/>
          <w:sz w:val="24"/>
          <w:szCs w:val="24"/>
          <w:lang w:val="en-US" w:eastAsia="zh-CN"/>
        </w:rPr>
        <w:t>城市管理水平</w:t>
      </w:r>
      <w:r>
        <w:rPr>
          <w:rFonts w:hint="eastAsia" w:asciiTheme="minorEastAsia" w:hAnsiTheme="minorEastAsia" w:eastAsiaTheme="minorEastAsia"/>
          <w:sz w:val="24"/>
          <w:szCs w:val="24"/>
          <w:lang w:val="en-US" w:eastAsia="zh-CN"/>
        </w:rPr>
        <w:t>。</w:t>
      </w:r>
    </w:p>
    <w:p w14:paraId="292D1413">
      <w:pPr>
        <w:keepNext w:val="0"/>
        <w:keepLines w:val="0"/>
        <w:pageBreakBefore w:val="0"/>
        <w:widowControl w:val="0"/>
        <w:kinsoku/>
        <w:wordWrap/>
        <w:overflowPunct/>
        <w:topLinePunct w:val="0"/>
        <w:autoSpaceDE/>
        <w:autoSpaceDN/>
        <w:bidi w:val="0"/>
        <w:adjustRightInd w:val="0"/>
        <w:snapToGrid w:val="0"/>
        <w:spacing w:line="300" w:lineRule="auto"/>
        <w:ind w:left="0" w:leftChars="0" w:right="0" w:rightChars="0" w:firstLine="480" w:firstLineChars="200"/>
        <w:jc w:val="both"/>
        <w:textAlignment w:val="auto"/>
        <w:outlineLvl w:val="9"/>
        <w:rPr>
          <w:rFonts w:hint="eastAsia" w:ascii="楷体" w:hAnsi="楷体" w:eastAsia="楷体" w:cs="楷体"/>
          <w:sz w:val="24"/>
          <w:szCs w:val="24"/>
        </w:rPr>
      </w:pPr>
      <w:r>
        <w:rPr>
          <w:rFonts w:hint="eastAsia" w:ascii="楷体" w:hAnsi="楷体" w:eastAsia="楷体" w:cs="楷体"/>
          <w:sz w:val="24"/>
          <w:szCs w:val="24"/>
        </w:rPr>
        <w:t>局  长  赵海鹏</w:t>
      </w:r>
    </w:p>
    <w:p w14:paraId="77168C4E">
      <w:pPr>
        <w:keepNext w:val="0"/>
        <w:keepLines w:val="0"/>
        <w:pageBreakBefore w:val="0"/>
        <w:widowControl w:val="0"/>
        <w:kinsoku/>
        <w:wordWrap/>
        <w:overflowPunct/>
        <w:topLinePunct w:val="0"/>
        <w:autoSpaceDE/>
        <w:autoSpaceDN/>
        <w:bidi w:val="0"/>
        <w:adjustRightInd w:val="0"/>
        <w:snapToGrid w:val="0"/>
        <w:spacing w:line="300" w:lineRule="auto"/>
        <w:ind w:left="0" w:leftChars="0" w:right="0" w:rightChars="0" w:firstLine="480" w:firstLineChars="200"/>
        <w:jc w:val="both"/>
        <w:textAlignment w:val="auto"/>
        <w:outlineLvl w:val="9"/>
        <w:rPr>
          <w:rFonts w:hint="eastAsia" w:ascii="楷体" w:hAnsi="楷体" w:eastAsia="楷体" w:cs="楷体"/>
          <w:sz w:val="24"/>
          <w:szCs w:val="24"/>
          <w:lang w:val="en-US" w:eastAsia="zh-CN"/>
        </w:rPr>
      </w:pPr>
      <w:r>
        <w:rPr>
          <w:rFonts w:hint="eastAsia" w:ascii="楷体" w:hAnsi="楷体" w:eastAsia="楷体" w:cs="楷体"/>
          <w:sz w:val="24"/>
          <w:szCs w:val="24"/>
        </w:rPr>
        <w:t>副局长  杨俊杰</w:t>
      </w:r>
      <w:r>
        <w:rPr>
          <w:rFonts w:hint="eastAsia" w:ascii="楷体" w:hAnsi="楷体" w:eastAsia="楷体" w:cs="楷体"/>
          <w:sz w:val="24"/>
          <w:szCs w:val="24"/>
          <w:lang w:val="en-US" w:eastAsia="zh-CN"/>
        </w:rPr>
        <w:t xml:space="preserve">   </w:t>
      </w:r>
    </w:p>
    <w:p w14:paraId="496B8E8E">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1440" w:firstLineChars="600"/>
        <w:jc w:val="both"/>
        <w:textAlignment w:val="auto"/>
        <w:outlineLvl w:val="9"/>
        <w:rPr>
          <w:rFonts w:hint="eastAsia" w:ascii="楷体" w:hAnsi="楷体" w:eastAsia="楷体" w:cs="楷体"/>
          <w:sz w:val="24"/>
          <w:szCs w:val="24"/>
        </w:rPr>
      </w:pPr>
      <w:r>
        <w:rPr>
          <w:rFonts w:hint="eastAsia" w:ascii="楷体" w:hAnsi="楷体" w:eastAsia="楷体" w:cs="楷体"/>
          <w:sz w:val="24"/>
          <w:szCs w:val="24"/>
        </w:rPr>
        <w:t xml:space="preserve">高艳敏 </w:t>
      </w:r>
    </w:p>
    <w:p w14:paraId="63113CE1">
      <w:pPr>
        <w:pStyle w:val="5"/>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default"/>
          <w:lang w:val="en-US" w:eastAsia="zh-CN"/>
        </w:rPr>
      </w:pPr>
    </w:p>
    <w:p w14:paraId="5BAD5BD4">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default" w:cs="Times New Roman" w:asciiTheme="minorEastAsia" w:hAnsiTheme="minorEastAsia" w:eastAsiaTheme="minorEastAsia"/>
          <w:sz w:val="24"/>
          <w:szCs w:val="24"/>
          <w:lang w:val="en-US" w:eastAsia="zh-CN"/>
        </w:rPr>
      </w:pPr>
      <w:r>
        <w:rPr>
          <w:rFonts w:hint="eastAsia" w:ascii="黑体" w:hAnsi="黑体" w:eastAsia="黑体"/>
          <w:sz w:val="24"/>
          <w:szCs w:val="24"/>
        </w:rPr>
        <w:t>【市容</w:t>
      </w:r>
      <w:r>
        <w:rPr>
          <w:rFonts w:ascii="黑体" w:hAnsi="黑体" w:eastAsia="黑体"/>
          <w:sz w:val="24"/>
          <w:szCs w:val="24"/>
        </w:rPr>
        <w:t>市貌</w:t>
      </w:r>
      <w:r>
        <w:rPr>
          <w:rFonts w:hint="eastAsia" w:ascii="黑体" w:hAnsi="黑体" w:eastAsia="黑体"/>
          <w:sz w:val="24"/>
          <w:szCs w:val="24"/>
        </w:rPr>
        <w:t>管理】</w:t>
      </w:r>
      <w:r>
        <w:rPr>
          <w:rFonts w:hint="eastAsia" w:ascii="黑体" w:hAnsi="黑体" w:eastAsia="黑体"/>
          <w:sz w:val="24"/>
          <w:szCs w:val="24"/>
          <w:lang w:val="en-US" w:eastAsia="zh-CN"/>
        </w:rPr>
        <w:t xml:space="preserve">  </w:t>
      </w:r>
      <w:r>
        <w:rPr>
          <w:rFonts w:hint="eastAsia" w:cs="Times New Roman" w:asciiTheme="minorEastAsia" w:hAnsiTheme="minorEastAsia" w:eastAsiaTheme="minorEastAsia"/>
          <w:sz w:val="24"/>
          <w:szCs w:val="24"/>
          <w:lang w:val="en-US" w:eastAsia="zh-CN"/>
        </w:rPr>
        <w:t>2024年，围绕规范城市运行，县城管行政执法局采取集中整治与专项治理相结合，常态化管理与长效落实相结合。年内推进违规经营整治行动，规范城市经营秩序。将县建成区划分为6个区域，分解成18个责任区，由股室队长牵头，明确具体执法人员，实现定人定岗定责，实行“四班三运转”管控机制保障执法力量，加大巡查频次，延长执法时间保障早6点至晚9点管理的无缝衔接，及时清理流动商贩、店外经营、流动灯箱等行为，营造城区街道畅通有序环境。全年累计清理店外经营1050户次，清理取缔流动摊点1500人次，清理条幅1490条，清理流动灯箱240个；年内开展门前五包（包设施、包绿化、包卫生、包美化、包秩序）行动，对全县3000余家沿街单位、商铺开展走访调研。同时，定期安排执法人员就“门前五包”（包卫生、包市容、包秩序、包设施、包绿化）进行解疑答惑、劝导规范，对沿街店铺违反“门前五包”行为依法依规处理。全年累计签订“门前五包”责任书3120份，设置标识牌3120个，责任书和标识牌覆盖率均达到100%；年内推进门头牌匾管理行动，统一城市建设标准。结合县城道路两侧建筑特点，对城区金雀街、武隆路等11条街道部分门头牌匾进行管控更新，全年完成240块牌匾的更换任务。严格规范广告牌匾的申请、备案、审批程序，监督门店按照统一标准进行更换。加大巡查力度，对不符合规范标准和市容管理要求的依法进行拆除，全年拆除楼顶、墙体、门头牌匾等违规广告面积约2127平方米；年内推进城区皮肤管理行动，加强沿街门店、单位的外立面监管，对外立面破损的、存在安全隐患的督促业主及时修复，对擅自更改的要求恢复原貌，严厉查处影响市容市貌的行为。另一方面，聘请三方公司对城区内乱贴乱画的小广告进行清理，去除城市“牛皮癣”，全年清理小广告2.9万条。</w:t>
      </w:r>
    </w:p>
    <w:p w14:paraId="1FED3A3C">
      <w:pPr>
        <w:pStyle w:val="5"/>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pPr>
    </w:p>
    <w:p w14:paraId="756C6CD4">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cs="Times New Roman" w:asciiTheme="minorEastAsia" w:hAnsiTheme="minorEastAsia" w:eastAsiaTheme="minorEastAsia"/>
          <w:sz w:val="24"/>
          <w:szCs w:val="24"/>
          <w:lang w:val="en-US" w:eastAsia="zh-CN"/>
        </w:rPr>
      </w:pPr>
      <w:r>
        <w:rPr>
          <w:rFonts w:hint="eastAsia" w:ascii="黑体" w:hAnsi="黑体" w:eastAsia="黑体"/>
          <w:sz w:val="24"/>
          <w:szCs w:val="24"/>
        </w:rPr>
        <w:t>【保障交通运行】</w:t>
      </w:r>
      <w:r>
        <w:rPr>
          <w:rFonts w:hint="eastAsia" w:ascii="黑体" w:hAnsi="黑体" w:eastAsia="黑体"/>
          <w:sz w:val="24"/>
          <w:szCs w:val="24"/>
          <w:lang w:val="en-US" w:eastAsia="zh-CN"/>
        </w:rPr>
        <w:t xml:space="preserve">  </w:t>
      </w:r>
      <w:r>
        <w:rPr>
          <w:rFonts w:hint="eastAsia" w:cs="Times New Roman" w:asciiTheme="minorEastAsia" w:hAnsiTheme="minorEastAsia" w:eastAsiaTheme="minorEastAsia"/>
          <w:sz w:val="24"/>
          <w:szCs w:val="24"/>
          <w:lang w:val="en-US" w:eastAsia="zh-CN"/>
        </w:rPr>
        <w:t>2024年，县城管行政执法局拍摄了电动三、四轮车危害公共安全的专题宣传片，在城区显著位置LED显示屏滚动播放，同时开设公告栏4个，制作公告牌66面，对电动三轮车、四轮车非法行驶的危害性开展广泛宣传。年内，由城管执法局、交通局、交警大队组成联合执法队伍，分组对电动三、四轮车不按规定行驶行为进行劝返，全年劝导电动三、四轮车3105辆次。特别是针对明珠、一中、医院等三轮车集中的区域加强值守，发现一起、查处一起，查扣电动三轮车56辆。年内对三家（青桔、铁塔、美团）共享单车公司加强管理，将投放的3450辆共享单车，在医院、学校、商场、机关、小区周边施划310个停车点位，以方便就近、规范停车。同时，加强对共享单车的管理力度，对城区乱停乱放、车体污损的共享单车，督促单车公司进行整改。</w:t>
      </w:r>
    </w:p>
    <w:p w14:paraId="1A49D689">
      <w:pPr>
        <w:pStyle w:val="5"/>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rPr>
      </w:pPr>
    </w:p>
    <w:p w14:paraId="1F784018">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asciiTheme="minorEastAsia" w:hAnsiTheme="minorEastAsia" w:eastAsiaTheme="minorEastAsia"/>
          <w:b w:val="0"/>
          <w:bCs w:val="0"/>
          <w:sz w:val="24"/>
          <w:szCs w:val="24"/>
          <w:lang w:val="en-US" w:eastAsia="zh-CN"/>
        </w:rPr>
      </w:pPr>
      <w:r>
        <w:rPr>
          <w:rFonts w:hint="eastAsia" w:ascii="黑体" w:hAnsi="黑体" w:eastAsia="黑体"/>
          <w:sz w:val="24"/>
          <w:szCs w:val="24"/>
        </w:rPr>
        <w:t>【数字化城市管理】</w:t>
      </w:r>
      <w:r>
        <w:rPr>
          <w:rFonts w:hint="eastAsia" w:ascii="黑体" w:hAnsi="黑体" w:eastAsia="黑体"/>
          <w:sz w:val="24"/>
          <w:szCs w:val="24"/>
          <w:lang w:val="en-US" w:eastAsia="zh-CN"/>
        </w:rPr>
        <w:t xml:space="preserve">  </w:t>
      </w:r>
      <w:r>
        <w:rPr>
          <w:rFonts w:hint="eastAsia"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4</w:t>
      </w:r>
      <w:r>
        <w:rPr>
          <w:rFonts w:hint="eastAsia" w:asciiTheme="minorEastAsia" w:hAnsiTheme="minorEastAsia" w:eastAsiaTheme="minorEastAsia"/>
          <w:sz w:val="24"/>
          <w:szCs w:val="24"/>
        </w:rPr>
        <w:t>年，县</w:t>
      </w:r>
      <w:r>
        <w:rPr>
          <w:rFonts w:hint="eastAsia" w:asciiTheme="minorEastAsia" w:hAnsiTheme="minorEastAsia" w:eastAsiaTheme="minorEastAsia"/>
          <w:sz w:val="24"/>
          <w:szCs w:val="24"/>
          <w:lang w:eastAsia="zh-CN"/>
        </w:rPr>
        <w:t>城管</w:t>
      </w:r>
      <w:r>
        <w:rPr>
          <w:rFonts w:hint="eastAsia" w:asciiTheme="minorEastAsia" w:hAnsiTheme="minorEastAsia" w:eastAsiaTheme="minorEastAsia"/>
          <w:sz w:val="24"/>
          <w:szCs w:val="24"/>
        </w:rPr>
        <w:t>行政执法局深入推进数字化城管建设,实现“管理精细化、手段数字化、评价科学化”</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构建职能部门齐抓共管格局，</w:t>
      </w:r>
      <w:r>
        <w:rPr>
          <w:rFonts w:hint="eastAsia" w:asciiTheme="minorEastAsia" w:hAnsiTheme="minorEastAsia" w:eastAsiaTheme="minorEastAsia"/>
          <w:b w:val="0"/>
          <w:bCs w:val="0"/>
          <w:sz w:val="24"/>
          <w:szCs w:val="24"/>
        </w:rPr>
        <w:t>永清县数字化城市管理系统首期数据普查范围覆盖永清县城区7.8平方千米，具体范围为：西、北至廊霸路，东至中干渠，南至南环路，包括1个街道办事处，1个乡镇，13个社区居委会。划分单元网格183个，责任网格</w:t>
      </w:r>
      <w:r>
        <w:rPr>
          <w:rFonts w:hint="eastAsia" w:asciiTheme="minorEastAsia" w:hAnsiTheme="minorEastAsia" w:eastAsiaTheme="minorEastAsia"/>
          <w:b w:val="0"/>
          <w:bCs w:val="0"/>
          <w:sz w:val="24"/>
          <w:szCs w:val="24"/>
          <w:lang w:val="en-US" w:eastAsia="zh-CN"/>
        </w:rPr>
        <w:t>8</w:t>
      </w:r>
      <w:r>
        <w:rPr>
          <w:rFonts w:hint="eastAsia" w:asciiTheme="minorEastAsia" w:hAnsiTheme="minorEastAsia" w:eastAsiaTheme="minorEastAsia"/>
          <w:b w:val="0"/>
          <w:bCs w:val="0"/>
          <w:sz w:val="24"/>
          <w:szCs w:val="24"/>
        </w:rPr>
        <w:t>个，网络终端连接1</w:t>
      </w:r>
      <w:r>
        <w:rPr>
          <w:rFonts w:hint="eastAsia" w:asciiTheme="minorEastAsia" w:hAnsiTheme="minorEastAsia" w:eastAsiaTheme="minorEastAsia"/>
          <w:b w:val="0"/>
          <w:bCs w:val="0"/>
          <w:sz w:val="24"/>
          <w:szCs w:val="24"/>
          <w:lang w:val="en-US" w:eastAsia="zh-CN"/>
        </w:rPr>
        <w:t>3</w:t>
      </w:r>
      <w:r>
        <w:rPr>
          <w:rFonts w:hint="eastAsia" w:asciiTheme="minorEastAsia" w:hAnsiTheme="minorEastAsia" w:eastAsiaTheme="minorEastAsia"/>
          <w:b w:val="0"/>
          <w:bCs w:val="0"/>
          <w:sz w:val="24"/>
          <w:szCs w:val="24"/>
        </w:rPr>
        <w:t>个部门和单位。普查建库的城市部件分为7大类</w:t>
      </w:r>
      <w:r>
        <w:rPr>
          <w:rFonts w:hint="eastAsia" w:asciiTheme="minorEastAsia" w:hAnsiTheme="minorEastAsia" w:eastAsiaTheme="minorEastAsia"/>
          <w:b w:val="0"/>
          <w:bCs w:val="0"/>
          <w:sz w:val="24"/>
          <w:szCs w:val="24"/>
          <w:lang w:eastAsia="zh-CN"/>
        </w:rPr>
        <w:t>（包括公共设施类、道路交通类、市容管理类、园林绿化类、土地房屋类、其他设施类、扩展部件类），</w:t>
      </w:r>
      <w:r>
        <w:rPr>
          <w:rFonts w:hint="eastAsia" w:asciiTheme="minorEastAsia" w:hAnsiTheme="minorEastAsia" w:eastAsiaTheme="minorEastAsia"/>
          <w:b w:val="0"/>
          <w:bCs w:val="0"/>
          <w:sz w:val="24"/>
          <w:szCs w:val="24"/>
        </w:rPr>
        <w:t>92小类</w:t>
      </w:r>
      <w:r>
        <w:rPr>
          <w:rFonts w:hint="eastAsia" w:asciiTheme="minorEastAsia" w:hAnsiTheme="minorEastAsia" w:eastAsiaTheme="minorEastAsia"/>
          <w:b w:val="0"/>
          <w:bCs w:val="0"/>
          <w:sz w:val="24"/>
          <w:szCs w:val="24"/>
          <w:lang w:eastAsia="zh-CN"/>
        </w:rPr>
        <w:t>，部件数量</w:t>
      </w:r>
      <w:r>
        <w:rPr>
          <w:rFonts w:hint="eastAsia" w:asciiTheme="minorEastAsia" w:hAnsiTheme="minorEastAsia" w:eastAsiaTheme="minorEastAsia"/>
          <w:b w:val="0"/>
          <w:bCs w:val="0"/>
          <w:sz w:val="24"/>
          <w:szCs w:val="24"/>
          <w:lang w:val="en-US" w:eastAsia="zh-CN"/>
        </w:rPr>
        <w:t>31074个</w:t>
      </w:r>
      <w:r>
        <w:rPr>
          <w:rFonts w:hint="eastAsia" w:asciiTheme="minorEastAsia" w:hAnsiTheme="minorEastAsia" w:eastAsiaTheme="minorEastAsia"/>
          <w:b w:val="0"/>
          <w:bCs w:val="0"/>
          <w:sz w:val="24"/>
          <w:szCs w:val="24"/>
          <w:lang w:eastAsia="zh-CN"/>
        </w:rPr>
        <w:t>；</w:t>
      </w:r>
      <w:r>
        <w:rPr>
          <w:rFonts w:hint="eastAsia" w:asciiTheme="minorEastAsia" w:hAnsiTheme="minorEastAsia" w:eastAsiaTheme="minorEastAsia"/>
          <w:b w:val="0"/>
          <w:bCs w:val="0"/>
          <w:sz w:val="24"/>
          <w:szCs w:val="24"/>
        </w:rPr>
        <w:t>将城市事件划分为6大类</w:t>
      </w:r>
      <w:r>
        <w:rPr>
          <w:rFonts w:hint="eastAsia" w:asciiTheme="minorEastAsia" w:hAnsiTheme="minorEastAsia" w:eastAsiaTheme="minorEastAsia"/>
          <w:b w:val="0"/>
          <w:bCs w:val="0"/>
          <w:sz w:val="24"/>
          <w:szCs w:val="24"/>
          <w:lang w:eastAsia="zh-CN"/>
        </w:rPr>
        <w:t>（包括市容环境类、宣传广告类、施工管理类、突发事件类、街面秩序类、扩展实践类），</w:t>
      </w:r>
      <w:r>
        <w:rPr>
          <w:rFonts w:hint="eastAsia" w:asciiTheme="minorEastAsia" w:hAnsiTheme="minorEastAsia" w:eastAsiaTheme="minorEastAsia"/>
          <w:b w:val="0"/>
          <w:bCs w:val="0"/>
          <w:sz w:val="24"/>
          <w:szCs w:val="24"/>
        </w:rPr>
        <w:t>68小类。按照“管理精细化、手段数字化、评价科学化”工作要求，将城市管理工作全部纳入数字化信息监管平台，对监管发现的问题，第一时间推送到相关</w:t>
      </w:r>
      <w:r>
        <w:rPr>
          <w:rFonts w:hint="eastAsia" w:asciiTheme="minorEastAsia" w:hAnsiTheme="minorEastAsia" w:eastAsiaTheme="minorEastAsia"/>
          <w:b w:val="0"/>
          <w:bCs w:val="0"/>
          <w:sz w:val="24"/>
          <w:szCs w:val="24"/>
          <w:lang w:val="en-US" w:eastAsia="zh-CN"/>
        </w:rPr>
        <w:t>部门予以处置。截至年底，</w:t>
      </w:r>
      <w:r>
        <w:rPr>
          <w:rFonts w:hint="eastAsia" w:asciiTheme="minorEastAsia" w:hAnsiTheme="minorEastAsia" w:eastAsiaTheme="minorEastAsia"/>
          <w:sz w:val="24"/>
          <w:szCs w:val="24"/>
        </w:rPr>
        <w:t>县</w:t>
      </w:r>
      <w:r>
        <w:rPr>
          <w:rFonts w:hint="eastAsia" w:asciiTheme="minorEastAsia" w:hAnsiTheme="minorEastAsia" w:eastAsiaTheme="minorEastAsia"/>
          <w:sz w:val="24"/>
          <w:szCs w:val="24"/>
          <w:lang w:eastAsia="zh-CN"/>
        </w:rPr>
        <w:t>城管</w:t>
      </w:r>
      <w:r>
        <w:rPr>
          <w:rFonts w:hint="eastAsia" w:asciiTheme="minorEastAsia" w:hAnsiTheme="minorEastAsia" w:eastAsiaTheme="minorEastAsia"/>
          <w:sz w:val="24"/>
          <w:szCs w:val="24"/>
        </w:rPr>
        <w:t>行政执法局</w:t>
      </w:r>
      <w:r>
        <w:rPr>
          <w:rFonts w:hint="eastAsia" w:asciiTheme="minorEastAsia" w:hAnsiTheme="minorEastAsia" w:eastAsiaTheme="minorEastAsia"/>
          <w:b w:val="0"/>
          <w:bCs w:val="0"/>
          <w:sz w:val="24"/>
          <w:szCs w:val="24"/>
          <w:lang w:val="en-US" w:eastAsia="zh-CN"/>
        </w:rPr>
        <w:t>受理派遣各类有效事、部件案件20703件，按期结案20007件，按期结案率96.64</w:t>
      </w:r>
      <w:r>
        <w:rPr>
          <w:rFonts w:hint="default" w:asciiTheme="minorEastAsia" w:hAnsiTheme="minorEastAsia" w:eastAsiaTheme="minorEastAsia"/>
          <w:b w:val="0"/>
          <w:bCs w:val="0"/>
          <w:sz w:val="24"/>
          <w:szCs w:val="24"/>
          <w:lang w:val="en-US" w:eastAsia="zh-CN"/>
        </w:rPr>
        <w:t>%</w:t>
      </w:r>
      <w:r>
        <w:rPr>
          <w:rFonts w:hint="eastAsia" w:asciiTheme="minorEastAsia" w:hAnsiTheme="minorEastAsia" w:eastAsiaTheme="minorEastAsia"/>
          <w:b w:val="0"/>
          <w:bCs w:val="0"/>
          <w:sz w:val="24"/>
          <w:szCs w:val="24"/>
          <w:lang w:val="en-US" w:eastAsia="zh-CN"/>
        </w:rPr>
        <w:t>,结案20436件,结案率98.71%。</w:t>
      </w:r>
    </w:p>
    <w:p w14:paraId="74E9143B">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asciiTheme="minorEastAsia" w:hAnsiTheme="minorEastAsia" w:eastAsiaTheme="minorEastAsia"/>
          <w:b w:val="0"/>
          <w:bCs w:val="0"/>
          <w:sz w:val="24"/>
          <w:szCs w:val="24"/>
          <w:lang w:val="en-US" w:eastAsia="zh-CN"/>
        </w:rPr>
      </w:pPr>
    </w:p>
    <w:p w14:paraId="1087B352">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asciiTheme="minorEastAsia" w:hAnsiTheme="minorEastAsia" w:eastAsiaTheme="minorEastAsia"/>
          <w:b w:val="0"/>
          <w:bCs w:val="0"/>
          <w:sz w:val="24"/>
          <w:szCs w:val="24"/>
          <w:lang w:val="en-US" w:eastAsia="zh-CN"/>
        </w:rPr>
      </w:pPr>
      <w:r>
        <w:rPr>
          <w:rFonts w:hint="eastAsia" w:ascii="黑体" w:hAnsi="黑体" w:eastAsia="黑体"/>
          <w:sz w:val="24"/>
        </w:rPr>
        <w:t>【</w:t>
      </w:r>
      <w:r>
        <w:rPr>
          <w:rFonts w:hint="eastAsia" w:ascii="黑体" w:hAnsi="黑体" w:eastAsia="黑体"/>
          <w:sz w:val="24"/>
          <w:lang w:eastAsia="zh-CN"/>
        </w:rPr>
        <w:t>公用事业管理</w:t>
      </w:r>
      <w:r>
        <w:rPr>
          <w:rFonts w:hint="eastAsia" w:ascii="黑体" w:hAnsi="黑体" w:eastAsia="黑体"/>
          <w:sz w:val="24"/>
        </w:rPr>
        <w:t>】</w:t>
      </w:r>
      <w:r>
        <w:rPr>
          <w:rFonts w:hint="eastAsia" w:ascii="黑体" w:hAnsi="黑体" w:eastAsia="黑体"/>
          <w:sz w:val="24"/>
          <w:lang w:val="en-US" w:eastAsia="zh-CN"/>
        </w:rPr>
        <w:t xml:space="preserve">  </w:t>
      </w:r>
      <w:r>
        <w:rPr>
          <w:rFonts w:hint="eastAsia" w:asciiTheme="minorEastAsia" w:hAnsiTheme="minorEastAsia" w:eastAsiaTheme="minorEastAsia"/>
          <w:b w:val="0"/>
          <w:bCs w:val="0"/>
          <w:sz w:val="24"/>
          <w:szCs w:val="24"/>
          <w:lang w:val="en-US" w:eastAsia="zh-CN"/>
        </w:rPr>
        <w:t>2024年，县城管行政执法局强化行业监管，提升公用事业服务质量和管理水平</w:t>
      </w:r>
      <w:r>
        <w:rPr>
          <w:rFonts w:hint="eastAsia" w:ascii="黑体" w:hAnsi="黑体" w:eastAsia="黑体"/>
          <w:sz w:val="24"/>
          <w:lang w:val="en-US" w:eastAsia="zh-CN"/>
        </w:rPr>
        <w:t>。</w:t>
      </w:r>
      <w:bookmarkStart w:id="0" w:name="_GoBack"/>
      <w:bookmarkEnd w:id="0"/>
      <w:r>
        <w:rPr>
          <w:rFonts w:hint="eastAsia" w:asciiTheme="minorEastAsia" w:hAnsiTheme="minorEastAsia" w:eastAsiaTheme="minorEastAsia"/>
          <w:b w:val="0"/>
          <w:bCs w:val="0"/>
          <w:sz w:val="24"/>
          <w:szCs w:val="24"/>
          <w:lang w:val="en-US" w:eastAsia="zh-CN"/>
        </w:rPr>
        <w:t>北方供水公司每天对水质进行检测，同时，每月对水质42项常规指标检测1次，及每年1次106项指标检测，均符合生活饮用水标准；年内加快推进燃气老旧管网更新改造。全年持续开展燃气管网“带病运行”专项治理工作，聚焦材质落后、使用年限较长、运行环境存在安全隐患的燃气管道，制定本年度燃气老旧管网改造计划，全年立管改造1.5千米；年内加快推进液化气企业规模化整合。根据实际液化石油气使用情况和液化石油气企业自身情况，组织3家（刘街光华、别古庄民源、韩村丙谦）企业进行协调。年内，丙谦液化气站、民源液化气站、光华液化气站企业与廊坊飞蜥电子商务有限公司达成初步协议，建立统一平台，统一配送、安检，实现一站式监督管理；年内开展高风险区域 PPB 级泄漏检测工作。督促燃气企业严格落实《关于深入开展全省城乡燃气管道“带病运行”和液化气安全问题隐患专项治理的通知》要求，每月对高风险区域进行一次全覆盖泄漏检测，并对管网台账进行动态更新，如实记录并上报检测数据，通过省城乡燃气监管信息平台校核管网信息，精确到每一个管段，摸清高风险区域类型、管道位置描述和受影响管道长度，保持线上、线下数据的一致性。</w:t>
      </w:r>
    </w:p>
    <w:p w14:paraId="56B08A26">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asciiTheme="minorEastAsia" w:hAnsiTheme="minorEastAsia" w:eastAsiaTheme="minorEastAsia"/>
          <w:b w:val="0"/>
          <w:bCs w:val="0"/>
          <w:sz w:val="24"/>
          <w:szCs w:val="24"/>
          <w:lang w:val="en-US" w:eastAsia="zh-CN"/>
        </w:rPr>
      </w:pPr>
    </w:p>
    <w:p w14:paraId="34BF8FD3">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asciiTheme="minorEastAsia" w:hAnsiTheme="minorEastAsia" w:eastAsiaTheme="minorEastAsia"/>
          <w:b w:val="0"/>
          <w:bCs w:val="0"/>
          <w:sz w:val="24"/>
          <w:szCs w:val="24"/>
          <w:lang w:val="en-US" w:eastAsia="zh-CN"/>
        </w:rPr>
      </w:pPr>
      <w:r>
        <w:rPr>
          <w:rFonts w:hint="eastAsia" w:ascii="黑体" w:hAnsi="黑体" w:eastAsia="黑体" w:cs="黑体"/>
          <w:sz w:val="24"/>
        </w:rPr>
        <w:t>【</w:t>
      </w:r>
      <w:r>
        <w:rPr>
          <w:rFonts w:hint="eastAsia" w:ascii="黑体" w:hAnsi="黑体" w:eastAsia="黑体" w:cs="黑体"/>
          <w:b w:val="0"/>
          <w:bCs w:val="0"/>
          <w:sz w:val="24"/>
          <w:szCs w:val="24"/>
          <w:lang w:val="en-US" w:eastAsia="zh-CN"/>
        </w:rPr>
        <w:t>涉气施工安全管理</w:t>
      </w:r>
      <w:r>
        <w:rPr>
          <w:rFonts w:hint="eastAsia" w:ascii="黑体" w:hAnsi="黑体" w:eastAsia="黑体" w:cs="黑体"/>
          <w:sz w:val="24"/>
        </w:rPr>
        <w:t>】</w:t>
      </w:r>
      <w:r>
        <w:rPr>
          <w:rFonts w:hint="eastAsia" w:ascii="黑体" w:hAnsi="黑体" w:eastAsia="黑体" w:cs="黑体"/>
          <w:sz w:val="24"/>
          <w:lang w:val="en-US" w:eastAsia="zh-CN"/>
        </w:rPr>
        <w:t xml:space="preserve">  </w:t>
      </w:r>
      <w:r>
        <w:rPr>
          <w:rFonts w:hint="eastAsia" w:ascii="宋体" w:hAnsi="宋体" w:eastAsia="宋体" w:cs="宋体"/>
          <w:sz w:val="24"/>
          <w:lang w:val="en-US" w:eastAsia="zh-CN"/>
        </w:rPr>
        <w:t>2024年，</w:t>
      </w:r>
      <w:r>
        <w:rPr>
          <w:rFonts w:hint="eastAsia" w:ascii="宋体" w:hAnsi="宋体" w:eastAsia="宋体" w:cs="宋体"/>
          <w:b w:val="0"/>
          <w:bCs w:val="0"/>
          <w:sz w:val="24"/>
          <w:szCs w:val="24"/>
          <w:lang w:val="en-US" w:eastAsia="zh-CN"/>
        </w:rPr>
        <w:t>县城管行政执法局督导建设</w:t>
      </w:r>
      <w:r>
        <w:rPr>
          <w:rFonts w:hint="eastAsia" w:asciiTheme="minorEastAsia" w:hAnsiTheme="minorEastAsia" w:eastAsiaTheme="minorEastAsia"/>
          <w:b w:val="0"/>
          <w:bCs w:val="0"/>
          <w:sz w:val="24"/>
          <w:szCs w:val="24"/>
          <w:lang w:val="en-US" w:eastAsia="zh-CN"/>
        </w:rPr>
        <w:t>、施工和燃气企业全面压实各方责任，严格落实管线调查交底、签订 保护协议、燃气企业现场旁站等制度，抓好第三方涉气施工安全管理，加强农村燃气管道专项治理暨安全隐患排查整治，严禁在未实地核查清楚管线路由的情况下盲目施工。域内25个第三方涉气施工项目均已签订保护协议并办理备案手续，落实了旁站制度，有效防范和遏制三方施工破坏燃气管道及附属设施事故发生。</w:t>
      </w:r>
    </w:p>
    <w:p w14:paraId="4B52991A">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asciiTheme="minorEastAsia" w:hAnsiTheme="minorEastAsia" w:eastAsiaTheme="minorEastAsia"/>
          <w:b w:val="0"/>
          <w:bCs w:val="0"/>
          <w:sz w:val="24"/>
          <w:szCs w:val="24"/>
          <w:lang w:val="en-US" w:eastAsia="zh-CN"/>
        </w:rPr>
      </w:pPr>
    </w:p>
    <w:p w14:paraId="5888849E">
      <w:pPr>
        <w:keepNext w:val="0"/>
        <w:keepLines w:val="0"/>
        <w:pageBreakBefore w:val="0"/>
        <w:widowControl w:val="0"/>
        <w:kinsoku/>
        <w:wordWrap/>
        <w:overflowPunct/>
        <w:topLinePunct w:val="0"/>
        <w:autoSpaceDE/>
        <w:autoSpaceDN/>
        <w:bidi w:val="0"/>
        <w:adjustRightInd w:val="0"/>
        <w:snapToGrid w:val="0"/>
        <w:spacing w:line="300" w:lineRule="auto"/>
        <w:ind w:right="0" w:rightChars="0"/>
        <w:jc w:val="both"/>
        <w:textAlignment w:val="auto"/>
        <w:outlineLvl w:val="9"/>
        <w:rPr>
          <w:rFonts w:hint="eastAsia" w:asciiTheme="minorEastAsia" w:hAnsiTheme="minorEastAsia" w:eastAsiaTheme="minorEastAsia"/>
          <w:b w:val="0"/>
          <w:bCs w:val="0"/>
          <w:sz w:val="24"/>
          <w:szCs w:val="24"/>
          <w:lang w:eastAsia="zh-CN"/>
        </w:rPr>
      </w:pPr>
      <w:r>
        <w:rPr>
          <w:rFonts w:hint="eastAsia" w:ascii="黑体" w:hAnsi="黑体" w:eastAsia="黑体" w:cs="黑体"/>
          <w:sz w:val="24"/>
        </w:rPr>
        <w:t>【</w:t>
      </w:r>
      <w:r>
        <w:rPr>
          <w:rFonts w:hint="eastAsia" w:ascii="黑体" w:hAnsi="黑体" w:eastAsia="黑体" w:cs="黑体"/>
          <w:b w:val="0"/>
          <w:bCs w:val="0"/>
          <w:sz w:val="24"/>
          <w:szCs w:val="24"/>
          <w:lang w:val="en-US" w:eastAsia="zh-CN"/>
        </w:rPr>
        <w:t>燃气安全隐患专项整治</w:t>
      </w:r>
      <w:r>
        <w:rPr>
          <w:rFonts w:hint="eastAsia" w:ascii="黑体" w:hAnsi="黑体" w:eastAsia="黑体" w:cs="黑体"/>
          <w:sz w:val="24"/>
        </w:rPr>
        <w:t>】</w:t>
      </w:r>
      <w:r>
        <w:rPr>
          <w:rFonts w:hint="eastAsia" w:ascii="黑体" w:hAnsi="黑体" w:eastAsia="黑体" w:cs="黑体"/>
          <w:sz w:val="24"/>
          <w:lang w:val="en-US" w:eastAsia="zh-CN"/>
        </w:rPr>
        <w:t xml:space="preserve">  </w:t>
      </w:r>
      <w:r>
        <w:rPr>
          <w:rFonts w:hint="eastAsia" w:ascii="宋体" w:hAnsi="宋体" w:eastAsia="宋体" w:cs="宋体"/>
          <w:sz w:val="24"/>
          <w:lang w:val="en-US" w:eastAsia="zh-CN"/>
        </w:rPr>
        <w:t>2024年，</w:t>
      </w:r>
      <w:r>
        <w:rPr>
          <w:rFonts w:hint="eastAsia" w:ascii="宋体" w:hAnsi="宋体" w:eastAsia="宋体" w:cs="宋体"/>
          <w:b w:val="0"/>
          <w:bCs w:val="0"/>
          <w:sz w:val="24"/>
          <w:szCs w:val="24"/>
          <w:lang w:val="en-US" w:eastAsia="zh-CN"/>
        </w:rPr>
        <w:t>县城管行政执法局</w:t>
      </w:r>
      <w:r>
        <w:rPr>
          <w:rFonts w:hint="eastAsia" w:asciiTheme="minorEastAsia" w:hAnsiTheme="minorEastAsia" w:eastAsiaTheme="minorEastAsia"/>
          <w:b w:val="0"/>
          <w:bCs w:val="0"/>
          <w:sz w:val="24"/>
          <w:szCs w:val="24"/>
          <w:lang w:val="en-US" w:eastAsia="zh-CN"/>
        </w:rPr>
        <w:t>开展燃气安全隐患专项整治工作。督导各乡镇（区、办）及县直相关部门做好燃气安全隐患专项整治工作，重点检查餐饮企业在地下或半地下空间使用瓶装液化气，使用50kg 气液双相瓶、可调减压阀，使用不符合国家标准或假冒伪劣的液化气瓶、可燃气体探测器、紧急切断阀、调压器、连接软管、灶具，以及连接软管超过2米、私接“三通”、穿越墙体、门窗等问题，排查整治“黑窝点”、“黑气瓶”，建立工作台账。全年出动检查组95组，检查人次197人（次），共检查燃气企业158家（次），排查问题隐患351个，年内全部完成整改。</w:t>
      </w:r>
    </w:p>
    <w:p w14:paraId="0B4AFF40">
      <w:pPr>
        <w:pStyle w:val="5"/>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rPr>
      </w:pPr>
    </w:p>
    <w:p w14:paraId="65F93827">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w:t>
      </w:r>
      <w:r>
        <w:rPr>
          <w:rStyle w:val="7"/>
          <w:rFonts w:hint="eastAsia" w:ascii="黑体" w:hAnsi="黑体" w:eastAsia="黑体" w:cs="黑体"/>
          <w:sz w:val="24"/>
          <w:szCs w:val="24"/>
          <w:lang w:val="en-US" w:eastAsia="zh-CN"/>
        </w:rPr>
        <w:t>大气污染治理</w:t>
      </w:r>
      <w:r>
        <w:rPr>
          <w:rFonts w:hint="eastAsia" w:ascii="宋体" w:hAnsi="宋体"/>
          <w:sz w:val="24"/>
          <w:lang w:val="en-US" w:eastAsia="zh-CN"/>
        </w:rPr>
        <w:t>】  2024年，全县有渣土车企业5家，渣土车22辆，所有车辆全部符合渣土运输标准，全部安装跟踪定位装置。在日常工作中，派驻驻场员对施工工地内施工车辆出场前车身冲洗、车体覆盖等进行监督检查；对一中门口、廊霸路口、益昌路等重要路段工地出入口的盯守，严防车胎带泥上路，严查渣土车辆沿街撒漏行为；加大夜间执法力度，分组对主要街道设卡循环巡查，严厉查处渣土车辆沿街撒漏、无覆盖运输等污染城区道路的行为。全年累计共劝导渣土车22辆，处罚3辆，罚款6000元。</w:t>
      </w:r>
    </w:p>
    <w:p w14:paraId="6A4B0864">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Style w:val="7"/>
          <w:rFonts w:hint="eastAsia" w:ascii="黑体" w:hAnsi="黑体" w:eastAsia="黑体" w:cs="黑体"/>
          <w:sz w:val="24"/>
          <w:szCs w:val="24"/>
        </w:rPr>
      </w:pPr>
    </w:p>
    <w:p w14:paraId="13D4E933">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ascii="宋体" w:hAnsi="宋体"/>
          <w:sz w:val="24"/>
          <w:lang w:val="en-US" w:eastAsia="zh-CN"/>
        </w:rPr>
      </w:pPr>
      <w:r>
        <w:rPr>
          <w:rStyle w:val="7"/>
          <w:rFonts w:hint="eastAsia" w:ascii="黑体" w:hAnsi="黑体" w:eastAsia="黑体" w:cs="黑体"/>
          <w:sz w:val="24"/>
          <w:szCs w:val="24"/>
        </w:rPr>
        <w:t>【</w:t>
      </w:r>
      <w:r>
        <w:rPr>
          <w:rStyle w:val="7"/>
          <w:rFonts w:hint="eastAsia" w:ascii="黑体" w:hAnsi="黑体" w:eastAsia="黑体" w:cs="黑体"/>
          <w:sz w:val="24"/>
          <w:szCs w:val="24"/>
          <w:lang w:eastAsia="zh-CN"/>
        </w:rPr>
        <w:t>市政设施维护</w:t>
      </w:r>
      <w:r>
        <w:rPr>
          <w:rStyle w:val="7"/>
          <w:rFonts w:hint="eastAsia" w:ascii="黑体" w:hAnsi="黑体" w:eastAsia="黑体" w:cs="黑体"/>
          <w:sz w:val="24"/>
          <w:szCs w:val="24"/>
        </w:rPr>
        <w:t>】</w:t>
      </w:r>
      <w:r>
        <w:rPr>
          <w:rStyle w:val="7"/>
          <w:rFonts w:hint="eastAsia" w:ascii="黑体" w:hAnsi="黑体" w:eastAsia="黑体" w:cs="黑体"/>
          <w:sz w:val="24"/>
          <w:szCs w:val="24"/>
          <w:lang w:val="en-US" w:eastAsia="zh-CN"/>
        </w:rPr>
        <w:t xml:space="preserve">  </w:t>
      </w:r>
      <w:r>
        <w:rPr>
          <w:rFonts w:hint="eastAsia" w:ascii="宋体" w:hAnsi="宋体"/>
          <w:sz w:val="24"/>
          <w:lang w:val="en-US" w:eastAsia="zh-CN"/>
        </w:rPr>
        <w:t>2024年，县城管行政执法局秉持科学规划、精心组织、严格施工的原则，对县城区污水管网市政设施进行了系统梳理和整改。从井盖、雨篦子到道路、路灯等各个方面，全面排查，不放过任何一个可能影响城市功能和环境的细节。截至年底更换井盖 19 处、雨篦子14 处、维修损坏道路 28 处、更换路灯80 盏。</w:t>
      </w:r>
    </w:p>
    <w:p w14:paraId="4EE77699">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right"/>
        <w:textAlignment w:val="auto"/>
        <w:outlineLvl w:val="9"/>
        <w:rPr>
          <w:rFonts w:hint="eastAsia" w:ascii="楷体" w:hAnsi="楷体" w:eastAsia="楷体" w:cs="楷体"/>
          <w:sz w:val="24"/>
          <w:lang w:val="en-US" w:eastAsia="zh-CN"/>
        </w:rPr>
      </w:pPr>
      <w:r>
        <w:rPr>
          <w:rFonts w:hint="eastAsia" w:ascii="楷体" w:hAnsi="楷体" w:eastAsia="楷体" w:cs="楷体"/>
          <w:sz w:val="24"/>
          <w:lang w:val="en-US" w:eastAsia="zh-CN"/>
        </w:rPr>
        <w:t>（陈宇琦）</w:t>
      </w:r>
    </w:p>
    <w:p w14:paraId="45BC97C2">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jc w:val="both"/>
        <w:textAlignment w:val="auto"/>
        <w:outlineLvl w:val="9"/>
        <w:rPr>
          <w:rFonts w:hint="eastAsia" w:ascii="楷体" w:hAnsi="楷体" w:eastAsia="楷体" w:cs="楷体"/>
          <w:sz w:val="24"/>
          <w:lang w:val="en-US" w:eastAsia="zh-CN"/>
        </w:rPr>
      </w:pPr>
    </w:p>
    <w:p w14:paraId="3C6D6A18">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textAlignment w:val="auto"/>
        <w:outlineLvl w:val="9"/>
        <w:rPr>
          <w:rFonts w:hint="eastAsia" w:ascii="宋体" w:hAnsi="宋体"/>
          <w:sz w:val="24"/>
          <w:lang w:val="en-US" w:eastAsia="zh-CN"/>
        </w:rPr>
      </w:pPr>
    </w:p>
    <w:p w14:paraId="5746E9C4">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textAlignment w:val="auto"/>
        <w:outlineLvl w:val="9"/>
        <w:rPr>
          <w:rFonts w:hint="eastAsia" w:ascii="宋体" w:hAnsi="宋体"/>
          <w:sz w:val="24"/>
          <w:lang w:val="en-US" w:eastAsia="zh-CN"/>
        </w:rPr>
      </w:pPr>
    </w:p>
    <w:p w14:paraId="2D87A1DD">
      <w:pPr>
        <w:keepNext w:val="0"/>
        <w:keepLines w:val="0"/>
        <w:pageBreakBefore w:val="0"/>
        <w:widowControl w:val="0"/>
        <w:kinsoku/>
        <w:wordWrap/>
        <w:overflowPunct/>
        <w:topLinePunct w:val="0"/>
        <w:autoSpaceDE/>
        <w:autoSpaceDN/>
        <w:bidi w:val="0"/>
        <w:adjustRightInd w:val="0"/>
        <w:snapToGrid w:val="0"/>
        <w:spacing w:line="300" w:lineRule="auto"/>
        <w:ind w:left="0" w:right="0" w:rightChars="0" w:firstLine="0" w:firstLineChars="0"/>
        <w:textAlignment w:val="auto"/>
        <w:outlineLvl w:val="9"/>
        <w:rPr>
          <w:rFonts w:hint="eastAsia" w:ascii="宋体" w:hAnsi="宋体"/>
          <w:sz w:val="24"/>
          <w:lang w:val="en-US" w:eastAsia="zh-CN"/>
        </w:rPr>
      </w:pPr>
    </w:p>
    <w:p w14:paraId="16A9379B">
      <w:pPr>
        <w:keepNext w:val="0"/>
        <w:keepLines w:val="0"/>
        <w:pageBreakBefore w:val="0"/>
        <w:widowControl w:val="0"/>
        <w:kinsoku/>
        <w:wordWrap/>
        <w:overflowPunct/>
        <w:topLinePunct w:val="0"/>
        <w:autoSpaceDE/>
        <w:autoSpaceDN/>
        <w:bidi w:val="0"/>
        <w:adjustRightInd w:val="0"/>
        <w:snapToGrid w:val="0"/>
        <w:spacing w:line="300" w:lineRule="auto"/>
        <w:ind w:left="0" w:firstLine="0" w:firstLineChars="0"/>
        <w:textAlignment w:val="auto"/>
      </w:pPr>
    </w:p>
    <w:sectPr>
      <w:pgSz w:w="11906" w:h="16838"/>
      <w:pgMar w:top="1701"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A0723C"/>
    <w:rsid w:val="0FA0723C"/>
    <w:rsid w:val="15155054"/>
    <w:rsid w:val="1E9055F0"/>
    <w:rsid w:val="2B8F0DE2"/>
    <w:rsid w:val="2BFF463C"/>
    <w:rsid w:val="2F1A6892"/>
    <w:rsid w:val="31C418F2"/>
    <w:rsid w:val="3CF4361D"/>
    <w:rsid w:val="3DB159B2"/>
    <w:rsid w:val="44CB555F"/>
    <w:rsid w:val="48B40105"/>
    <w:rsid w:val="4CD06914"/>
    <w:rsid w:val="527B46A0"/>
    <w:rsid w:val="52805008"/>
    <w:rsid w:val="54C16083"/>
    <w:rsid w:val="55427177"/>
    <w:rsid w:val="561B078C"/>
    <w:rsid w:val="57F31AD7"/>
    <w:rsid w:val="589614F6"/>
    <w:rsid w:val="594554D5"/>
    <w:rsid w:val="63F43EFE"/>
    <w:rsid w:val="669255A4"/>
    <w:rsid w:val="6BE6367C"/>
    <w:rsid w:val="6D47614A"/>
    <w:rsid w:val="6EA162A6"/>
    <w:rsid w:val="7099159E"/>
    <w:rsid w:val="71693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kinsoku w:val="0"/>
      <w:autoSpaceDE w:val="0"/>
      <w:autoSpaceDN w:val="0"/>
      <w:adjustRightInd w:val="0"/>
      <w:snapToGrid w:val="0"/>
      <w:spacing w:line="240" w:lineRule="auto"/>
      <w:jc w:val="left"/>
      <w:textAlignment w:val="baseline"/>
    </w:pPr>
    <w:rPr>
      <w:rFonts w:ascii="仿宋" w:eastAsia="仿宋" w:cs="仿宋"/>
      <w:snapToGrid w:val="0"/>
      <w:color w:val="000000"/>
      <w:kern w:val="0"/>
      <w:sz w:val="35"/>
      <w:szCs w:val="35"/>
      <w:lang w:val="en-US" w:eastAsia="en-US" w:bidi="ar-SA"/>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index 9"/>
    <w:basedOn w:val="1"/>
    <w:next w:val="1"/>
    <w:qFormat/>
    <w:uiPriority w:val="0"/>
    <w:pPr>
      <w:ind w:left="3360"/>
      <w:jc w:val="left"/>
    </w:pPr>
    <w:rPr>
      <w:rFonts w:ascii="Calibri" w:hAnsi="Calibri" w:cs="Arial"/>
      <w:szCs w:val="22"/>
    </w:rPr>
  </w:style>
  <w:style w:type="character" w:customStyle="1" w:styleId="8">
    <w:name w:val="document"/>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3441</Words>
  <Characters>3585</Characters>
  <Lines>0</Lines>
  <Paragraphs>0</Paragraphs>
  <TotalTime>13</TotalTime>
  <ScaleCrop>false</ScaleCrop>
  <LinksUpToDate>false</LinksUpToDate>
  <CharactersWithSpaces>3623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2025-02-24T01:21:00Z</dcterms:created>
  <dc:creator>Administrator</dc:creator>
  <cp:lastModifiedBy>爱在人间</cp:lastModifiedBy>
  <cp:lastPrinted>2025-03-13T01:15:00Z</cp:lastPrinted>
  <dcterms:modified xsi:type="dcterms:W3CDTF">2025-04-02T03:17:17Z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C1D7F284B68641DDBA1C7A25CE867CD4_11</vt:lpwstr>
  </property>
  <property fmtid="{D5CDD505-2E9C-101B-9397-08002B2CF9AE}" pid="4" name="KSOTemplateDocerSaveRecord">
    <vt:lpwstr>eyJoZGlkIjoiMGY5OGFiYjExNTk3ZWIzYTM0MDcxYWQ1YWU2YjVhNjUiLCJ1c2VySWQiOiIyNTAwMTY1MjQifQ==</vt:lpwstr>
  </property>
</Properties>
</file>