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79BA66">
      <w:pPr>
        <w:widowControl/>
        <w:jc w:val="center"/>
        <w:rPr>
          <w:rFonts w:hint="default" w:ascii="Times New Roman" w:hAnsi="Times New Roman" w:cs="Times New Roman"/>
          <w:color w:val="auto"/>
          <w:sz w:val="36"/>
          <w:szCs w:val="36"/>
          <w:lang w:bidi="ar"/>
        </w:rPr>
      </w:pPr>
    </w:p>
    <w:p w14:paraId="79903279">
      <w:pPr>
        <w:widowControl/>
        <w:jc w:val="center"/>
        <w:rPr>
          <w:rFonts w:hint="default" w:ascii="Times New Roman" w:hAnsi="Times New Roman" w:cs="Times New Roman"/>
          <w:color w:val="auto"/>
          <w:sz w:val="36"/>
          <w:szCs w:val="36"/>
          <w:lang w:bidi="ar"/>
        </w:rPr>
      </w:pPr>
    </w:p>
    <w:p w14:paraId="39D2E381">
      <w:pPr>
        <w:widowControl/>
        <w:jc w:val="center"/>
        <w:rPr>
          <w:rFonts w:hint="default" w:ascii="Times New Roman" w:hAnsi="Times New Roman" w:cs="Times New Roman"/>
          <w:color w:val="auto"/>
        </w:rPr>
      </w:pPr>
      <w:r>
        <w:rPr>
          <w:rFonts w:hint="default" w:ascii="Times New Roman" w:hAnsi="Times New Roman" w:cs="Times New Roman"/>
          <w:color w:val="auto"/>
          <w:sz w:val="72"/>
          <w:szCs w:val="72"/>
          <w:lang w:bidi="ar"/>
        </w:rPr>
        <w:t>建设项目环境影响报告表</w:t>
      </w:r>
    </w:p>
    <w:p w14:paraId="08D08F63">
      <w:pPr>
        <w:widowControl/>
        <w:jc w:val="center"/>
        <w:rPr>
          <w:rFonts w:hint="default" w:ascii="Times New Roman" w:hAnsi="Times New Roman" w:cs="Times New Roman"/>
          <w:color w:val="auto"/>
        </w:rPr>
      </w:pPr>
      <w:r>
        <w:rPr>
          <w:rFonts w:hint="default" w:ascii="Times New Roman" w:hAnsi="Times New Roman" w:cs="Times New Roman"/>
          <w:color w:val="auto"/>
          <w:sz w:val="48"/>
          <w:szCs w:val="48"/>
          <w:lang w:bidi="ar"/>
        </w:rPr>
        <w:t>（污染影响类）</w:t>
      </w:r>
    </w:p>
    <w:p w14:paraId="78702B50">
      <w:pPr>
        <w:widowControl/>
        <w:jc w:val="center"/>
        <w:rPr>
          <w:rFonts w:hint="default" w:ascii="Times New Roman" w:hAnsi="Times New Roman" w:cs="Times New Roman"/>
          <w:color w:val="auto"/>
          <w:sz w:val="36"/>
          <w:szCs w:val="36"/>
          <w:lang w:bidi="ar"/>
        </w:rPr>
      </w:pPr>
    </w:p>
    <w:p w14:paraId="5D3B8F34">
      <w:pPr>
        <w:widowControl/>
        <w:jc w:val="center"/>
        <w:rPr>
          <w:rFonts w:hint="default" w:ascii="Times New Roman" w:hAnsi="Times New Roman" w:cs="Times New Roman"/>
          <w:color w:val="auto"/>
          <w:sz w:val="36"/>
          <w:szCs w:val="36"/>
          <w:lang w:bidi="ar"/>
        </w:rPr>
      </w:pPr>
    </w:p>
    <w:p w14:paraId="7A2446E9">
      <w:pPr>
        <w:widowControl/>
        <w:jc w:val="center"/>
        <w:rPr>
          <w:rFonts w:hint="default" w:ascii="Times New Roman" w:hAnsi="Times New Roman" w:cs="Times New Roman"/>
          <w:color w:val="auto"/>
          <w:sz w:val="36"/>
          <w:szCs w:val="36"/>
          <w:lang w:bidi="ar"/>
        </w:rPr>
      </w:pPr>
      <w:bookmarkStart w:id="1" w:name="_GoBack"/>
      <w:bookmarkEnd w:id="1"/>
    </w:p>
    <w:p w14:paraId="5394282E">
      <w:pPr>
        <w:widowControl/>
        <w:jc w:val="center"/>
        <w:rPr>
          <w:rFonts w:hint="default" w:ascii="Times New Roman" w:hAnsi="Times New Roman" w:cs="Times New Roman"/>
          <w:color w:val="auto"/>
          <w:sz w:val="36"/>
          <w:szCs w:val="36"/>
          <w:lang w:bidi="ar"/>
        </w:rPr>
      </w:pPr>
    </w:p>
    <w:p w14:paraId="537FEF0F">
      <w:pPr>
        <w:widowControl/>
        <w:jc w:val="center"/>
        <w:rPr>
          <w:rFonts w:hint="default" w:ascii="Times New Roman" w:hAnsi="Times New Roman" w:cs="Times New Roman"/>
          <w:color w:val="auto"/>
          <w:sz w:val="36"/>
          <w:szCs w:val="36"/>
          <w:lang w:bidi="ar"/>
        </w:rPr>
      </w:pPr>
    </w:p>
    <w:p w14:paraId="3A018917">
      <w:pPr>
        <w:widowControl/>
        <w:jc w:val="center"/>
        <w:rPr>
          <w:rFonts w:hint="default" w:ascii="Times New Roman" w:hAnsi="Times New Roman" w:cs="Times New Roman"/>
          <w:color w:val="auto"/>
          <w:sz w:val="36"/>
          <w:szCs w:val="36"/>
          <w:lang w:bidi="ar"/>
        </w:rPr>
      </w:pPr>
    </w:p>
    <w:p w14:paraId="43130F01">
      <w:pPr>
        <w:widowControl/>
        <w:jc w:val="center"/>
        <w:rPr>
          <w:rFonts w:hint="default" w:ascii="Times New Roman" w:hAnsi="Times New Roman" w:cs="Times New Roman"/>
          <w:color w:val="auto"/>
          <w:sz w:val="36"/>
          <w:szCs w:val="36"/>
          <w:lang w:bidi="ar"/>
        </w:rPr>
      </w:pPr>
    </w:p>
    <w:p w14:paraId="1CDAD4D9">
      <w:pPr>
        <w:widowControl/>
        <w:jc w:val="center"/>
        <w:rPr>
          <w:rFonts w:hint="default" w:ascii="Times New Roman" w:hAnsi="Times New Roman" w:cs="Times New Roman"/>
          <w:color w:val="auto"/>
          <w:sz w:val="36"/>
          <w:szCs w:val="36"/>
          <w:lang w:bidi="ar"/>
        </w:rPr>
      </w:pPr>
    </w:p>
    <w:tbl>
      <w:tblPr>
        <w:tblStyle w:val="35"/>
        <w:tblW w:w="868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453"/>
        <w:gridCol w:w="5234"/>
      </w:tblGrid>
      <w:tr w14:paraId="1D5E28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453" w:type="dxa"/>
          </w:tcPr>
          <w:p w14:paraId="1BCD6E9C">
            <w:pPr>
              <w:pStyle w:val="4"/>
              <w:ind w:firstLine="0" w:firstLineChars="0"/>
              <w:jc w:val="distribute"/>
              <w:rPr>
                <w:rFonts w:hint="default" w:ascii="Times New Roman" w:hAnsi="Times New Roman" w:cs="Times New Roman"/>
                <w:color w:val="auto"/>
                <w:sz w:val="36"/>
                <w:szCs w:val="36"/>
                <w:lang w:bidi="ar"/>
              </w:rPr>
            </w:pPr>
            <w:r>
              <w:rPr>
                <w:rFonts w:hint="default" w:ascii="Times New Roman" w:hAnsi="Times New Roman" w:cs="Times New Roman"/>
                <w:color w:val="auto"/>
                <w:sz w:val="36"/>
                <w:szCs w:val="36"/>
                <w:lang w:bidi="ar"/>
              </w:rPr>
              <w:t>项目名称：</w:t>
            </w:r>
          </w:p>
        </w:tc>
        <w:tc>
          <w:tcPr>
            <w:tcW w:w="5234" w:type="dxa"/>
            <w:vAlign w:val="top"/>
          </w:tcPr>
          <w:p w14:paraId="762FD853">
            <w:pPr>
              <w:widowControl/>
              <w:jc w:val="distribute"/>
              <w:rPr>
                <w:rFonts w:hint="default" w:ascii="Times New Roman" w:hAnsi="Times New Roman" w:eastAsia="宋体" w:cs="Times New Roman"/>
                <w:color w:val="auto"/>
                <w:sz w:val="36"/>
                <w:szCs w:val="36"/>
                <w:lang w:eastAsia="zh-CN" w:bidi="ar"/>
              </w:rPr>
            </w:pPr>
            <w:r>
              <w:rPr>
                <w:rFonts w:hint="eastAsia" w:ascii="Times New Roman" w:hAnsi="Times New Roman" w:cs="Times New Roman"/>
                <w:color w:val="auto"/>
                <w:sz w:val="36"/>
                <w:szCs w:val="36"/>
                <w:u w:val="single"/>
                <w:lang w:eastAsia="zh-CN"/>
              </w:rPr>
              <w:t>年产 50 万套置物架项目</w:t>
            </w:r>
          </w:p>
        </w:tc>
      </w:tr>
      <w:tr w14:paraId="5B6D7F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453" w:type="dxa"/>
          </w:tcPr>
          <w:p w14:paraId="415946A7">
            <w:pPr>
              <w:pStyle w:val="4"/>
              <w:ind w:firstLine="0" w:firstLineChars="0"/>
              <w:jc w:val="distribute"/>
              <w:rPr>
                <w:rFonts w:hint="default" w:ascii="Times New Roman" w:hAnsi="Times New Roman" w:cs="Times New Roman"/>
                <w:color w:val="auto"/>
                <w:sz w:val="36"/>
                <w:szCs w:val="36"/>
                <w:lang w:bidi="ar"/>
              </w:rPr>
            </w:pPr>
            <w:r>
              <w:rPr>
                <w:rFonts w:hint="default" w:ascii="Times New Roman" w:hAnsi="Times New Roman" w:cs="Times New Roman"/>
                <w:color w:val="auto"/>
                <w:sz w:val="36"/>
                <w:szCs w:val="36"/>
                <w:lang w:bidi="ar"/>
              </w:rPr>
              <w:t>建设单位（盖章）：</w:t>
            </w:r>
          </w:p>
        </w:tc>
        <w:tc>
          <w:tcPr>
            <w:tcW w:w="5234" w:type="dxa"/>
          </w:tcPr>
          <w:p w14:paraId="25C34D7F">
            <w:pPr>
              <w:pStyle w:val="4"/>
              <w:ind w:firstLine="0" w:firstLineChars="0"/>
              <w:jc w:val="distribute"/>
              <w:rPr>
                <w:rFonts w:hint="default" w:ascii="Times New Roman" w:hAnsi="Times New Roman" w:eastAsia="宋体" w:cs="Times New Roman"/>
                <w:color w:val="auto"/>
                <w:sz w:val="36"/>
                <w:szCs w:val="36"/>
                <w:lang w:eastAsia="zh-CN" w:bidi="ar"/>
              </w:rPr>
            </w:pPr>
            <w:r>
              <w:rPr>
                <w:rFonts w:hint="eastAsia" w:ascii="Times New Roman" w:hAnsi="Times New Roman" w:cs="Times New Roman"/>
                <w:color w:val="auto"/>
                <w:sz w:val="36"/>
                <w:szCs w:val="36"/>
                <w:u w:val="single"/>
                <w:lang w:eastAsia="zh-CN"/>
              </w:rPr>
              <w:t>永清县感迈塑料制品有限公司</w:t>
            </w:r>
          </w:p>
        </w:tc>
      </w:tr>
      <w:tr w14:paraId="22C06F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453" w:type="dxa"/>
          </w:tcPr>
          <w:p w14:paraId="18EE7AD3">
            <w:pPr>
              <w:pStyle w:val="4"/>
              <w:ind w:firstLine="0" w:firstLineChars="0"/>
              <w:jc w:val="distribute"/>
              <w:rPr>
                <w:rFonts w:hint="default" w:ascii="Times New Roman" w:hAnsi="Times New Roman" w:cs="Times New Roman"/>
                <w:color w:val="auto"/>
                <w:sz w:val="36"/>
                <w:szCs w:val="36"/>
                <w:lang w:bidi="ar"/>
              </w:rPr>
            </w:pPr>
            <w:r>
              <w:rPr>
                <w:rFonts w:hint="default" w:ascii="Times New Roman" w:hAnsi="Times New Roman" w:cs="Times New Roman"/>
                <w:color w:val="auto"/>
                <w:sz w:val="36"/>
                <w:szCs w:val="36"/>
                <w:lang w:bidi="ar"/>
              </w:rPr>
              <w:t>编制日期：</w:t>
            </w:r>
          </w:p>
        </w:tc>
        <w:tc>
          <w:tcPr>
            <w:tcW w:w="5234" w:type="dxa"/>
          </w:tcPr>
          <w:p w14:paraId="10738EC7">
            <w:pPr>
              <w:pStyle w:val="4"/>
              <w:ind w:firstLine="0" w:firstLineChars="0"/>
              <w:jc w:val="distribute"/>
              <w:rPr>
                <w:rFonts w:hint="default" w:ascii="Times New Roman" w:hAnsi="Times New Roman" w:eastAsia="宋体" w:cs="Times New Roman"/>
                <w:color w:val="auto"/>
                <w:sz w:val="36"/>
                <w:szCs w:val="36"/>
                <w:lang w:eastAsia="zh-CN" w:bidi="ar"/>
              </w:rPr>
            </w:pPr>
            <w:r>
              <w:rPr>
                <w:rFonts w:hint="eastAsia" w:ascii="Times New Roman" w:hAnsi="Times New Roman" w:cs="Times New Roman"/>
                <w:color w:val="auto"/>
                <w:sz w:val="36"/>
                <w:szCs w:val="36"/>
                <w:u w:val="single"/>
                <w:lang w:val="en-US" w:eastAsia="zh-CN" w:bidi="ar"/>
              </w:rPr>
              <w:t>2025</w:t>
            </w:r>
            <w:r>
              <w:rPr>
                <w:rFonts w:hint="default" w:ascii="Times New Roman" w:hAnsi="Times New Roman" w:cs="Times New Roman"/>
                <w:color w:val="auto"/>
                <w:sz w:val="36"/>
                <w:szCs w:val="36"/>
                <w:u w:val="single"/>
                <w:lang w:bidi="ar"/>
              </w:rPr>
              <w:t>年</w:t>
            </w:r>
            <w:r>
              <w:rPr>
                <w:rFonts w:hint="eastAsia" w:ascii="Times New Roman" w:hAnsi="Times New Roman" w:cs="Times New Roman"/>
                <w:color w:val="auto"/>
                <w:sz w:val="36"/>
                <w:szCs w:val="36"/>
                <w:u w:val="single"/>
                <w:lang w:val="en-US" w:eastAsia="zh-CN" w:bidi="ar"/>
              </w:rPr>
              <w:t>10</w:t>
            </w:r>
            <w:r>
              <w:rPr>
                <w:rFonts w:hint="default" w:ascii="Times New Roman" w:hAnsi="Times New Roman" w:cs="Times New Roman"/>
                <w:color w:val="auto"/>
                <w:sz w:val="36"/>
                <w:szCs w:val="36"/>
                <w:u w:val="single"/>
                <w:lang w:bidi="ar"/>
              </w:rPr>
              <w:t>月</w:t>
            </w:r>
          </w:p>
        </w:tc>
      </w:tr>
    </w:tbl>
    <w:p w14:paraId="1C4499CF">
      <w:pPr>
        <w:widowControl/>
        <w:jc w:val="center"/>
        <w:rPr>
          <w:rFonts w:hint="default" w:ascii="Times New Roman" w:hAnsi="Times New Roman" w:cs="Times New Roman"/>
          <w:color w:val="auto"/>
          <w:sz w:val="36"/>
          <w:szCs w:val="36"/>
          <w:lang w:bidi="ar"/>
        </w:rPr>
      </w:pPr>
    </w:p>
    <w:p w14:paraId="3C371070">
      <w:pPr>
        <w:widowControl/>
        <w:jc w:val="center"/>
        <w:rPr>
          <w:rFonts w:hint="default" w:ascii="Times New Roman" w:hAnsi="Times New Roman" w:cs="Times New Roman"/>
          <w:color w:val="auto"/>
          <w:sz w:val="36"/>
          <w:szCs w:val="36"/>
          <w:lang w:bidi="ar"/>
        </w:rPr>
      </w:pPr>
    </w:p>
    <w:p w14:paraId="44A663F1">
      <w:pPr>
        <w:widowControl/>
        <w:jc w:val="center"/>
        <w:rPr>
          <w:rFonts w:hint="default" w:ascii="Times New Roman" w:hAnsi="Times New Roman" w:cs="Times New Roman"/>
          <w:color w:val="auto"/>
        </w:rPr>
      </w:pPr>
      <w:r>
        <w:rPr>
          <w:rFonts w:hint="default" w:ascii="Times New Roman" w:hAnsi="Times New Roman" w:cs="Times New Roman"/>
          <w:color w:val="auto"/>
          <w:sz w:val="36"/>
          <w:szCs w:val="36"/>
          <w:lang w:bidi="ar"/>
        </w:rPr>
        <w:t>中华人民共和国生态环境部制</w:t>
      </w:r>
    </w:p>
    <w:p w14:paraId="7777D6A7">
      <w:pPr>
        <w:widowControl/>
        <w:spacing w:line="240" w:lineRule="auto"/>
        <w:jc w:val="both"/>
        <w:rPr>
          <w:rFonts w:hint="default"/>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7D91C331">
      <w:pPr>
        <w:widowControl/>
        <w:spacing w:line="480" w:lineRule="exact"/>
        <w:jc w:val="both"/>
        <w:rPr>
          <w:rFonts w:hint="default" w:ascii="Times New Roman" w:hAnsi="Times New Roman" w:cs="Times New Roman"/>
          <w:color w:val="auto"/>
          <w:sz w:val="30"/>
          <w:szCs w:val="30"/>
          <w:lang w:bidi="ar"/>
        </w:rPr>
      </w:pPr>
    </w:p>
    <w:p w14:paraId="482DAEE5">
      <w:pPr>
        <w:widowControl/>
        <w:spacing w:line="480" w:lineRule="exact"/>
        <w:jc w:val="center"/>
        <w:rPr>
          <w:rFonts w:hint="default" w:ascii="Times New Roman" w:hAnsi="Times New Roman" w:cs="Times New Roman"/>
          <w:color w:val="auto"/>
          <w:sz w:val="30"/>
          <w:szCs w:val="30"/>
          <w:lang w:bidi="ar"/>
        </w:rPr>
      </w:pPr>
    </w:p>
    <w:p w14:paraId="4CBDE939">
      <w:pPr>
        <w:widowControl/>
        <w:spacing w:line="480" w:lineRule="exact"/>
        <w:jc w:val="center"/>
        <w:rPr>
          <w:rFonts w:hint="default" w:ascii="Times New Roman" w:hAnsi="Times New Roman" w:cs="Times New Roman"/>
          <w:color w:val="auto"/>
          <w:sz w:val="30"/>
          <w:szCs w:val="30"/>
          <w:lang w:bidi="ar"/>
        </w:rPr>
      </w:pPr>
    </w:p>
    <w:p w14:paraId="0C24305F">
      <w:pPr>
        <w:widowControl/>
        <w:spacing w:line="480" w:lineRule="exact"/>
        <w:jc w:val="center"/>
        <w:rPr>
          <w:rFonts w:hint="default" w:ascii="Times New Roman" w:hAnsi="Times New Roman" w:cs="Times New Roman"/>
          <w:color w:val="auto"/>
          <w:sz w:val="30"/>
          <w:szCs w:val="30"/>
          <w:lang w:bidi="ar"/>
        </w:rPr>
      </w:pPr>
    </w:p>
    <w:p w14:paraId="7DE60A6D">
      <w:pPr>
        <w:widowControl/>
        <w:spacing w:line="480" w:lineRule="exact"/>
        <w:jc w:val="center"/>
        <w:rPr>
          <w:rFonts w:hint="default" w:ascii="Times New Roman" w:hAnsi="Times New Roman" w:cs="Times New Roman"/>
          <w:color w:val="auto"/>
          <w:sz w:val="30"/>
          <w:szCs w:val="30"/>
          <w:lang w:bidi="ar"/>
        </w:rPr>
      </w:pPr>
    </w:p>
    <w:p w14:paraId="206EFC59">
      <w:pPr>
        <w:widowControl/>
        <w:spacing w:line="480" w:lineRule="exact"/>
        <w:jc w:val="center"/>
        <w:rPr>
          <w:rFonts w:hint="default" w:ascii="Times New Roman" w:hAnsi="Times New Roman" w:cs="Times New Roman"/>
          <w:color w:val="auto"/>
          <w:sz w:val="30"/>
          <w:szCs w:val="30"/>
          <w:lang w:bidi="ar"/>
        </w:rPr>
      </w:pPr>
    </w:p>
    <w:p w14:paraId="122EB3A2">
      <w:pPr>
        <w:widowControl/>
        <w:spacing w:line="480" w:lineRule="exact"/>
        <w:jc w:val="center"/>
        <w:rPr>
          <w:rFonts w:hint="default" w:ascii="Times New Roman" w:hAnsi="Times New Roman" w:cs="Times New Roman"/>
          <w:color w:val="auto"/>
          <w:sz w:val="30"/>
          <w:szCs w:val="30"/>
          <w:lang w:bidi="ar"/>
        </w:rPr>
      </w:pPr>
    </w:p>
    <w:p w14:paraId="5EE8E309">
      <w:pPr>
        <w:widowControl/>
        <w:spacing w:line="480" w:lineRule="exact"/>
        <w:jc w:val="center"/>
        <w:rPr>
          <w:rFonts w:hint="default" w:ascii="Times New Roman" w:hAnsi="Times New Roman" w:cs="Times New Roman"/>
          <w:color w:val="auto"/>
          <w:sz w:val="30"/>
          <w:szCs w:val="30"/>
          <w:lang w:bidi="ar"/>
        </w:rPr>
      </w:pPr>
    </w:p>
    <w:p w14:paraId="4A15107B">
      <w:pPr>
        <w:widowControl/>
        <w:spacing w:line="480" w:lineRule="exact"/>
        <w:jc w:val="center"/>
        <w:rPr>
          <w:rFonts w:hint="default" w:ascii="Times New Roman" w:hAnsi="Times New Roman" w:cs="Times New Roman"/>
          <w:color w:val="auto"/>
          <w:sz w:val="30"/>
          <w:szCs w:val="30"/>
          <w:lang w:bidi="ar"/>
        </w:rPr>
      </w:pPr>
    </w:p>
    <w:p w14:paraId="2A6E28B8">
      <w:pPr>
        <w:widowControl/>
        <w:spacing w:line="480" w:lineRule="exact"/>
        <w:jc w:val="center"/>
        <w:rPr>
          <w:rFonts w:hint="default" w:ascii="Times New Roman" w:hAnsi="Times New Roman" w:cs="Times New Roman"/>
          <w:color w:val="auto"/>
          <w:sz w:val="30"/>
          <w:szCs w:val="30"/>
          <w:lang w:bidi="ar"/>
        </w:rPr>
      </w:pPr>
    </w:p>
    <w:p w14:paraId="403FC55E">
      <w:pPr>
        <w:widowControl/>
        <w:spacing w:line="480" w:lineRule="exact"/>
        <w:jc w:val="center"/>
        <w:rPr>
          <w:rFonts w:hint="default" w:ascii="Times New Roman" w:hAnsi="Times New Roman" w:cs="Times New Roman"/>
          <w:color w:val="auto"/>
          <w:sz w:val="30"/>
          <w:szCs w:val="30"/>
          <w:lang w:bidi="ar"/>
        </w:rPr>
      </w:pPr>
    </w:p>
    <w:p w14:paraId="3A8F97B9">
      <w:pPr>
        <w:widowControl/>
        <w:spacing w:line="480" w:lineRule="exact"/>
        <w:jc w:val="center"/>
        <w:rPr>
          <w:rFonts w:hint="default" w:ascii="Times New Roman" w:hAnsi="Times New Roman" w:cs="Times New Roman"/>
          <w:color w:val="auto"/>
          <w:sz w:val="30"/>
          <w:szCs w:val="30"/>
          <w:lang w:bidi="ar"/>
        </w:rPr>
      </w:pPr>
    </w:p>
    <w:p w14:paraId="2FA095EA">
      <w:pPr>
        <w:widowControl/>
        <w:spacing w:line="480" w:lineRule="exact"/>
        <w:jc w:val="center"/>
        <w:rPr>
          <w:rFonts w:hint="default" w:ascii="Times New Roman" w:hAnsi="Times New Roman" w:cs="Times New Roman"/>
          <w:color w:val="auto"/>
          <w:sz w:val="30"/>
          <w:szCs w:val="30"/>
          <w:lang w:bidi="ar"/>
        </w:rPr>
      </w:pPr>
    </w:p>
    <w:p w14:paraId="54754AA5">
      <w:pPr>
        <w:widowControl/>
        <w:spacing w:line="480" w:lineRule="exact"/>
        <w:jc w:val="center"/>
        <w:rPr>
          <w:rFonts w:hint="default" w:ascii="Times New Roman" w:hAnsi="Times New Roman" w:cs="Times New Roman"/>
          <w:color w:val="auto"/>
          <w:sz w:val="30"/>
          <w:szCs w:val="30"/>
          <w:lang w:bidi="ar"/>
        </w:rPr>
      </w:pPr>
    </w:p>
    <w:p w14:paraId="3A6EF7C1">
      <w:pPr>
        <w:widowControl/>
        <w:spacing w:line="480" w:lineRule="exact"/>
        <w:jc w:val="center"/>
        <w:rPr>
          <w:rFonts w:hint="default" w:ascii="Times New Roman" w:hAnsi="Times New Roman" w:cs="Times New Roman"/>
          <w:color w:val="auto"/>
          <w:sz w:val="30"/>
          <w:szCs w:val="30"/>
          <w:lang w:bidi="ar"/>
        </w:rPr>
      </w:pPr>
    </w:p>
    <w:p w14:paraId="48A0F6E8">
      <w:pPr>
        <w:widowControl/>
        <w:spacing w:line="480" w:lineRule="exact"/>
        <w:jc w:val="center"/>
        <w:rPr>
          <w:rFonts w:hint="default" w:ascii="Times New Roman" w:hAnsi="Times New Roman" w:cs="Times New Roman"/>
          <w:color w:val="auto"/>
          <w:sz w:val="30"/>
          <w:szCs w:val="30"/>
          <w:lang w:bidi="ar"/>
        </w:rPr>
      </w:pPr>
    </w:p>
    <w:p w14:paraId="19C8DA00">
      <w:pPr>
        <w:widowControl/>
        <w:spacing w:line="480" w:lineRule="exact"/>
        <w:jc w:val="center"/>
        <w:rPr>
          <w:rFonts w:hint="default" w:ascii="Times New Roman" w:hAnsi="Times New Roman" w:cs="Times New Roman"/>
          <w:color w:val="auto"/>
          <w:sz w:val="30"/>
          <w:szCs w:val="30"/>
          <w:lang w:bidi="ar"/>
        </w:rPr>
      </w:pPr>
    </w:p>
    <w:p w14:paraId="48E9854B">
      <w:pPr>
        <w:widowControl/>
        <w:spacing w:line="480" w:lineRule="exact"/>
        <w:jc w:val="center"/>
        <w:rPr>
          <w:rFonts w:hint="default" w:ascii="Times New Roman" w:hAnsi="Times New Roman" w:cs="Times New Roman"/>
          <w:color w:val="auto"/>
          <w:sz w:val="30"/>
          <w:szCs w:val="30"/>
          <w:lang w:bidi="ar"/>
        </w:rPr>
      </w:pPr>
    </w:p>
    <w:p w14:paraId="2B4CB78D">
      <w:pPr>
        <w:widowControl/>
        <w:spacing w:line="480" w:lineRule="exact"/>
        <w:jc w:val="center"/>
        <w:rPr>
          <w:rFonts w:hint="default" w:ascii="Times New Roman" w:hAnsi="Times New Roman" w:cs="Times New Roman"/>
          <w:color w:val="auto"/>
          <w:sz w:val="30"/>
          <w:szCs w:val="30"/>
          <w:lang w:bidi="ar"/>
        </w:rPr>
      </w:pPr>
    </w:p>
    <w:p w14:paraId="5F63165C">
      <w:pPr>
        <w:widowControl/>
        <w:spacing w:line="480" w:lineRule="exact"/>
        <w:jc w:val="center"/>
        <w:rPr>
          <w:rFonts w:hint="default" w:ascii="Times New Roman" w:hAnsi="Times New Roman" w:cs="Times New Roman"/>
          <w:color w:val="auto"/>
          <w:sz w:val="30"/>
          <w:szCs w:val="30"/>
          <w:lang w:bidi="ar"/>
        </w:rPr>
      </w:pPr>
    </w:p>
    <w:p w14:paraId="1AD0E219">
      <w:pPr>
        <w:widowControl/>
        <w:spacing w:line="480" w:lineRule="exact"/>
        <w:jc w:val="center"/>
        <w:rPr>
          <w:rFonts w:hint="default" w:ascii="Times New Roman" w:hAnsi="Times New Roman" w:cs="Times New Roman"/>
          <w:color w:val="auto"/>
          <w:sz w:val="30"/>
          <w:szCs w:val="30"/>
          <w:lang w:bidi="ar"/>
        </w:rPr>
      </w:pPr>
    </w:p>
    <w:p w14:paraId="46F010FB">
      <w:pPr>
        <w:widowControl/>
        <w:spacing w:line="480" w:lineRule="exact"/>
        <w:jc w:val="center"/>
        <w:rPr>
          <w:rFonts w:hint="default" w:ascii="Times New Roman" w:hAnsi="Times New Roman" w:cs="Times New Roman"/>
          <w:color w:val="auto"/>
          <w:sz w:val="30"/>
          <w:szCs w:val="30"/>
          <w:lang w:bidi="ar"/>
        </w:rPr>
      </w:pPr>
    </w:p>
    <w:p w14:paraId="7708F523">
      <w:pPr>
        <w:widowControl/>
        <w:spacing w:line="480" w:lineRule="exact"/>
        <w:jc w:val="center"/>
        <w:rPr>
          <w:rFonts w:hint="default" w:ascii="Times New Roman" w:hAnsi="Times New Roman" w:cs="Times New Roman"/>
          <w:color w:val="auto"/>
          <w:sz w:val="30"/>
          <w:szCs w:val="30"/>
          <w:lang w:bidi="ar"/>
        </w:rPr>
      </w:pPr>
    </w:p>
    <w:p w14:paraId="6061A4B1">
      <w:pPr>
        <w:widowControl/>
        <w:spacing w:line="480" w:lineRule="exact"/>
        <w:jc w:val="center"/>
        <w:rPr>
          <w:rFonts w:hint="default" w:ascii="Times New Roman" w:hAnsi="Times New Roman" w:cs="Times New Roman"/>
          <w:color w:val="auto"/>
          <w:sz w:val="30"/>
          <w:szCs w:val="30"/>
          <w:lang w:bidi="ar"/>
        </w:rPr>
      </w:pPr>
    </w:p>
    <w:p w14:paraId="4B0E257D">
      <w:pPr>
        <w:widowControl/>
        <w:spacing w:line="480" w:lineRule="exact"/>
        <w:jc w:val="center"/>
        <w:rPr>
          <w:rFonts w:hint="default" w:ascii="Times New Roman" w:hAnsi="Times New Roman" w:cs="Times New Roman"/>
          <w:color w:val="auto"/>
          <w:sz w:val="30"/>
          <w:szCs w:val="30"/>
          <w:lang w:bidi="ar"/>
        </w:rPr>
        <w:sectPr>
          <w:footerReference r:id="rId4" w:type="default"/>
          <w:pgSz w:w="11906" w:h="16838"/>
          <w:pgMar w:top="1417" w:right="1800" w:bottom="1417"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09E5F32C">
      <w:pPr>
        <w:widowControl/>
        <w:spacing w:line="480" w:lineRule="exact"/>
        <w:jc w:val="center"/>
        <w:rPr>
          <w:rFonts w:hint="default" w:ascii="Times New Roman" w:hAnsi="Times New Roman" w:cs="Times New Roman"/>
          <w:color w:val="auto"/>
          <w:sz w:val="30"/>
          <w:szCs w:val="30"/>
        </w:rPr>
      </w:pPr>
      <w:r>
        <w:rPr>
          <w:rFonts w:hint="default" w:ascii="Times New Roman" w:hAnsi="Times New Roman" w:cs="Times New Roman"/>
          <w:color w:val="auto"/>
          <w:sz w:val="30"/>
          <w:szCs w:val="30"/>
          <w:lang w:bidi="ar"/>
        </w:rPr>
        <w:t>一、建设项目基本情况</w:t>
      </w:r>
    </w:p>
    <w:tbl>
      <w:tblPr>
        <w:tblStyle w:val="35"/>
        <w:tblW w:w="86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28" w:type="dxa"/>
          <w:left w:w="57" w:type="dxa"/>
          <w:bottom w:w="28" w:type="dxa"/>
          <w:right w:w="57" w:type="dxa"/>
        </w:tblCellMar>
      </w:tblPr>
      <w:tblGrid>
        <w:gridCol w:w="1202"/>
        <w:gridCol w:w="2149"/>
        <w:gridCol w:w="535"/>
        <w:gridCol w:w="1581"/>
        <w:gridCol w:w="7"/>
        <w:gridCol w:w="3162"/>
      </w:tblGrid>
      <w:tr w14:paraId="0F8B7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652" w:hRule="atLeast"/>
          <w:jc w:val="center"/>
        </w:trPr>
        <w:tc>
          <w:tcPr>
            <w:tcW w:w="1202" w:type="dxa"/>
            <w:vAlign w:val="center"/>
          </w:tcPr>
          <w:p w14:paraId="2A0362A9">
            <w:pPr>
              <w:keepLines/>
              <w:widowControl/>
              <w:wordWrap w:val="0"/>
              <w:spacing w:line="280" w:lineRule="atLeast"/>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lang w:bidi="ar"/>
              </w:rPr>
              <w:t>建设项目名称</w:t>
            </w:r>
          </w:p>
        </w:tc>
        <w:tc>
          <w:tcPr>
            <w:tcW w:w="7434" w:type="dxa"/>
            <w:gridSpan w:val="5"/>
            <w:vAlign w:val="center"/>
          </w:tcPr>
          <w:p w14:paraId="6727AF28">
            <w:pPr>
              <w:keepLines/>
              <w:widowControl/>
              <w:wordWrap w:val="0"/>
              <w:spacing w:line="280" w:lineRule="atLeast"/>
              <w:jc w:val="center"/>
              <w:rPr>
                <w:rFonts w:hint="default" w:ascii="Times New Roman" w:hAnsi="Times New Roman" w:eastAsia="宋体" w:cs="Times New Roman"/>
                <w:color w:val="auto"/>
                <w:sz w:val="24"/>
                <w:szCs w:val="24"/>
                <w:lang w:eastAsia="zh-CN" w:bidi="ar"/>
              </w:rPr>
            </w:pPr>
            <w:r>
              <w:rPr>
                <w:rFonts w:hint="eastAsia" w:ascii="Times New Roman" w:hAnsi="Times New Roman" w:cs="Times New Roman"/>
                <w:color w:val="auto"/>
                <w:sz w:val="24"/>
                <w:szCs w:val="24"/>
                <w:lang w:eastAsia="zh-CN" w:bidi="ar"/>
              </w:rPr>
              <w:t>年产 50 万套置物架项目</w:t>
            </w:r>
          </w:p>
        </w:tc>
      </w:tr>
      <w:tr w14:paraId="0F622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652" w:hRule="atLeast"/>
          <w:jc w:val="center"/>
        </w:trPr>
        <w:tc>
          <w:tcPr>
            <w:tcW w:w="1202" w:type="dxa"/>
            <w:vAlign w:val="center"/>
          </w:tcPr>
          <w:p w14:paraId="696CAE32">
            <w:pPr>
              <w:keepLines/>
              <w:widowControl/>
              <w:wordWrap w:val="0"/>
              <w:spacing w:line="280" w:lineRule="atLeast"/>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lang w:bidi="ar"/>
              </w:rPr>
              <w:t>项目代码</w:t>
            </w:r>
          </w:p>
        </w:tc>
        <w:tc>
          <w:tcPr>
            <w:tcW w:w="7434" w:type="dxa"/>
            <w:gridSpan w:val="5"/>
            <w:vAlign w:val="center"/>
          </w:tcPr>
          <w:p w14:paraId="5D126A91">
            <w:pPr>
              <w:keepLines/>
              <w:widowControl/>
              <w:wordWrap w:val="0"/>
              <w:spacing w:line="280" w:lineRule="atLeast"/>
              <w:jc w:val="center"/>
              <w:rPr>
                <w:rFonts w:hint="default" w:ascii="Times New Roman" w:hAnsi="Times New Roman" w:eastAsia="宋体" w:cs="Times New Roman"/>
                <w:color w:val="auto"/>
                <w:sz w:val="24"/>
                <w:szCs w:val="24"/>
                <w:lang w:eastAsia="zh-CN" w:bidi="ar"/>
              </w:rPr>
            </w:pPr>
            <w:r>
              <w:rPr>
                <w:rFonts w:hint="eastAsia" w:ascii="Times New Roman" w:hAnsi="Times New Roman" w:cs="Times New Roman"/>
                <w:color w:val="auto"/>
                <w:sz w:val="24"/>
                <w:szCs w:val="24"/>
                <w:lang w:val="en-US" w:eastAsia="zh-CN" w:bidi="ar"/>
              </w:rPr>
              <w:t>2505-131023-04-01-811675</w:t>
            </w:r>
          </w:p>
        </w:tc>
      </w:tr>
      <w:tr w14:paraId="3DA13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90" w:hRule="atLeast"/>
          <w:jc w:val="center"/>
        </w:trPr>
        <w:tc>
          <w:tcPr>
            <w:tcW w:w="1202" w:type="dxa"/>
            <w:vAlign w:val="center"/>
          </w:tcPr>
          <w:p w14:paraId="6F8C860F">
            <w:pPr>
              <w:keepLines/>
              <w:widowControl/>
              <w:wordWrap w:val="0"/>
              <w:spacing w:line="280" w:lineRule="atLeast"/>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lang w:bidi="ar"/>
              </w:rPr>
              <w:t>建设单位联系人</w:t>
            </w:r>
          </w:p>
        </w:tc>
        <w:tc>
          <w:tcPr>
            <w:tcW w:w="2149" w:type="dxa"/>
            <w:vAlign w:val="center"/>
          </w:tcPr>
          <w:p w14:paraId="160FDEEE">
            <w:pPr>
              <w:keepLines/>
              <w:widowControl/>
              <w:wordWrap w:val="0"/>
              <w:spacing w:line="280" w:lineRule="atLeast"/>
              <w:jc w:val="center"/>
              <w:rPr>
                <w:rFonts w:hint="default" w:ascii="Times New Roman" w:hAnsi="Times New Roman" w:eastAsia="宋体" w:cs="Times New Roman"/>
                <w:color w:val="auto"/>
                <w:sz w:val="24"/>
                <w:szCs w:val="24"/>
                <w:lang w:eastAsia="zh-CN" w:bidi="ar"/>
              </w:rPr>
            </w:pPr>
            <w:r>
              <w:rPr>
                <w:rFonts w:hint="eastAsia" w:ascii="Times New Roman" w:hAnsi="Times New Roman" w:cs="Times New Roman"/>
                <w:color w:val="auto"/>
                <w:sz w:val="24"/>
                <w:szCs w:val="24"/>
                <w:lang w:val="en-US" w:eastAsia="zh-CN" w:bidi="ar"/>
              </w:rPr>
              <w:t>邱瑞亭</w:t>
            </w:r>
          </w:p>
        </w:tc>
        <w:tc>
          <w:tcPr>
            <w:tcW w:w="2123" w:type="dxa"/>
            <w:gridSpan w:val="3"/>
            <w:vAlign w:val="center"/>
          </w:tcPr>
          <w:p w14:paraId="757D44A7">
            <w:pPr>
              <w:keepLines/>
              <w:widowControl/>
              <w:wordWrap w:val="0"/>
              <w:spacing w:line="280" w:lineRule="atLeast"/>
              <w:jc w:val="center"/>
              <w:rPr>
                <w:rFonts w:hint="default" w:ascii="Times New Roman" w:hAnsi="Times New Roman" w:eastAsia="宋体" w:cs="Times New Roman"/>
                <w:color w:val="000000" w:themeColor="text1"/>
                <w:sz w:val="24"/>
                <w:szCs w:val="24"/>
                <w:highlight w:val="none"/>
                <w:lang w:bidi="ar"/>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bidi="ar"/>
                <w14:textFill>
                  <w14:solidFill>
                    <w14:schemeClr w14:val="tx1"/>
                  </w14:solidFill>
                </w14:textFill>
              </w:rPr>
              <w:t>联系方式</w:t>
            </w:r>
          </w:p>
        </w:tc>
        <w:tc>
          <w:tcPr>
            <w:tcW w:w="3162" w:type="dxa"/>
            <w:vAlign w:val="center"/>
          </w:tcPr>
          <w:p w14:paraId="7138E7E3">
            <w:pPr>
              <w:keepLines/>
              <w:widowControl/>
              <w:wordWrap w:val="0"/>
              <w:spacing w:line="280" w:lineRule="atLeast"/>
              <w:jc w:val="center"/>
              <w:rPr>
                <w:rFonts w:hint="default" w:ascii="Times New Roman" w:hAnsi="Times New Roman" w:eastAsia="宋体" w:cs="Times New Roman"/>
                <w:color w:val="000000" w:themeColor="text1"/>
                <w:sz w:val="24"/>
                <w:szCs w:val="24"/>
                <w:highlight w:val="none"/>
                <w:lang w:val="en-US" w:eastAsia="zh-CN" w:bidi="ar"/>
                <w14:textFill>
                  <w14:solidFill>
                    <w14:schemeClr w14:val="tx1"/>
                  </w14:solidFill>
                </w14:textFill>
              </w:rPr>
            </w:pPr>
            <w:r>
              <w:rPr>
                <w:rFonts w:hint="eastAsia" w:ascii="Times New Roman" w:hAnsi="Times New Roman" w:cs="Times New Roman"/>
                <w:color w:val="000000" w:themeColor="text1"/>
                <w:sz w:val="24"/>
                <w:szCs w:val="24"/>
                <w:highlight w:val="none"/>
                <w:lang w:val="en-US" w:eastAsia="zh-CN" w:bidi="ar"/>
                <w14:textFill>
                  <w14:solidFill>
                    <w14:schemeClr w14:val="tx1"/>
                  </w14:solidFill>
                </w14:textFill>
              </w:rPr>
              <w:t>15233164573</w:t>
            </w:r>
          </w:p>
        </w:tc>
      </w:tr>
      <w:tr w14:paraId="0CAFE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652" w:hRule="atLeast"/>
          <w:jc w:val="center"/>
        </w:trPr>
        <w:tc>
          <w:tcPr>
            <w:tcW w:w="1202" w:type="dxa"/>
            <w:vAlign w:val="center"/>
          </w:tcPr>
          <w:p w14:paraId="3240A654">
            <w:pPr>
              <w:keepLines/>
              <w:widowControl/>
              <w:wordWrap w:val="0"/>
              <w:spacing w:line="280" w:lineRule="atLeast"/>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lang w:bidi="ar"/>
              </w:rPr>
              <w:t>建设地点</w:t>
            </w:r>
          </w:p>
        </w:tc>
        <w:tc>
          <w:tcPr>
            <w:tcW w:w="7434" w:type="dxa"/>
            <w:gridSpan w:val="5"/>
            <w:vAlign w:val="center"/>
          </w:tcPr>
          <w:p w14:paraId="59A90417">
            <w:pPr>
              <w:keepLines/>
              <w:widowControl/>
              <w:wordWrap w:val="0"/>
              <w:spacing w:line="280" w:lineRule="atLeast"/>
              <w:jc w:val="center"/>
              <w:rPr>
                <w:rFonts w:hint="default" w:ascii="Times New Roman" w:hAnsi="Times New Roman" w:eastAsia="宋体" w:cs="Times New Roman"/>
                <w:color w:val="auto"/>
                <w:sz w:val="24"/>
                <w:szCs w:val="24"/>
                <w:lang w:eastAsia="zh-CN" w:bidi="ar"/>
              </w:rPr>
            </w:pPr>
            <w:r>
              <w:rPr>
                <w:rFonts w:hint="eastAsia" w:ascii="Times New Roman" w:hAnsi="Times New Roman" w:cs="Times New Roman"/>
                <w:color w:val="auto"/>
                <w:sz w:val="24"/>
                <w:szCs w:val="24"/>
                <w:lang w:eastAsia="zh-CN" w:bidi="ar"/>
              </w:rPr>
              <w:t>河北省廊坊市永清县刘街乡小五间房村北</w:t>
            </w:r>
          </w:p>
        </w:tc>
      </w:tr>
      <w:tr w14:paraId="7AFDA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652" w:hRule="atLeast"/>
          <w:jc w:val="center"/>
        </w:trPr>
        <w:tc>
          <w:tcPr>
            <w:tcW w:w="1202" w:type="dxa"/>
            <w:vAlign w:val="center"/>
          </w:tcPr>
          <w:p w14:paraId="247D8053">
            <w:pPr>
              <w:pStyle w:val="26"/>
              <w:keepNext w:val="0"/>
              <w:keepLines w:val="0"/>
              <w:widowControl/>
              <w:suppressLineNumbers w:val="0"/>
              <w:spacing w:before="0" w:beforeAutospacing="0" w:after="0" w:afterAutospacing="0"/>
              <w:ind w:left="0" w:right="0" w:firstLine="0"/>
              <w:jc w:val="center"/>
              <w:rPr>
                <w:rFonts w:hint="default" w:ascii="Times New Roman" w:hAnsi="Times New Roman" w:cs="Times New Roman"/>
                <w:color w:val="auto"/>
                <w:sz w:val="24"/>
                <w:szCs w:val="24"/>
                <w:lang w:eastAsia="zh-CN" w:bidi="ar"/>
              </w:rPr>
            </w:pPr>
            <w:r>
              <w:rPr>
                <w:rFonts w:hint="default" w:ascii="Times New Roman" w:hAnsi="Times New Roman" w:cs="Times New Roman"/>
                <w:color w:val="auto"/>
                <w:sz w:val="24"/>
                <w:szCs w:val="24"/>
                <w:lang w:eastAsia="zh-CN" w:bidi="ar"/>
              </w:rPr>
              <w:t>地理坐标</w:t>
            </w:r>
          </w:p>
        </w:tc>
        <w:tc>
          <w:tcPr>
            <w:tcW w:w="7434" w:type="dxa"/>
            <w:gridSpan w:val="5"/>
            <w:vAlign w:val="center"/>
          </w:tcPr>
          <w:p w14:paraId="44F28719">
            <w:pPr>
              <w:keepLines/>
              <w:widowControl/>
              <w:wordWrap w:val="0"/>
              <w:spacing w:line="280" w:lineRule="atLeast"/>
              <w:jc w:val="center"/>
              <w:rPr>
                <w:rFonts w:hint="default" w:ascii="Times New Roman" w:hAnsi="Times New Roman" w:eastAsia="宋体" w:cs="Times New Roman"/>
                <w:color w:val="auto"/>
                <w:sz w:val="24"/>
                <w:szCs w:val="24"/>
                <w:lang w:eastAsia="zh-CN" w:bidi="ar"/>
              </w:rPr>
            </w:pPr>
            <w:r>
              <w:rPr>
                <w:rFonts w:hint="default" w:ascii="Times New Roman" w:hAnsi="Times New Roman" w:eastAsia="宋体" w:cs="Times New Roman"/>
                <w:color w:val="auto"/>
                <w:sz w:val="24"/>
                <w:szCs w:val="24"/>
                <w:lang w:val="en-US" w:eastAsia="zh-CN" w:bidi="ar"/>
              </w:rPr>
              <w:t>东经</w:t>
            </w:r>
            <w:r>
              <w:rPr>
                <w:rFonts w:hint="default" w:ascii="Times New Roman" w:hAnsi="Times New Roman" w:cs="Times New Roman"/>
                <w:color w:val="auto"/>
                <w:sz w:val="24"/>
                <w:szCs w:val="24"/>
                <w:lang w:val="en-US" w:eastAsia="zh-CN" w:bidi="ar"/>
              </w:rPr>
              <w:t>116°29′58.559″</w:t>
            </w:r>
            <w:r>
              <w:rPr>
                <w:rFonts w:hint="default" w:ascii="Times New Roman" w:hAnsi="Times New Roman" w:eastAsia="宋体" w:cs="Times New Roman"/>
                <w:color w:val="auto"/>
                <w:sz w:val="24"/>
                <w:szCs w:val="24"/>
                <w:lang w:val="en-US" w:eastAsia="zh-CN" w:bidi="ar"/>
              </w:rPr>
              <w:t>北纬</w:t>
            </w:r>
            <w:r>
              <w:rPr>
                <w:rFonts w:hint="default" w:ascii="Times New Roman" w:hAnsi="Times New Roman" w:cs="Times New Roman"/>
                <w:color w:val="auto"/>
                <w:sz w:val="24"/>
                <w:szCs w:val="24"/>
                <w:lang w:val="en-US" w:eastAsia="zh-CN" w:bidi="ar"/>
              </w:rPr>
              <w:t>39°10′40.052″</w:t>
            </w:r>
          </w:p>
        </w:tc>
      </w:tr>
      <w:tr w14:paraId="4A27C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652" w:hRule="atLeast"/>
          <w:jc w:val="center"/>
        </w:trPr>
        <w:tc>
          <w:tcPr>
            <w:tcW w:w="1202" w:type="dxa"/>
            <w:vAlign w:val="center"/>
          </w:tcPr>
          <w:p w14:paraId="0127C306">
            <w:pPr>
              <w:keepLines/>
              <w:widowControl/>
              <w:wordWrap w:val="0"/>
              <w:spacing w:line="280" w:lineRule="atLeast"/>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lang w:bidi="ar"/>
              </w:rPr>
              <w:t>国民经济行业类别</w:t>
            </w:r>
          </w:p>
        </w:tc>
        <w:tc>
          <w:tcPr>
            <w:tcW w:w="2684" w:type="dxa"/>
            <w:gridSpan w:val="2"/>
            <w:vAlign w:val="center"/>
          </w:tcPr>
          <w:p w14:paraId="65DF12B9">
            <w:pPr>
              <w:widowControl/>
              <w:jc w:val="center"/>
              <w:rPr>
                <w:rFonts w:hint="default" w:ascii="Times New Roman" w:hAnsi="Times New Roman" w:eastAsia="宋体" w:cs="Times New Roman"/>
                <w:color w:val="auto"/>
                <w:sz w:val="24"/>
                <w:szCs w:val="24"/>
                <w:lang w:val="en-US" w:eastAsia="zh-CN" w:bidi="ar"/>
              </w:rPr>
            </w:pPr>
            <w:r>
              <w:rPr>
                <w:rFonts w:hint="eastAsia" w:ascii="Times New Roman" w:hAnsi="Times New Roman" w:cs="Times New Roman"/>
                <w:color w:val="auto"/>
                <w:sz w:val="24"/>
                <w:szCs w:val="24"/>
                <w:lang w:val="en-US" w:eastAsia="zh-CN" w:bidi="ar"/>
              </w:rPr>
              <w:t>C2927日用塑料制品制造</w:t>
            </w:r>
          </w:p>
        </w:tc>
        <w:tc>
          <w:tcPr>
            <w:tcW w:w="1581" w:type="dxa"/>
            <w:vAlign w:val="center"/>
          </w:tcPr>
          <w:p w14:paraId="3B3CC572">
            <w:pPr>
              <w:widowControl/>
              <w:jc w:val="center"/>
              <w:rPr>
                <w:rFonts w:hint="default" w:ascii="Times New Roman" w:hAnsi="Times New Roman" w:eastAsia="宋体" w:cs="Times New Roman"/>
                <w:color w:val="auto"/>
                <w:sz w:val="24"/>
                <w:szCs w:val="24"/>
                <w:lang w:bidi="ar"/>
              </w:rPr>
            </w:pPr>
            <w:r>
              <w:rPr>
                <w:rFonts w:hint="default" w:ascii="Times New Roman" w:hAnsi="Times New Roman" w:eastAsia="宋体" w:cs="Times New Roman"/>
                <w:color w:val="auto"/>
                <w:sz w:val="24"/>
                <w:szCs w:val="24"/>
                <w:lang w:bidi="ar"/>
              </w:rPr>
              <w:t>建设项目行业类别</w:t>
            </w:r>
          </w:p>
        </w:tc>
        <w:tc>
          <w:tcPr>
            <w:tcW w:w="3169" w:type="dxa"/>
            <w:gridSpan w:val="2"/>
            <w:vAlign w:val="center"/>
          </w:tcPr>
          <w:p w14:paraId="1A2F4911">
            <w:pPr>
              <w:widowControl/>
              <w:jc w:val="center"/>
              <w:rPr>
                <w:rFonts w:hint="default" w:ascii="Times New Roman" w:hAnsi="Times New Roman" w:eastAsia="宋体" w:cs="Times New Roman"/>
                <w:color w:val="auto"/>
                <w:sz w:val="24"/>
                <w:szCs w:val="24"/>
                <w:lang w:val="en-US" w:eastAsia="zh-CN" w:bidi="ar"/>
              </w:rPr>
            </w:pPr>
            <w:r>
              <w:rPr>
                <w:rFonts w:hint="default" w:ascii="Times New Roman" w:hAnsi="Times New Roman" w:eastAsia="宋体" w:cs="Times New Roman"/>
                <w:color w:val="auto"/>
                <w:sz w:val="24"/>
                <w:szCs w:val="24"/>
                <w:lang w:bidi="ar"/>
              </w:rPr>
              <w:t>二十六、橡胶和塑料制品业29-53塑料制品业292</w:t>
            </w:r>
            <w:r>
              <w:rPr>
                <w:rFonts w:hint="default" w:ascii="Times New Roman" w:hAnsi="Times New Roman" w:eastAsia="宋体" w:cs="Times New Roman"/>
                <w:color w:val="auto"/>
                <w:sz w:val="24"/>
                <w:szCs w:val="24"/>
                <w:lang w:eastAsia="zh-CN" w:bidi="ar"/>
              </w:rPr>
              <w:t>（</w:t>
            </w:r>
            <w:r>
              <w:rPr>
                <w:rFonts w:hint="default" w:ascii="Times New Roman" w:hAnsi="Times New Roman" w:eastAsia="宋体" w:cs="Times New Roman"/>
                <w:color w:val="auto"/>
                <w:sz w:val="24"/>
                <w:szCs w:val="24"/>
                <w:lang w:bidi="ar"/>
              </w:rPr>
              <w:t>其他</w:t>
            </w:r>
            <w:r>
              <w:rPr>
                <w:rFonts w:hint="default" w:ascii="Times New Roman" w:hAnsi="Times New Roman" w:eastAsia="宋体" w:cs="Times New Roman"/>
                <w:color w:val="auto"/>
                <w:sz w:val="24"/>
                <w:szCs w:val="24"/>
                <w:lang w:val="en-US" w:eastAsia="zh-CN" w:bidi="ar"/>
              </w:rPr>
              <w:t>）</w:t>
            </w:r>
          </w:p>
        </w:tc>
      </w:tr>
      <w:tr w14:paraId="1BF63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652" w:hRule="atLeast"/>
          <w:jc w:val="center"/>
        </w:trPr>
        <w:tc>
          <w:tcPr>
            <w:tcW w:w="1202" w:type="dxa"/>
            <w:vAlign w:val="center"/>
          </w:tcPr>
          <w:p w14:paraId="2A2D3CBA">
            <w:pPr>
              <w:keepLines/>
              <w:widowControl/>
              <w:wordWrap w:val="0"/>
              <w:spacing w:line="280" w:lineRule="atLeast"/>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lang w:bidi="ar"/>
              </w:rPr>
              <w:t>建设性质</w:t>
            </w:r>
          </w:p>
        </w:tc>
        <w:tc>
          <w:tcPr>
            <w:tcW w:w="2684" w:type="dxa"/>
            <w:gridSpan w:val="2"/>
            <w:vAlign w:val="center"/>
          </w:tcPr>
          <w:p w14:paraId="05307AB3">
            <w:pPr>
              <w:keepLines/>
              <w:widowControl/>
              <w:wordWrap w:val="0"/>
              <w:spacing w:line="280" w:lineRule="atLeast"/>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bidi="ar"/>
              </w:rPr>
              <w:sym w:font="Wingdings 2" w:char="0052"/>
            </w:r>
            <w:r>
              <w:rPr>
                <w:rFonts w:hint="default" w:ascii="Times New Roman" w:hAnsi="Times New Roman" w:cs="Times New Roman"/>
                <w:color w:val="auto"/>
                <w:sz w:val="24"/>
                <w:szCs w:val="24"/>
                <w:lang w:bidi="ar"/>
              </w:rPr>
              <w:t>新建（迁建）</w:t>
            </w:r>
          </w:p>
          <w:p w14:paraId="3B76372F">
            <w:pPr>
              <w:keepLines/>
              <w:widowControl/>
              <w:wordWrap w:val="0"/>
              <w:spacing w:line="280" w:lineRule="atLeast"/>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bidi="ar"/>
              </w:rPr>
              <w:sym w:font="Wingdings 2" w:char="00A3"/>
            </w:r>
            <w:r>
              <w:rPr>
                <w:rFonts w:hint="default" w:ascii="Times New Roman" w:hAnsi="Times New Roman" w:cs="Times New Roman"/>
                <w:color w:val="auto"/>
                <w:sz w:val="24"/>
                <w:szCs w:val="24"/>
                <w:lang w:bidi="ar"/>
              </w:rPr>
              <w:t>改建</w:t>
            </w:r>
          </w:p>
          <w:p w14:paraId="46F2CC04">
            <w:pPr>
              <w:keepLines/>
              <w:widowControl/>
              <w:wordWrap w:val="0"/>
              <w:spacing w:line="280" w:lineRule="atLeast"/>
              <w:jc w:val="left"/>
              <w:rPr>
                <w:rFonts w:hint="default" w:ascii="Times New Roman" w:hAnsi="Times New Roman" w:cs="Times New Roman"/>
                <w:color w:val="auto"/>
                <w:sz w:val="24"/>
                <w:szCs w:val="24"/>
                <w:lang w:bidi="ar"/>
              </w:rPr>
            </w:pPr>
            <w:r>
              <w:rPr>
                <w:rFonts w:hint="default" w:ascii="Times New Roman" w:hAnsi="Times New Roman" w:cs="Times New Roman"/>
                <w:color w:val="auto"/>
                <w:sz w:val="24"/>
                <w:szCs w:val="24"/>
                <w:lang w:eastAsia="zh-CN" w:bidi="ar"/>
              </w:rPr>
              <w:sym w:font="Wingdings 2" w:char="00A3"/>
            </w:r>
            <w:r>
              <w:rPr>
                <w:rFonts w:hint="default" w:ascii="Times New Roman" w:hAnsi="Times New Roman" w:cs="Times New Roman"/>
                <w:color w:val="auto"/>
                <w:sz w:val="24"/>
                <w:szCs w:val="24"/>
                <w:lang w:bidi="ar"/>
              </w:rPr>
              <w:t>扩建</w:t>
            </w:r>
          </w:p>
          <w:p w14:paraId="5E497ED9">
            <w:pPr>
              <w:keepLines/>
              <w:widowControl/>
              <w:wordWrap w:val="0"/>
              <w:spacing w:line="280" w:lineRule="atLeast"/>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bidi="ar"/>
              </w:rPr>
              <w:sym w:font="Wingdings 2" w:char="00A3"/>
            </w:r>
            <w:r>
              <w:rPr>
                <w:rFonts w:hint="default" w:ascii="Times New Roman" w:hAnsi="Times New Roman" w:cs="Times New Roman"/>
                <w:color w:val="auto"/>
                <w:sz w:val="24"/>
                <w:szCs w:val="24"/>
                <w:lang w:bidi="ar"/>
              </w:rPr>
              <w:t>技术改造</w:t>
            </w:r>
          </w:p>
        </w:tc>
        <w:tc>
          <w:tcPr>
            <w:tcW w:w="1581" w:type="dxa"/>
            <w:vAlign w:val="center"/>
          </w:tcPr>
          <w:p w14:paraId="4053F1C9">
            <w:pPr>
              <w:keepLines/>
              <w:widowControl/>
              <w:wordWrap w:val="0"/>
              <w:spacing w:line="280" w:lineRule="atLeast"/>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lang w:bidi="ar"/>
              </w:rPr>
              <w:t>建设项目</w:t>
            </w:r>
          </w:p>
          <w:p w14:paraId="6349C2BD">
            <w:pPr>
              <w:keepLines/>
              <w:widowControl/>
              <w:wordWrap w:val="0"/>
              <w:spacing w:line="280" w:lineRule="atLeast"/>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lang w:bidi="ar"/>
              </w:rPr>
              <w:t>申报情形</w:t>
            </w:r>
          </w:p>
        </w:tc>
        <w:tc>
          <w:tcPr>
            <w:tcW w:w="3169" w:type="dxa"/>
            <w:gridSpan w:val="2"/>
            <w:vAlign w:val="center"/>
          </w:tcPr>
          <w:p w14:paraId="200A29EF">
            <w:pPr>
              <w:keepLines/>
              <w:widowControl/>
              <w:wordWrap w:val="0"/>
              <w:spacing w:line="280" w:lineRule="atLeast"/>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bidi="ar"/>
              </w:rPr>
              <w:sym w:font="Wingdings 2" w:char="0052"/>
            </w:r>
            <w:r>
              <w:rPr>
                <w:rFonts w:hint="default" w:ascii="Times New Roman" w:hAnsi="Times New Roman" w:cs="Times New Roman"/>
                <w:color w:val="auto"/>
                <w:sz w:val="24"/>
                <w:szCs w:val="24"/>
                <w:lang w:bidi="ar"/>
              </w:rPr>
              <w:t>首次申报项目</w:t>
            </w:r>
          </w:p>
          <w:p w14:paraId="19A4D522">
            <w:pPr>
              <w:keepLines/>
              <w:widowControl/>
              <w:wordWrap w:val="0"/>
              <w:spacing w:line="280" w:lineRule="atLeast"/>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bidi="ar"/>
              </w:rPr>
              <w:sym w:font="Wingdings 2" w:char="00A3"/>
            </w:r>
            <w:r>
              <w:rPr>
                <w:rFonts w:hint="default" w:ascii="Times New Roman" w:hAnsi="Times New Roman" w:cs="Times New Roman"/>
                <w:color w:val="auto"/>
                <w:sz w:val="24"/>
                <w:szCs w:val="24"/>
                <w:lang w:bidi="ar"/>
              </w:rPr>
              <w:t>不予批准后再次申报项目</w:t>
            </w:r>
          </w:p>
          <w:p w14:paraId="467F1840">
            <w:pPr>
              <w:keepLines/>
              <w:widowControl/>
              <w:wordWrap w:val="0"/>
              <w:spacing w:line="280" w:lineRule="atLeast"/>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bidi="ar"/>
              </w:rPr>
              <w:sym w:font="Wingdings 2" w:char="00A3"/>
            </w:r>
            <w:r>
              <w:rPr>
                <w:rFonts w:hint="default" w:ascii="Times New Roman" w:hAnsi="Times New Roman" w:cs="Times New Roman"/>
                <w:color w:val="auto"/>
                <w:sz w:val="24"/>
                <w:szCs w:val="24"/>
                <w:lang w:bidi="ar"/>
              </w:rPr>
              <w:t>超五年重新审核项目</w:t>
            </w:r>
          </w:p>
          <w:p w14:paraId="404A30C7">
            <w:pPr>
              <w:keepLines/>
              <w:widowControl/>
              <w:wordWrap w:val="0"/>
              <w:spacing w:line="280" w:lineRule="atLeast"/>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bidi="ar"/>
              </w:rPr>
              <w:sym w:font="Wingdings 2" w:char="00A3"/>
            </w:r>
            <w:r>
              <w:rPr>
                <w:rFonts w:hint="default" w:ascii="Times New Roman" w:hAnsi="Times New Roman" w:cs="Times New Roman"/>
                <w:color w:val="auto"/>
                <w:sz w:val="24"/>
                <w:szCs w:val="24"/>
                <w:lang w:bidi="ar"/>
              </w:rPr>
              <w:t>重大变动重新报批项目</w:t>
            </w:r>
          </w:p>
        </w:tc>
      </w:tr>
      <w:tr w14:paraId="5A929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652" w:hRule="atLeast"/>
          <w:jc w:val="center"/>
        </w:trPr>
        <w:tc>
          <w:tcPr>
            <w:tcW w:w="1202" w:type="dxa"/>
            <w:vAlign w:val="center"/>
          </w:tcPr>
          <w:p w14:paraId="73A11F95">
            <w:pPr>
              <w:keepLines/>
              <w:widowControl/>
              <w:wordWrap w:val="0"/>
              <w:spacing w:line="280" w:lineRule="atLeast"/>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lang w:bidi="ar"/>
              </w:rPr>
              <w:t>项目审批（核准/备案）部门（选填）</w:t>
            </w:r>
          </w:p>
        </w:tc>
        <w:tc>
          <w:tcPr>
            <w:tcW w:w="2684" w:type="dxa"/>
            <w:gridSpan w:val="2"/>
            <w:vAlign w:val="center"/>
          </w:tcPr>
          <w:p w14:paraId="2B531A09">
            <w:pPr>
              <w:keepLines/>
              <w:widowControl/>
              <w:wordWrap w:val="0"/>
              <w:spacing w:line="280" w:lineRule="atLeast"/>
              <w:jc w:val="center"/>
              <w:rPr>
                <w:rFonts w:hint="default" w:ascii="Times New Roman" w:hAnsi="Times New Roman" w:eastAsia="宋体" w:cs="Times New Roman"/>
                <w:color w:val="auto"/>
                <w:sz w:val="24"/>
                <w:szCs w:val="24"/>
                <w:lang w:val="en-US" w:eastAsia="zh-CN" w:bidi="ar"/>
              </w:rPr>
            </w:pPr>
            <w:r>
              <w:rPr>
                <w:rFonts w:hint="eastAsia" w:ascii="Times New Roman" w:hAnsi="Times New Roman" w:cs="Times New Roman"/>
                <w:color w:val="auto"/>
                <w:sz w:val="24"/>
                <w:szCs w:val="24"/>
                <w:lang w:eastAsia="zh-CN" w:bidi="ar"/>
              </w:rPr>
              <w:t>永清发展和改革局</w:t>
            </w:r>
          </w:p>
        </w:tc>
        <w:tc>
          <w:tcPr>
            <w:tcW w:w="1581" w:type="dxa"/>
            <w:vAlign w:val="center"/>
          </w:tcPr>
          <w:p w14:paraId="136C7572">
            <w:pPr>
              <w:keepLines/>
              <w:widowControl/>
              <w:wordWrap w:val="0"/>
              <w:spacing w:line="280" w:lineRule="atLeast"/>
              <w:jc w:val="center"/>
              <w:rPr>
                <w:rFonts w:hint="default" w:ascii="Times New Roman" w:hAnsi="Times New Roman" w:eastAsia="宋体" w:cs="Times New Roman"/>
                <w:color w:val="auto"/>
                <w:sz w:val="24"/>
                <w:szCs w:val="24"/>
                <w:lang w:bidi="ar"/>
              </w:rPr>
            </w:pPr>
            <w:r>
              <w:rPr>
                <w:rFonts w:hint="default" w:ascii="Times New Roman" w:hAnsi="Times New Roman" w:eastAsia="宋体" w:cs="Times New Roman"/>
                <w:color w:val="auto"/>
                <w:sz w:val="24"/>
                <w:szCs w:val="24"/>
                <w:lang w:bidi="ar"/>
              </w:rPr>
              <w:t>项目审批（核准/备案）文号（选填）</w:t>
            </w:r>
          </w:p>
        </w:tc>
        <w:tc>
          <w:tcPr>
            <w:tcW w:w="3169" w:type="dxa"/>
            <w:gridSpan w:val="2"/>
            <w:vAlign w:val="center"/>
          </w:tcPr>
          <w:p w14:paraId="17EAD8D7">
            <w:pPr>
              <w:keepLines/>
              <w:widowControl/>
              <w:wordWrap w:val="0"/>
              <w:spacing w:line="280" w:lineRule="atLeast"/>
              <w:jc w:val="center"/>
              <w:rPr>
                <w:rFonts w:hint="default" w:ascii="Times New Roman" w:hAnsi="Times New Roman" w:eastAsia="宋体" w:cs="Times New Roman"/>
                <w:color w:val="auto"/>
                <w:sz w:val="24"/>
                <w:szCs w:val="24"/>
                <w:lang w:eastAsia="zh-CN" w:bidi="ar"/>
              </w:rPr>
            </w:pPr>
            <w:r>
              <w:rPr>
                <w:rFonts w:hint="eastAsia" w:ascii="Times New Roman" w:hAnsi="Times New Roman" w:cs="Times New Roman"/>
                <w:color w:val="auto"/>
                <w:sz w:val="24"/>
                <w:szCs w:val="24"/>
                <w:lang w:val="en-US" w:eastAsia="zh-CN" w:bidi="ar"/>
              </w:rPr>
              <w:t>永发改项目备(2025)147号</w:t>
            </w:r>
          </w:p>
        </w:tc>
      </w:tr>
      <w:tr w14:paraId="649AA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652" w:hRule="atLeast"/>
          <w:jc w:val="center"/>
        </w:trPr>
        <w:tc>
          <w:tcPr>
            <w:tcW w:w="1202" w:type="dxa"/>
            <w:vAlign w:val="center"/>
          </w:tcPr>
          <w:p w14:paraId="227201C4">
            <w:pPr>
              <w:keepLines/>
              <w:widowControl/>
              <w:wordWrap w:val="0"/>
              <w:spacing w:line="280" w:lineRule="atLeast"/>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lang w:bidi="ar"/>
              </w:rPr>
              <w:t>总投资（万元）</w:t>
            </w:r>
          </w:p>
        </w:tc>
        <w:tc>
          <w:tcPr>
            <w:tcW w:w="2684" w:type="dxa"/>
            <w:gridSpan w:val="2"/>
            <w:vAlign w:val="center"/>
          </w:tcPr>
          <w:p w14:paraId="2E400679">
            <w:pPr>
              <w:keepLines/>
              <w:widowControl/>
              <w:wordWrap w:val="0"/>
              <w:spacing w:line="280" w:lineRule="atLeast"/>
              <w:jc w:val="center"/>
              <w:rPr>
                <w:rFonts w:hint="default" w:ascii="Times New Roman" w:hAnsi="Times New Roman" w:eastAsia="宋体" w:cs="Times New Roman"/>
                <w:color w:val="auto"/>
                <w:sz w:val="24"/>
                <w:szCs w:val="24"/>
                <w:lang w:val="en-US" w:eastAsia="zh-CN" w:bidi="ar"/>
              </w:rPr>
            </w:pPr>
            <w:r>
              <w:rPr>
                <w:rFonts w:hint="eastAsia" w:ascii="Times New Roman" w:hAnsi="Times New Roman" w:cs="Times New Roman"/>
                <w:color w:val="auto"/>
                <w:sz w:val="24"/>
                <w:szCs w:val="24"/>
                <w:lang w:val="en-US" w:eastAsia="zh-CN" w:bidi="ar"/>
              </w:rPr>
              <w:t>5020</w:t>
            </w:r>
          </w:p>
        </w:tc>
        <w:tc>
          <w:tcPr>
            <w:tcW w:w="1581" w:type="dxa"/>
            <w:vAlign w:val="center"/>
          </w:tcPr>
          <w:p w14:paraId="203CE44B">
            <w:pPr>
              <w:keepLines/>
              <w:widowControl/>
              <w:wordWrap w:val="0"/>
              <w:spacing w:line="280" w:lineRule="atLeast"/>
              <w:jc w:val="center"/>
              <w:rPr>
                <w:rFonts w:hint="default" w:ascii="Times New Roman" w:hAnsi="Times New Roman" w:eastAsia="宋体" w:cs="Times New Roman"/>
                <w:color w:val="auto"/>
                <w:sz w:val="24"/>
                <w:szCs w:val="24"/>
                <w:lang w:bidi="ar"/>
              </w:rPr>
            </w:pPr>
            <w:r>
              <w:rPr>
                <w:rFonts w:hint="default" w:ascii="Times New Roman" w:hAnsi="Times New Roman" w:eastAsia="宋体" w:cs="Times New Roman"/>
                <w:color w:val="auto"/>
                <w:sz w:val="24"/>
                <w:szCs w:val="24"/>
                <w:lang w:bidi="ar"/>
              </w:rPr>
              <w:t>环保投资</w:t>
            </w:r>
          </w:p>
          <w:p w14:paraId="6BAF48EB">
            <w:pPr>
              <w:keepLines/>
              <w:widowControl/>
              <w:wordWrap w:val="0"/>
              <w:spacing w:line="280" w:lineRule="atLeast"/>
              <w:jc w:val="center"/>
              <w:rPr>
                <w:rFonts w:hint="default" w:ascii="Times New Roman" w:hAnsi="Times New Roman" w:eastAsia="宋体" w:cs="Times New Roman"/>
                <w:color w:val="auto"/>
                <w:sz w:val="24"/>
                <w:szCs w:val="24"/>
                <w:lang w:bidi="ar"/>
              </w:rPr>
            </w:pPr>
            <w:r>
              <w:rPr>
                <w:rFonts w:hint="default" w:ascii="Times New Roman" w:hAnsi="Times New Roman" w:eastAsia="宋体" w:cs="Times New Roman"/>
                <w:color w:val="auto"/>
                <w:sz w:val="24"/>
                <w:szCs w:val="24"/>
                <w:lang w:bidi="ar"/>
              </w:rPr>
              <w:t>（万元）</w:t>
            </w:r>
          </w:p>
        </w:tc>
        <w:tc>
          <w:tcPr>
            <w:tcW w:w="3169" w:type="dxa"/>
            <w:gridSpan w:val="2"/>
            <w:vAlign w:val="center"/>
          </w:tcPr>
          <w:p w14:paraId="7C2739DB">
            <w:pPr>
              <w:keepLines/>
              <w:widowControl/>
              <w:wordWrap w:val="0"/>
              <w:spacing w:line="280" w:lineRule="atLeast"/>
              <w:jc w:val="center"/>
              <w:rPr>
                <w:rFonts w:hint="default" w:ascii="Times New Roman" w:hAnsi="Times New Roman" w:eastAsia="宋体" w:cs="Times New Roman"/>
                <w:color w:val="auto"/>
                <w:sz w:val="24"/>
                <w:szCs w:val="24"/>
                <w:lang w:val="en-US" w:eastAsia="zh-CN" w:bidi="ar"/>
              </w:rPr>
            </w:pPr>
            <w:r>
              <w:rPr>
                <w:rFonts w:hint="eastAsia" w:ascii="Times New Roman" w:hAnsi="Times New Roman" w:cs="Times New Roman"/>
                <w:color w:val="auto"/>
                <w:sz w:val="24"/>
                <w:szCs w:val="24"/>
                <w:lang w:val="en-US" w:eastAsia="zh-CN" w:bidi="ar"/>
              </w:rPr>
              <w:t>50</w:t>
            </w:r>
          </w:p>
        </w:tc>
      </w:tr>
      <w:tr w14:paraId="24383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652" w:hRule="atLeast"/>
          <w:jc w:val="center"/>
        </w:trPr>
        <w:tc>
          <w:tcPr>
            <w:tcW w:w="1202" w:type="dxa"/>
            <w:vAlign w:val="center"/>
          </w:tcPr>
          <w:p w14:paraId="1F18BF54">
            <w:pPr>
              <w:keepLines/>
              <w:widowControl/>
              <w:wordWrap w:val="0"/>
              <w:spacing w:line="280" w:lineRule="atLeast"/>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lang w:bidi="ar"/>
              </w:rPr>
              <w:t>环保投资占比（%）</w:t>
            </w:r>
          </w:p>
        </w:tc>
        <w:tc>
          <w:tcPr>
            <w:tcW w:w="2684" w:type="dxa"/>
            <w:gridSpan w:val="2"/>
            <w:vAlign w:val="center"/>
          </w:tcPr>
          <w:p w14:paraId="74CBC578">
            <w:pPr>
              <w:keepLines/>
              <w:widowControl/>
              <w:wordWrap w:val="0"/>
              <w:spacing w:line="280" w:lineRule="atLeast"/>
              <w:jc w:val="center"/>
              <w:rPr>
                <w:rFonts w:hint="default" w:ascii="Times New Roman" w:hAnsi="Times New Roman" w:eastAsia="宋体" w:cs="Times New Roman"/>
                <w:color w:val="auto"/>
                <w:sz w:val="24"/>
                <w:szCs w:val="24"/>
                <w:lang w:val="en-US" w:eastAsia="zh-CN" w:bidi="ar"/>
              </w:rPr>
            </w:pPr>
            <w:r>
              <w:rPr>
                <w:rFonts w:hint="eastAsia" w:ascii="Times New Roman" w:hAnsi="Times New Roman" w:cs="Times New Roman"/>
                <w:color w:val="auto"/>
                <w:sz w:val="24"/>
                <w:szCs w:val="24"/>
                <w:lang w:val="en-US" w:eastAsia="zh-CN" w:bidi="ar"/>
              </w:rPr>
              <w:t>0.9</w:t>
            </w:r>
            <w:r>
              <w:rPr>
                <w:rFonts w:hint="default" w:ascii="Times New Roman" w:hAnsi="Times New Roman" w:eastAsia="宋体" w:cs="Times New Roman"/>
                <w:color w:val="auto"/>
                <w:sz w:val="24"/>
                <w:szCs w:val="24"/>
                <w:lang w:bidi="ar"/>
              </w:rPr>
              <w:t>%</w:t>
            </w:r>
          </w:p>
        </w:tc>
        <w:tc>
          <w:tcPr>
            <w:tcW w:w="1581" w:type="dxa"/>
            <w:vAlign w:val="center"/>
          </w:tcPr>
          <w:p w14:paraId="1EADD806">
            <w:pPr>
              <w:keepLines/>
              <w:widowControl/>
              <w:wordWrap w:val="0"/>
              <w:spacing w:line="280" w:lineRule="atLeast"/>
              <w:jc w:val="center"/>
              <w:rPr>
                <w:rFonts w:hint="default" w:ascii="Times New Roman" w:hAnsi="Times New Roman" w:eastAsia="宋体" w:cs="Times New Roman"/>
                <w:color w:val="auto"/>
                <w:sz w:val="24"/>
                <w:szCs w:val="24"/>
                <w:lang w:eastAsia="zh-CN" w:bidi="ar"/>
              </w:rPr>
            </w:pPr>
            <w:r>
              <w:rPr>
                <w:rFonts w:hint="default" w:ascii="Times New Roman" w:hAnsi="Times New Roman" w:eastAsia="宋体" w:cs="Times New Roman"/>
                <w:color w:val="auto"/>
                <w:sz w:val="24"/>
                <w:szCs w:val="24"/>
                <w:lang w:bidi="ar"/>
              </w:rPr>
              <w:t>施工工期</w:t>
            </w:r>
            <w:r>
              <w:rPr>
                <w:rFonts w:hint="default" w:ascii="Times New Roman" w:hAnsi="Times New Roman" w:eastAsia="宋体" w:cs="Times New Roman"/>
                <w:color w:val="auto"/>
                <w:sz w:val="24"/>
                <w:szCs w:val="24"/>
                <w:lang w:eastAsia="zh-CN" w:bidi="ar"/>
              </w:rPr>
              <w:t>（月）</w:t>
            </w:r>
          </w:p>
        </w:tc>
        <w:tc>
          <w:tcPr>
            <w:tcW w:w="3169" w:type="dxa"/>
            <w:gridSpan w:val="2"/>
            <w:vAlign w:val="center"/>
          </w:tcPr>
          <w:p w14:paraId="28D518E8">
            <w:pPr>
              <w:keepLines/>
              <w:widowControl/>
              <w:wordWrap w:val="0"/>
              <w:spacing w:line="280" w:lineRule="atLeast"/>
              <w:jc w:val="center"/>
              <w:rPr>
                <w:rFonts w:hint="default" w:ascii="Times New Roman" w:hAnsi="Times New Roman" w:eastAsia="宋体" w:cs="Times New Roman"/>
                <w:color w:val="auto"/>
                <w:sz w:val="24"/>
                <w:szCs w:val="24"/>
                <w:lang w:bidi="ar"/>
              </w:rPr>
            </w:pPr>
            <w:r>
              <w:rPr>
                <w:rFonts w:hint="eastAsia" w:ascii="Times New Roman" w:hAnsi="Times New Roman" w:cs="Times New Roman"/>
                <w:color w:val="auto"/>
                <w:sz w:val="24"/>
                <w:szCs w:val="24"/>
                <w:lang w:val="en-US" w:eastAsia="zh-CN" w:bidi="ar"/>
              </w:rPr>
              <w:t>3</w:t>
            </w:r>
            <w:r>
              <w:rPr>
                <w:rFonts w:hint="default" w:ascii="Times New Roman" w:hAnsi="Times New Roman" w:eastAsia="宋体" w:cs="Times New Roman"/>
                <w:color w:val="auto"/>
                <w:sz w:val="24"/>
                <w:szCs w:val="24"/>
                <w:lang w:bidi="ar"/>
              </w:rPr>
              <w:t>个月</w:t>
            </w:r>
          </w:p>
        </w:tc>
      </w:tr>
      <w:tr w14:paraId="4551C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652" w:hRule="atLeast"/>
          <w:jc w:val="center"/>
        </w:trPr>
        <w:tc>
          <w:tcPr>
            <w:tcW w:w="1202" w:type="dxa"/>
            <w:vAlign w:val="center"/>
          </w:tcPr>
          <w:p w14:paraId="225525E2">
            <w:pPr>
              <w:keepLines/>
              <w:widowControl/>
              <w:wordWrap w:val="0"/>
              <w:spacing w:line="280" w:lineRule="atLeast"/>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lang w:bidi="ar"/>
              </w:rPr>
              <w:t>是否开工建设</w:t>
            </w:r>
          </w:p>
        </w:tc>
        <w:tc>
          <w:tcPr>
            <w:tcW w:w="2684" w:type="dxa"/>
            <w:gridSpan w:val="2"/>
            <w:vAlign w:val="center"/>
          </w:tcPr>
          <w:p w14:paraId="7F3ECBE8">
            <w:pPr>
              <w:keepLines/>
              <w:widowControl/>
              <w:wordWrap w:val="0"/>
              <w:spacing w:line="280" w:lineRule="atLeast"/>
              <w:jc w:val="both"/>
              <w:rPr>
                <w:rFonts w:hint="default" w:ascii="Times New Roman" w:hAnsi="Times New Roman" w:eastAsia="宋体" w:cs="Times New Roman"/>
                <w:color w:val="auto"/>
                <w:sz w:val="24"/>
                <w:szCs w:val="24"/>
                <w:lang w:eastAsia="zh-CN" w:bidi="ar"/>
              </w:rPr>
            </w:pPr>
            <w:r>
              <w:rPr>
                <w:rFonts w:hint="default" w:ascii="Times New Roman" w:hAnsi="Times New Roman" w:eastAsia="宋体" w:cs="Times New Roman"/>
                <w:color w:val="auto"/>
                <w:sz w:val="24"/>
                <w:szCs w:val="24"/>
                <w:lang w:eastAsia="zh-CN" w:bidi="ar"/>
              </w:rPr>
              <w:sym w:font="Wingdings 2" w:char="0052"/>
            </w:r>
            <w:r>
              <w:rPr>
                <w:rFonts w:hint="default" w:ascii="Times New Roman" w:hAnsi="Times New Roman" w:eastAsia="宋体" w:cs="Times New Roman"/>
                <w:color w:val="auto"/>
                <w:sz w:val="24"/>
                <w:szCs w:val="24"/>
                <w:lang w:bidi="ar"/>
              </w:rPr>
              <w:t>否</w:t>
            </w:r>
          </w:p>
          <w:p w14:paraId="250951FA">
            <w:pPr>
              <w:keepLines/>
              <w:widowControl/>
              <w:wordWrap w:val="0"/>
              <w:spacing w:line="280" w:lineRule="atLeast"/>
              <w:jc w:val="both"/>
              <w:rPr>
                <w:rFonts w:hint="default" w:ascii="Times New Roman" w:hAnsi="Times New Roman" w:eastAsia="宋体" w:cs="Times New Roman"/>
                <w:color w:val="auto"/>
                <w:sz w:val="24"/>
                <w:szCs w:val="24"/>
                <w:lang w:eastAsia="zh-CN" w:bidi="ar"/>
              </w:rPr>
            </w:pPr>
            <w:r>
              <w:rPr>
                <w:rFonts w:hint="default" w:ascii="Times New Roman" w:hAnsi="Times New Roman" w:eastAsia="宋体" w:cs="Times New Roman"/>
                <w:color w:val="auto"/>
                <w:sz w:val="24"/>
                <w:szCs w:val="24"/>
                <w:lang w:eastAsia="zh-CN" w:bidi="ar"/>
              </w:rPr>
              <w:sym w:font="Wingdings 2" w:char="00A3"/>
            </w:r>
            <w:r>
              <w:rPr>
                <w:rFonts w:hint="default" w:ascii="Times New Roman" w:hAnsi="Times New Roman" w:eastAsia="宋体" w:cs="Times New Roman"/>
                <w:color w:val="auto"/>
                <w:sz w:val="24"/>
                <w:szCs w:val="24"/>
                <w:lang w:bidi="ar"/>
              </w:rPr>
              <w:t>是：</w:t>
            </w:r>
          </w:p>
        </w:tc>
        <w:tc>
          <w:tcPr>
            <w:tcW w:w="1581" w:type="dxa"/>
            <w:vAlign w:val="center"/>
          </w:tcPr>
          <w:p w14:paraId="42ED3F51">
            <w:pPr>
              <w:keepLines/>
              <w:widowControl/>
              <w:wordWrap w:val="0"/>
              <w:spacing w:line="280" w:lineRule="atLeast"/>
              <w:jc w:val="center"/>
              <w:rPr>
                <w:rFonts w:hint="default" w:ascii="Times New Roman" w:hAnsi="Times New Roman" w:eastAsia="宋体" w:cs="Times New Roman"/>
                <w:color w:val="auto"/>
                <w:sz w:val="24"/>
                <w:szCs w:val="24"/>
                <w:lang w:bidi="ar"/>
              </w:rPr>
            </w:pPr>
            <w:r>
              <w:rPr>
                <w:rFonts w:hint="default" w:ascii="Times New Roman" w:hAnsi="Times New Roman" w:eastAsia="宋体" w:cs="Times New Roman"/>
                <w:color w:val="auto"/>
                <w:sz w:val="24"/>
                <w:szCs w:val="24"/>
                <w:lang w:bidi="ar"/>
              </w:rPr>
              <w:t>用地（用海）面积（m</w:t>
            </w:r>
            <w:r>
              <w:rPr>
                <w:rFonts w:hint="default" w:ascii="Times New Roman" w:hAnsi="Times New Roman" w:eastAsia="宋体" w:cs="Times New Roman"/>
                <w:color w:val="auto"/>
                <w:sz w:val="24"/>
                <w:szCs w:val="24"/>
                <w:vertAlign w:val="superscript"/>
                <w:lang w:bidi="ar"/>
              </w:rPr>
              <w:t>2</w:t>
            </w:r>
            <w:r>
              <w:rPr>
                <w:rFonts w:hint="default" w:ascii="Times New Roman" w:hAnsi="Times New Roman" w:eastAsia="宋体" w:cs="Times New Roman"/>
                <w:color w:val="auto"/>
                <w:sz w:val="24"/>
                <w:szCs w:val="24"/>
                <w:lang w:bidi="ar"/>
              </w:rPr>
              <w:t>）</w:t>
            </w:r>
          </w:p>
        </w:tc>
        <w:tc>
          <w:tcPr>
            <w:tcW w:w="3169" w:type="dxa"/>
            <w:gridSpan w:val="2"/>
            <w:vAlign w:val="center"/>
          </w:tcPr>
          <w:p w14:paraId="2B5037BC">
            <w:pPr>
              <w:keepLines/>
              <w:widowControl/>
              <w:wordWrap w:val="0"/>
              <w:spacing w:line="280" w:lineRule="atLeast"/>
              <w:jc w:val="center"/>
              <w:rPr>
                <w:rFonts w:hint="default" w:ascii="Times New Roman" w:hAnsi="Times New Roman" w:eastAsia="宋体" w:cs="Times New Roman"/>
                <w:color w:val="auto"/>
                <w:sz w:val="24"/>
                <w:szCs w:val="24"/>
                <w:lang w:val="en-US" w:eastAsia="zh-CN" w:bidi="ar"/>
              </w:rPr>
            </w:pPr>
            <w:r>
              <w:rPr>
                <w:rFonts w:hint="eastAsia" w:ascii="Times New Roman" w:hAnsi="Times New Roman" w:cs="Times New Roman"/>
                <w:color w:val="auto"/>
                <w:sz w:val="24"/>
                <w:szCs w:val="24"/>
                <w:lang w:val="en-US" w:eastAsia="zh-CN" w:bidi="ar"/>
              </w:rPr>
              <w:t>3108</w:t>
            </w:r>
          </w:p>
        </w:tc>
      </w:tr>
      <w:tr w14:paraId="479F3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652" w:hRule="atLeast"/>
          <w:jc w:val="center"/>
        </w:trPr>
        <w:tc>
          <w:tcPr>
            <w:tcW w:w="1202" w:type="dxa"/>
            <w:vAlign w:val="center"/>
          </w:tcPr>
          <w:p w14:paraId="4F94C145">
            <w:pPr>
              <w:keepLines/>
              <w:widowControl/>
              <w:wordWrap w:val="0"/>
              <w:spacing w:line="280" w:lineRule="atLeast"/>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lang w:bidi="ar"/>
              </w:rPr>
              <w:t>专项评价设置情况</w:t>
            </w:r>
          </w:p>
        </w:tc>
        <w:tc>
          <w:tcPr>
            <w:tcW w:w="7434" w:type="dxa"/>
            <w:gridSpan w:val="5"/>
            <w:vAlign w:val="center"/>
          </w:tcPr>
          <w:p w14:paraId="1AB315FE">
            <w:pPr>
              <w:pStyle w:val="4"/>
              <w:keepLines/>
              <w:widowControl/>
              <w:wordWrap w:val="0"/>
              <w:spacing w:line="280" w:lineRule="atLeast"/>
              <w:ind w:firstLine="0" w:firstLineChars="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无</w:t>
            </w:r>
          </w:p>
        </w:tc>
      </w:tr>
      <w:tr w14:paraId="20AAD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652" w:hRule="atLeast"/>
          <w:jc w:val="center"/>
        </w:trPr>
        <w:tc>
          <w:tcPr>
            <w:tcW w:w="1202" w:type="dxa"/>
            <w:vAlign w:val="center"/>
          </w:tcPr>
          <w:p w14:paraId="15874FE6">
            <w:pPr>
              <w:keepLines/>
              <w:widowControl/>
              <w:wordWrap w:val="0"/>
              <w:spacing w:line="280" w:lineRule="atLeast"/>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lang w:bidi="ar"/>
              </w:rPr>
              <w:t>规划情况</w:t>
            </w:r>
          </w:p>
        </w:tc>
        <w:tc>
          <w:tcPr>
            <w:tcW w:w="7434" w:type="dxa"/>
            <w:gridSpan w:val="5"/>
            <w:vAlign w:val="center"/>
          </w:tcPr>
          <w:p w14:paraId="31526370">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eastAsiaTheme="majorEastAsia"/>
                <w:bCs/>
                <w:color w:val="auto"/>
                <w:sz w:val="24"/>
                <w:szCs w:val="24"/>
                <w:lang w:eastAsia="zh-CN"/>
              </w:rPr>
            </w:pPr>
            <w:r>
              <w:rPr>
                <w:rFonts w:hint="default" w:ascii="Times New Roman" w:hAnsi="Times New Roman" w:cs="Times New Roman"/>
                <w:color w:val="auto"/>
                <w:sz w:val="24"/>
                <w:szCs w:val="24"/>
              </w:rPr>
              <w:t>无</w:t>
            </w:r>
          </w:p>
        </w:tc>
      </w:tr>
      <w:tr w14:paraId="2B592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652" w:hRule="atLeast"/>
          <w:jc w:val="center"/>
        </w:trPr>
        <w:tc>
          <w:tcPr>
            <w:tcW w:w="1202" w:type="dxa"/>
            <w:vAlign w:val="center"/>
          </w:tcPr>
          <w:p w14:paraId="6D17E122">
            <w:pPr>
              <w:keepLines/>
              <w:widowControl/>
              <w:wordWrap w:val="0"/>
              <w:spacing w:line="280" w:lineRule="atLeast"/>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lang w:bidi="ar"/>
              </w:rPr>
              <w:t>规划环境影响评价情况</w:t>
            </w:r>
          </w:p>
        </w:tc>
        <w:tc>
          <w:tcPr>
            <w:tcW w:w="7434" w:type="dxa"/>
            <w:gridSpan w:val="5"/>
            <w:vAlign w:val="center"/>
          </w:tcPr>
          <w:p w14:paraId="5034D45F">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eastAsiaTheme="majorEastAsia"/>
                <w:bCs/>
                <w:color w:val="auto"/>
                <w:sz w:val="24"/>
                <w:szCs w:val="24"/>
                <w:lang w:eastAsia="zh-CN"/>
              </w:rPr>
            </w:pPr>
            <w:r>
              <w:rPr>
                <w:rFonts w:hint="default" w:ascii="Times New Roman" w:hAnsi="Times New Roman" w:cs="Times New Roman"/>
                <w:color w:val="auto"/>
                <w:sz w:val="24"/>
                <w:szCs w:val="24"/>
              </w:rPr>
              <w:t>无</w:t>
            </w:r>
          </w:p>
        </w:tc>
      </w:tr>
      <w:tr w14:paraId="15FCE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334" w:hRule="atLeast"/>
          <w:jc w:val="center"/>
        </w:trPr>
        <w:tc>
          <w:tcPr>
            <w:tcW w:w="1202" w:type="dxa"/>
            <w:shd w:val="clear" w:color="auto" w:fill="auto"/>
            <w:vAlign w:val="center"/>
          </w:tcPr>
          <w:p w14:paraId="4D5B12AC">
            <w:pPr>
              <w:widowControl/>
              <w:spacing w:line="280" w:lineRule="atLeast"/>
              <w:jc w:val="center"/>
              <w:rPr>
                <w:rFonts w:hint="default" w:ascii="Times New Roman" w:hAnsi="Times New Roman" w:eastAsia="宋体" w:cs="Times New Roman"/>
                <w:snapToGrid w:val="0"/>
                <w:color w:val="auto"/>
                <w:sz w:val="24"/>
                <w:szCs w:val="24"/>
                <w:lang w:val="en-US" w:eastAsia="zh-CN" w:bidi="ar-SA"/>
              </w:rPr>
            </w:pPr>
            <w:r>
              <w:rPr>
                <w:rFonts w:hint="default" w:ascii="Times New Roman" w:hAnsi="Times New Roman" w:cs="Times New Roman"/>
                <w:color w:val="auto"/>
                <w:sz w:val="24"/>
                <w:szCs w:val="24"/>
                <w:lang w:bidi="ar"/>
              </w:rPr>
              <w:t>规划及规划环境影响评价符合性分析</w:t>
            </w:r>
          </w:p>
        </w:tc>
        <w:tc>
          <w:tcPr>
            <w:tcW w:w="7434" w:type="dxa"/>
            <w:gridSpan w:val="5"/>
            <w:shd w:val="clear" w:color="auto" w:fill="auto"/>
            <w:vAlign w:val="center"/>
          </w:tcPr>
          <w:p w14:paraId="2515B1D0">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eastAsiaTheme="majorEastAsia"/>
                <w:bCs/>
                <w:snapToGrid w:val="0"/>
                <w:color w:val="auto"/>
                <w:sz w:val="24"/>
                <w:szCs w:val="24"/>
                <w:lang w:val="en-US" w:eastAsia="zh-CN" w:bidi="ar-SA"/>
              </w:rPr>
            </w:pPr>
            <w:r>
              <w:rPr>
                <w:rFonts w:hint="default" w:ascii="Times New Roman" w:hAnsi="Times New Roman" w:cs="Times New Roman"/>
                <w:color w:val="auto"/>
                <w:sz w:val="24"/>
                <w:szCs w:val="24"/>
              </w:rPr>
              <w:t>无</w:t>
            </w:r>
          </w:p>
        </w:tc>
      </w:tr>
      <w:tr w14:paraId="1B1E0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652" w:hRule="atLeast"/>
          <w:jc w:val="center"/>
        </w:trPr>
        <w:tc>
          <w:tcPr>
            <w:tcW w:w="1202" w:type="dxa"/>
            <w:shd w:val="clear" w:color="auto" w:fill="auto"/>
            <w:vAlign w:val="center"/>
          </w:tcPr>
          <w:p w14:paraId="4AE6044D">
            <w:pPr>
              <w:widowControl/>
              <w:spacing w:line="280" w:lineRule="atLeast"/>
              <w:jc w:val="center"/>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cs="Times New Roman"/>
                <w:color w:val="auto"/>
                <w:sz w:val="24"/>
                <w:szCs w:val="24"/>
                <w:lang w:bidi="ar"/>
              </w:rPr>
              <w:t>其他符合性分析</w:t>
            </w:r>
          </w:p>
        </w:tc>
        <w:tc>
          <w:tcPr>
            <w:tcW w:w="7434" w:type="dxa"/>
            <w:gridSpan w:val="5"/>
            <w:shd w:val="clear" w:color="auto" w:fill="auto"/>
            <w:vAlign w:val="center"/>
          </w:tcPr>
          <w:p w14:paraId="68B8C59F">
            <w:pPr>
              <w:pStyle w:val="4"/>
              <w:keepNext w:val="0"/>
              <w:keepLines w:val="0"/>
              <w:pageBreakBefore w:val="0"/>
              <w:widowControl w:val="0"/>
              <w:kinsoku/>
              <w:wordWrap/>
              <w:overflowPunct/>
              <w:topLinePunct w:val="0"/>
              <w:autoSpaceDE/>
              <w:autoSpaceDN/>
              <w:bidi w:val="0"/>
              <w:adjustRightInd/>
              <w:snapToGrid/>
              <w:spacing w:line="500" w:lineRule="exact"/>
              <w:ind w:firstLine="482"/>
              <w:jc w:val="left"/>
              <w:textAlignment w:val="auto"/>
              <w:rPr>
                <w:rFonts w:hint="default" w:ascii="Times New Roman" w:hAnsi="Times New Roman" w:cs="Times New Roman" w:eastAsiaTheme="majorEastAsia"/>
                <w:b/>
                <w:bCs/>
                <w:color w:val="auto"/>
                <w:sz w:val="24"/>
                <w:szCs w:val="24"/>
              </w:rPr>
            </w:pPr>
            <w:r>
              <w:rPr>
                <w:rFonts w:hint="default" w:ascii="Times New Roman" w:hAnsi="Times New Roman" w:cs="Times New Roman" w:eastAsiaTheme="majorEastAsia"/>
                <w:b/>
                <w:bCs/>
                <w:color w:val="auto"/>
                <w:sz w:val="24"/>
                <w:szCs w:val="24"/>
              </w:rPr>
              <w:t>1、产业政策符合性分析</w:t>
            </w:r>
          </w:p>
          <w:p w14:paraId="44CA9B98">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jc w:val="both"/>
              <w:textAlignment w:val="auto"/>
              <w:rPr>
                <w:rFonts w:hint="default" w:ascii="Times New Roman" w:hAnsi="Times New Roman" w:eastAsia="宋体" w:cs="Times New Roman"/>
                <w:snapToGrid w:val="0"/>
                <w:color w:val="auto"/>
                <w:kern w:val="0"/>
                <w:sz w:val="24"/>
                <w:highlight w:val="none"/>
              </w:rPr>
            </w:pPr>
            <w:r>
              <w:rPr>
                <w:rFonts w:hint="default" w:ascii="Times New Roman" w:hAnsi="Times New Roman" w:eastAsia="宋体" w:cs="Times New Roman"/>
                <w:snapToGrid w:val="0"/>
                <w:color w:val="auto"/>
                <w:kern w:val="0"/>
                <w:sz w:val="24"/>
                <w:highlight w:val="none"/>
              </w:rPr>
              <w:t>本项目属于《国民经济行业分类》（GB/T 4754-2017）中“</w:t>
            </w:r>
            <w:r>
              <w:rPr>
                <w:rFonts w:hint="eastAsia" w:ascii="Times New Roman" w:hAnsi="Times New Roman" w:cs="Times New Roman"/>
                <w:color w:val="auto"/>
                <w:sz w:val="24"/>
                <w:szCs w:val="24"/>
                <w:lang w:eastAsia="zh-CN" w:bidi="ar"/>
              </w:rPr>
              <w:t>C2927日用塑料制品制造</w:t>
            </w:r>
            <w:r>
              <w:rPr>
                <w:rFonts w:hint="default" w:ascii="Times New Roman" w:hAnsi="Times New Roman" w:eastAsia="宋体" w:cs="Times New Roman"/>
                <w:snapToGrid w:val="0"/>
                <w:color w:val="auto"/>
                <w:kern w:val="0"/>
                <w:sz w:val="24"/>
                <w:highlight w:val="none"/>
              </w:rPr>
              <w:t>”行业。</w:t>
            </w:r>
            <w:r>
              <w:rPr>
                <w:rFonts w:hint="default" w:ascii="Times New Roman" w:hAnsi="Times New Roman" w:eastAsia="宋体" w:cs="Times New Roman"/>
                <w:color w:val="auto"/>
                <w:sz w:val="24"/>
                <w:highlight w:val="none"/>
              </w:rPr>
              <w:t>本项目</w:t>
            </w:r>
            <w:r>
              <w:rPr>
                <w:rFonts w:hint="default" w:ascii="Times New Roman" w:hAnsi="Times New Roman" w:cs="Times New Roman"/>
                <w:color w:val="auto"/>
                <w:sz w:val="24"/>
              </w:rPr>
              <w:t>不属于《</w:t>
            </w:r>
            <w:r>
              <w:rPr>
                <w:rFonts w:hint="default" w:ascii="Times New Roman" w:hAnsi="Times New Roman" w:cs="Times New Roman"/>
                <w:color w:val="auto"/>
                <w:sz w:val="24"/>
                <w:szCs w:val="20"/>
              </w:rPr>
              <w:t>产业结构调整指导目录（</w:t>
            </w:r>
            <w:r>
              <w:rPr>
                <w:rFonts w:hint="eastAsia" w:ascii="Times New Roman" w:hAnsi="Times New Roman" w:cs="Times New Roman"/>
                <w:color w:val="auto"/>
                <w:sz w:val="24"/>
                <w:szCs w:val="20"/>
                <w:lang w:val="en-US" w:eastAsia="zh-CN"/>
              </w:rPr>
              <w:t>2024</w:t>
            </w:r>
            <w:r>
              <w:rPr>
                <w:rFonts w:hint="default" w:ascii="Times New Roman" w:hAnsi="Times New Roman" w:cs="Times New Roman"/>
                <w:color w:val="auto"/>
                <w:sz w:val="24"/>
                <w:szCs w:val="20"/>
              </w:rPr>
              <w:t>年本）</w:t>
            </w:r>
            <w:r>
              <w:rPr>
                <w:rFonts w:hint="default" w:ascii="Times New Roman" w:hAnsi="Times New Roman" w:cs="Times New Roman"/>
                <w:color w:val="auto"/>
                <w:sz w:val="24"/>
              </w:rPr>
              <w:t>》中鼓励类、限制类和淘汰类建设项目，为允许类项目；不属于《市场准入负面清单（202</w:t>
            </w:r>
            <w:r>
              <w:rPr>
                <w:rFonts w:hint="eastAsia" w:ascii="Times New Roman" w:hAnsi="Times New Roman" w:cs="Times New Roman"/>
                <w:color w:val="auto"/>
                <w:sz w:val="24"/>
                <w:lang w:val="en-US" w:eastAsia="zh-CN"/>
              </w:rPr>
              <w:t>5</w:t>
            </w:r>
            <w:r>
              <w:rPr>
                <w:rFonts w:hint="default" w:ascii="Times New Roman" w:hAnsi="Times New Roman" w:cs="Times New Roman"/>
                <w:color w:val="auto"/>
                <w:sz w:val="24"/>
              </w:rPr>
              <w:t>年版）》中禁止类项目；</w:t>
            </w:r>
            <w:r>
              <w:rPr>
                <w:rFonts w:hint="default" w:ascii="Times New Roman" w:hAnsi="Times New Roman" w:eastAsia="宋体" w:cs="Times New Roman"/>
                <w:color w:val="auto"/>
                <w:kern w:val="2"/>
                <w:sz w:val="24"/>
                <w:szCs w:val="24"/>
                <w:highlight w:val="none"/>
                <w:lang w:val="en-US" w:eastAsia="zh-CN" w:bidi="ar-SA"/>
              </w:rPr>
              <w:t>不属于</w:t>
            </w:r>
            <w:r>
              <w:rPr>
                <w:rFonts w:hint="eastAsia" w:ascii="Times New Roman" w:hAnsi="Times New Roman" w:eastAsia="宋体" w:cs="Times New Roman"/>
                <w:color w:val="auto"/>
                <w:kern w:val="2"/>
                <w:sz w:val="24"/>
                <w:szCs w:val="24"/>
                <w:highlight w:val="none"/>
                <w:lang w:val="en-US" w:eastAsia="zh-CN" w:bidi="ar-SA"/>
              </w:rPr>
              <w:t>河北省发展和改革委员会印发的《河北</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省禁止投资的产业目录（2014年版）》（冀发改法规</w:t>
            </w:r>
            <w:r>
              <w:rPr>
                <w:rFonts w:hint="eastAsia" w:ascii="Times New Roman" w:hAnsi="Times New Roman" w:cs="Times New Roman"/>
                <w:color w:val="000000" w:themeColor="text1"/>
                <w:kern w:val="2"/>
                <w:sz w:val="24"/>
                <w:szCs w:val="24"/>
                <w:highlight w:val="none"/>
                <w:lang w:val="en-US" w:eastAsia="zh-CN" w:bidi="ar-SA"/>
                <w14:textFill>
                  <w14:solidFill>
                    <w14:schemeClr w14:val="tx1"/>
                  </w14:solidFill>
                </w14:textFill>
              </w:rPr>
              <w:t>〔2014〕1642号</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）中禁止类项目。</w:t>
            </w:r>
            <w:r>
              <w:rPr>
                <w:rFonts w:hint="eastAsia" w:ascii="Times New Roman" w:hAnsi="Times New Roman" w:cs="Times New Roman"/>
                <w:color w:val="000000" w:themeColor="text1"/>
                <w:kern w:val="2"/>
                <w:sz w:val="24"/>
                <w:szCs w:val="24"/>
                <w:highlight w:val="none"/>
                <w:lang w:val="en-US" w:eastAsia="zh-CN" w:bidi="ar-SA"/>
                <w14:textFill>
                  <w14:solidFill>
                    <w14:schemeClr w14:val="tx1"/>
                  </w14:solidFill>
                </w14:textFill>
              </w:rPr>
              <w:t>依据《廊坊市广阳区、永清县、固安县和涿州市新增产业的禁止和限制目录》（冀政字【2024】43号）</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（2927）日用塑料制品制造除外。</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本项目不属于禁止新建和扩建类项目。</w:t>
            </w:r>
            <w:r>
              <w:rPr>
                <w:rFonts w:hint="default" w:ascii="Times New Roman" w:hAnsi="Times New Roman" w:eastAsia="宋体" w:cs="Times New Roman"/>
                <w:snapToGrid w:val="0"/>
                <w:color w:val="000000" w:themeColor="text1"/>
                <w:kern w:val="0"/>
                <w:sz w:val="24"/>
                <w:highlight w:val="none"/>
                <w:lang w:val="en-US" w:eastAsia="zh-CN"/>
                <w14:textFill>
                  <w14:solidFill>
                    <w14:schemeClr w14:val="tx1"/>
                  </w14:solidFill>
                </w14:textFill>
              </w:rPr>
              <w:t>本</w:t>
            </w:r>
            <w:r>
              <w:rPr>
                <w:rFonts w:hint="default" w:ascii="Times New Roman" w:hAnsi="Times New Roman" w:eastAsia="宋体" w:cs="Times New Roman"/>
                <w:snapToGrid w:val="0"/>
                <w:color w:val="000000" w:themeColor="text1"/>
                <w:kern w:val="0"/>
                <w:sz w:val="24"/>
                <w:highlight w:val="none"/>
                <w14:textFill>
                  <w14:solidFill>
                    <w14:schemeClr w14:val="tx1"/>
                  </w14:solidFill>
                </w14:textFill>
              </w:rPr>
              <w:t>项目已经取得了</w:t>
            </w:r>
            <w:r>
              <w:rPr>
                <w:rFonts w:hint="eastAsia" w:ascii="Times New Roman" w:hAnsi="Times New Roman" w:cs="Times New Roman"/>
                <w:snapToGrid w:val="0"/>
                <w:color w:val="000000" w:themeColor="text1"/>
                <w:kern w:val="0"/>
                <w:sz w:val="24"/>
                <w:highlight w:val="none"/>
                <w:lang w:eastAsia="zh-CN"/>
                <w14:textFill>
                  <w14:solidFill>
                    <w14:schemeClr w14:val="tx1"/>
                  </w14:solidFill>
                </w14:textFill>
              </w:rPr>
              <w:t>永清发展</w:t>
            </w:r>
            <w:r>
              <w:rPr>
                <w:rFonts w:hint="eastAsia" w:ascii="Times New Roman" w:hAnsi="Times New Roman" w:cs="Times New Roman"/>
                <w:snapToGrid w:val="0"/>
                <w:color w:val="auto"/>
                <w:kern w:val="0"/>
                <w:sz w:val="24"/>
                <w:highlight w:val="none"/>
                <w:lang w:eastAsia="zh-CN"/>
              </w:rPr>
              <w:t>和改革局</w:t>
            </w:r>
            <w:r>
              <w:rPr>
                <w:rFonts w:hint="eastAsia" w:ascii="Times New Roman" w:hAnsi="Times New Roman" w:eastAsia="宋体" w:cs="Times New Roman"/>
                <w:snapToGrid w:val="0"/>
                <w:color w:val="auto"/>
                <w:kern w:val="0"/>
                <w:sz w:val="24"/>
                <w:highlight w:val="none"/>
                <w:lang w:val="en-US" w:eastAsia="zh-CN"/>
              </w:rPr>
              <w:t>的备案</w:t>
            </w:r>
            <w:r>
              <w:rPr>
                <w:rFonts w:hint="default" w:ascii="Times New Roman" w:hAnsi="Times New Roman" w:eastAsia="宋体" w:cs="Times New Roman"/>
                <w:snapToGrid w:val="0"/>
                <w:color w:val="auto"/>
                <w:kern w:val="0"/>
                <w:sz w:val="24"/>
                <w:highlight w:val="none"/>
                <w:lang w:val="en-US" w:eastAsia="zh-CN"/>
              </w:rPr>
              <w:t>，备案编号：</w:t>
            </w:r>
            <w:r>
              <w:rPr>
                <w:rFonts w:hint="eastAsia" w:ascii="Times New Roman" w:hAnsi="Times New Roman" w:cs="Times New Roman"/>
                <w:snapToGrid w:val="0"/>
                <w:color w:val="auto"/>
                <w:kern w:val="0"/>
                <w:sz w:val="24"/>
                <w:highlight w:val="none"/>
                <w:lang w:val="en-US" w:eastAsia="zh-CN"/>
              </w:rPr>
              <w:t>永发改项目备(2025)147号</w:t>
            </w:r>
            <w:r>
              <w:rPr>
                <w:rFonts w:hint="default" w:ascii="Times New Roman" w:hAnsi="Times New Roman" w:eastAsia="宋体" w:cs="Times New Roman"/>
                <w:snapToGrid w:val="0"/>
                <w:color w:val="auto"/>
                <w:kern w:val="0"/>
                <w:sz w:val="24"/>
                <w:highlight w:val="none"/>
                <w:lang w:val="en-US" w:eastAsia="zh-CN"/>
              </w:rPr>
              <w:t>，项目代码：</w:t>
            </w:r>
            <w:r>
              <w:rPr>
                <w:rFonts w:hint="eastAsia" w:ascii="Times New Roman" w:hAnsi="Times New Roman" w:cs="Times New Roman"/>
                <w:color w:val="auto"/>
                <w:sz w:val="24"/>
                <w:szCs w:val="24"/>
                <w:lang w:val="en-US" w:eastAsia="zh-CN" w:bidi="ar"/>
              </w:rPr>
              <w:t>2505-131023-04-01-811675</w:t>
            </w:r>
            <w:r>
              <w:rPr>
                <w:rFonts w:hint="default" w:ascii="Times New Roman" w:hAnsi="Times New Roman" w:eastAsia="宋体" w:cs="Times New Roman"/>
                <w:snapToGrid w:val="0"/>
                <w:color w:val="auto"/>
                <w:kern w:val="0"/>
                <w:sz w:val="24"/>
                <w:highlight w:val="none"/>
                <w:lang w:val="en-US" w:eastAsia="zh-CN"/>
              </w:rPr>
              <w:t>。因此，本项目建设符合国家及地方产业政策要求。</w:t>
            </w:r>
          </w:p>
          <w:p w14:paraId="76C9C96E">
            <w:pPr>
              <w:pStyle w:val="4"/>
              <w:keepNext w:val="0"/>
              <w:keepLines w:val="0"/>
              <w:pageBreakBefore w:val="0"/>
              <w:widowControl w:val="0"/>
              <w:kinsoku/>
              <w:wordWrap/>
              <w:overflowPunct/>
              <w:topLinePunct w:val="0"/>
              <w:autoSpaceDE/>
              <w:autoSpaceDN/>
              <w:bidi w:val="0"/>
              <w:adjustRightInd/>
              <w:snapToGrid/>
              <w:spacing w:line="500" w:lineRule="exact"/>
              <w:ind w:firstLine="482"/>
              <w:jc w:val="left"/>
              <w:textAlignment w:val="auto"/>
              <w:rPr>
                <w:rFonts w:hint="default" w:ascii="Times New Roman" w:hAnsi="Times New Roman" w:cs="Times New Roman" w:eastAsiaTheme="majorEastAsia"/>
                <w:b/>
                <w:bCs/>
                <w:color w:val="auto"/>
                <w:sz w:val="24"/>
                <w:szCs w:val="24"/>
              </w:rPr>
            </w:pPr>
            <w:r>
              <w:rPr>
                <w:rFonts w:hint="default" w:ascii="Times New Roman" w:hAnsi="Times New Roman" w:cs="Times New Roman" w:eastAsiaTheme="majorEastAsia"/>
                <w:b/>
                <w:bCs/>
                <w:color w:val="auto"/>
                <w:sz w:val="24"/>
                <w:szCs w:val="24"/>
              </w:rPr>
              <w:t>2、选址</w:t>
            </w:r>
            <w:r>
              <w:rPr>
                <w:rFonts w:hint="default" w:ascii="Times New Roman" w:hAnsi="Times New Roman" w:cs="Times New Roman" w:eastAsiaTheme="majorEastAsia"/>
                <w:b/>
                <w:bCs/>
                <w:color w:val="auto"/>
                <w:sz w:val="24"/>
                <w:szCs w:val="24"/>
                <w:lang w:eastAsia="zh-CN"/>
              </w:rPr>
              <w:t>及规划符合性</w:t>
            </w:r>
          </w:p>
          <w:p w14:paraId="4BB8D272">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00" w:lineRule="exact"/>
              <w:ind w:left="0" w:right="0" w:firstLine="480" w:firstLineChars="200"/>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snapToGrid w:val="0"/>
                <w:color w:val="auto"/>
                <w:kern w:val="0"/>
                <w:sz w:val="24"/>
                <w:highlight w:val="none"/>
              </w:rPr>
              <w:t>本项目选址位</w:t>
            </w:r>
            <w:r>
              <w:rPr>
                <w:rFonts w:hint="default" w:ascii="Times New Roman" w:hAnsi="Times New Roman" w:eastAsia="宋体" w:cs="Times New Roman"/>
                <w:color w:val="auto"/>
                <w:kern w:val="0"/>
                <w:sz w:val="24"/>
                <w:szCs w:val="24"/>
                <w:highlight w:val="none"/>
                <w:lang w:val="en-US" w:eastAsia="zh-CN"/>
              </w:rPr>
              <w:t>于</w:t>
            </w:r>
            <w:r>
              <w:rPr>
                <w:rFonts w:hint="eastAsia" w:ascii="Times New Roman" w:hAnsi="Times New Roman" w:cs="Times New Roman"/>
                <w:color w:val="auto"/>
                <w:kern w:val="0"/>
                <w:sz w:val="24"/>
                <w:szCs w:val="24"/>
                <w:highlight w:val="none"/>
                <w:lang w:val="en-US" w:eastAsia="zh-CN"/>
              </w:rPr>
              <w:t>河北省廊坊市永清县刘街乡小五间房村北</w:t>
            </w:r>
            <w:r>
              <w:rPr>
                <w:rFonts w:hint="default" w:ascii="Times New Roman" w:hAnsi="Times New Roman" w:eastAsia="宋体" w:cs="Times New Roman"/>
                <w:color w:val="auto"/>
                <w:kern w:val="0"/>
                <w:sz w:val="24"/>
                <w:szCs w:val="24"/>
                <w:highlight w:val="none"/>
                <w:lang w:val="en-US" w:eastAsia="zh-CN"/>
              </w:rPr>
              <w:t>，厂区中心坐标为东经</w:t>
            </w:r>
            <w:r>
              <w:rPr>
                <w:rFonts w:hint="default" w:ascii="Times New Roman" w:hAnsi="Times New Roman" w:cs="Times New Roman"/>
                <w:color w:val="auto"/>
                <w:kern w:val="0"/>
                <w:sz w:val="24"/>
                <w:szCs w:val="24"/>
                <w:highlight w:val="none"/>
                <w:lang w:val="en-US" w:eastAsia="zh-CN"/>
              </w:rPr>
              <w:t>116°29′58.559″</w:t>
            </w:r>
            <w:r>
              <w:rPr>
                <w:rFonts w:hint="default" w:ascii="Times New Roman" w:hAnsi="Times New Roman" w:eastAsia="宋体" w:cs="Times New Roman"/>
                <w:color w:val="auto"/>
                <w:kern w:val="0"/>
                <w:sz w:val="24"/>
                <w:szCs w:val="24"/>
                <w:highlight w:val="none"/>
                <w:lang w:val="en-US" w:eastAsia="zh-CN"/>
              </w:rPr>
              <w:t>北纬</w:t>
            </w:r>
            <w:r>
              <w:rPr>
                <w:rFonts w:hint="default" w:ascii="Times New Roman" w:hAnsi="Times New Roman" w:cs="Times New Roman"/>
                <w:color w:val="auto"/>
                <w:kern w:val="0"/>
                <w:sz w:val="24"/>
                <w:szCs w:val="24"/>
                <w:highlight w:val="none"/>
                <w:lang w:val="en-US" w:eastAsia="zh-CN"/>
              </w:rPr>
              <w:t>39°10′40.052″</w:t>
            </w:r>
            <w:r>
              <w:rPr>
                <w:rFonts w:hint="default" w:ascii="Times New Roman" w:hAnsi="Times New Roman" w:eastAsia="宋体" w:cs="Times New Roman"/>
                <w:color w:val="auto"/>
                <w:kern w:val="0"/>
                <w:sz w:val="24"/>
                <w:szCs w:val="24"/>
                <w:highlight w:val="none"/>
                <w:lang w:val="en-US" w:eastAsia="zh-CN"/>
              </w:rPr>
              <w:t>。</w:t>
            </w:r>
            <w:r>
              <w:rPr>
                <w:rFonts w:hint="eastAsia" w:ascii="Times New Roman" w:hAnsi="Times New Roman" w:eastAsia="宋体" w:cs="Times New Roman"/>
                <w:color w:val="auto"/>
                <w:kern w:val="0"/>
                <w:sz w:val="24"/>
                <w:szCs w:val="24"/>
                <w:highlight w:val="none"/>
                <w:lang w:val="en-US" w:eastAsia="zh-CN"/>
              </w:rPr>
              <w:t>项目南侧廊坊博浩森木业有限公司，北侧永清县刘街益丰家具组装厂，东侧闲置厂房，西侧河北卓威尊创新材料科技有限公司。本项目</w:t>
            </w:r>
            <w:r>
              <w:rPr>
                <w:rFonts w:hint="eastAsia" w:ascii="Times New Roman" w:hAnsi="Times New Roman" w:cs="Times New Roman"/>
                <w:color w:val="auto"/>
                <w:kern w:val="0"/>
                <w:sz w:val="24"/>
                <w:szCs w:val="24"/>
                <w:highlight w:val="none"/>
                <w:lang w:val="en-US" w:eastAsia="zh-CN"/>
              </w:rPr>
              <w:t>500m范围内无环境敏感目标</w:t>
            </w:r>
            <w:r>
              <w:rPr>
                <w:rFonts w:hint="eastAsia" w:ascii="Times New Roman" w:hAnsi="Times New Roman" w:eastAsia="宋体" w:cs="Times New Roman"/>
                <w:color w:val="auto"/>
                <w:kern w:val="0"/>
                <w:sz w:val="24"/>
                <w:szCs w:val="24"/>
                <w:highlight w:val="none"/>
                <w:lang w:val="en-US" w:eastAsia="zh-CN"/>
              </w:rPr>
              <w:t>。</w:t>
            </w:r>
            <w:r>
              <w:rPr>
                <w:rFonts w:hint="default" w:ascii="Times New Roman" w:hAnsi="Times New Roman" w:eastAsia="宋体" w:cs="Times New Roman"/>
                <w:color w:val="auto"/>
                <w:kern w:val="0"/>
                <w:sz w:val="24"/>
                <w:szCs w:val="24"/>
                <w:highlight w:val="none"/>
                <w:lang w:val="en-US" w:eastAsia="zh-CN"/>
              </w:rPr>
              <w:t>项目周围无饮用水水源保护区、珍稀动、植物资源、重点文物、自然保护区、生态敏感区等环境敏感区域。</w:t>
            </w:r>
            <w:r>
              <w:rPr>
                <w:rFonts w:hint="eastAsia" w:ascii="Times New Roman" w:hAnsi="Times New Roman" w:cs="Times New Roman" w:eastAsiaTheme="majorEastAsia"/>
                <w:bCs/>
                <w:color w:val="auto"/>
                <w:sz w:val="24"/>
                <w:szCs w:val="24"/>
                <w:highlight w:val="none"/>
                <w:lang w:eastAsia="zh-CN"/>
              </w:rPr>
              <w:t>根据建设单位提供的《土地证》（永集用</w:t>
            </w:r>
            <w:r>
              <w:rPr>
                <w:rFonts w:hint="eastAsia" w:ascii="Times New Roman" w:hAnsi="Times New Roman" w:cs="Times New Roman" w:eastAsiaTheme="majorEastAsia"/>
                <w:bCs/>
                <w:color w:val="auto"/>
                <w:sz w:val="24"/>
                <w:szCs w:val="24"/>
                <w:highlight w:val="none"/>
                <w:lang w:val="en-US" w:eastAsia="zh-CN"/>
              </w:rPr>
              <w:t>2002字第55号</w:t>
            </w:r>
            <w:r>
              <w:rPr>
                <w:rFonts w:hint="eastAsia" w:ascii="Times New Roman" w:hAnsi="Times New Roman" w:cs="Times New Roman" w:eastAsiaTheme="majorEastAsia"/>
                <w:bCs/>
                <w:color w:val="auto"/>
                <w:sz w:val="24"/>
                <w:szCs w:val="24"/>
                <w:highlight w:val="none"/>
                <w:lang w:eastAsia="zh-CN"/>
              </w:rPr>
              <w:t>）及租赁协议本项目用地为工业用地。</w:t>
            </w:r>
          </w:p>
          <w:p w14:paraId="68855617">
            <w:pPr>
              <w:keepNext w:val="0"/>
              <w:keepLines w:val="0"/>
              <w:pageBreakBefore w:val="0"/>
              <w:widowControl w:val="0"/>
              <w:kinsoku/>
              <w:wordWrap/>
              <w:overflowPunct/>
              <w:topLinePunct w:val="0"/>
              <w:autoSpaceDE w:val="0"/>
              <w:autoSpaceDN w:val="0"/>
              <w:bidi w:val="0"/>
              <w:adjustRightInd/>
              <w:snapToGrid/>
              <w:spacing w:line="500" w:lineRule="exact"/>
              <w:ind w:firstLine="480" w:firstLineChars="200"/>
              <w:textAlignment w:val="auto"/>
              <w:rPr>
                <w:rFonts w:hint="default" w:ascii="Times New Roman" w:hAnsi="Times New Roman" w:cs="Times New Roman" w:eastAsiaTheme="majorEastAsia"/>
                <w:color w:val="auto"/>
                <w:sz w:val="24"/>
                <w:szCs w:val="24"/>
              </w:rPr>
            </w:pPr>
            <w:r>
              <w:rPr>
                <w:rFonts w:hint="default" w:ascii="Times New Roman" w:hAnsi="Times New Roman" w:cs="Times New Roman" w:eastAsiaTheme="majorEastAsia"/>
                <w:color w:val="auto"/>
                <w:sz w:val="24"/>
                <w:szCs w:val="24"/>
              </w:rPr>
              <w:t>因此，项目的选址是可行的。</w:t>
            </w:r>
          </w:p>
          <w:p w14:paraId="0BD248CB">
            <w:pPr>
              <w:keepNext w:val="0"/>
              <w:keepLines w:val="0"/>
              <w:pageBreakBefore w:val="0"/>
              <w:widowControl w:val="0"/>
              <w:kinsoku/>
              <w:wordWrap/>
              <w:overflowPunct/>
              <w:topLinePunct w:val="0"/>
              <w:bidi w:val="0"/>
              <w:adjustRightInd/>
              <w:snapToGrid/>
              <w:spacing w:line="500" w:lineRule="exact"/>
              <w:ind w:firstLine="482" w:firstLineChars="200"/>
              <w:jc w:val="left"/>
              <w:textAlignment w:val="auto"/>
              <w:rPr>
                <w:rFonts w:hint="default" w:ascii="Times New Roman" w:hAnsi="Times New Roman" w:cs="Times New Roman" w:eastAsiaTheme="majorEastAsia"/>
                <w:b/>
                <w:color w:val="auto"/>
                <w:sz w:val="24"/>
                <w:szCs w:val="24"/>
              </w:rPr>
            </w:pPr>
            <w:r>
              <w:rPr>
                <w:rFonts w:hint="default" w:ascii="Times New Roman" w:hAnsi="Times New Roman" w:cs="Times New Roman" w:eastAsiaTheme="majorEastAsia"/>
                <w:b/>
                <w:color w:val="auto"/>
                <w:sz w:val="24"/>
                <w:szCs w:val="24"/>
              </w:rPr>
              <w:t>3、三线一单符合性分析</w:t>
            </w:r>
          </w:p>
          <w:p w14:paraId="3AA1B862">
            <w:pPr>
              <w:keepNext w:val="0"/>
              <w:keepLines w:val="0"/>
              <w:pageBreakBefore w:val="0"/>
              <w:suppressLineNumbers w:val="0"/>
              <w:kinsoku/>
              <w:wordWrap/>
              <w:overflowPunct/>
              <w:topLinePunct w:val="0"/>
              <w:autoSpaceDE w:val="0"/>
              <w:autoSpaceDN w:val="0"/>
              <w:bidi w:val="0"/>
              <w:adjustRightInd/>
              <w:snapToGrid/>
              <w:spacing w:before="0" w:beforeAutospacing="0" w:after="0" w:afterAutospacing="0" w:line="500" w:lineRule="exact"/>
              <w:ind w:left="0" w:right="0" w:firstLine="480" w:firstLineChars="200"/>
              <w:jc w:val="both"/>
              <w:textAlignment w:val="auto"/>
              <w:rPr>
                <w:rFonts w:hint="default" w:ascii="Times New Roman" w:hAnsi="Times New Roman" w:cs="Times New Roman"/>
                <w:color w:val="auto"/>
                <w:sz w:val="24"/>
                <w:highlight w:val="none"/>
              </w:rPr>
            </w:pPr>
            <w:r>
              <w:rPr>
                <w:rFonts w:hint="eastAsia" w:ascii="Times New Roman" w:hAnsi="Times New Roman" w:eastAsia="宋体" w:cs="Times New Roman"/>
                <w:b w:val="0"/>
                <w:bCs w:val="0"/>
                <w:color w:val="auto"/>
                <w:sz w:val="24"/>
                <w:lang w:eastAsia="zh-CN"/>
              </w:rPr>
              <w:t>（</w:t>
            </w:r>
            <w:r>
              <w:rPr>
                <w:rFonts w:hint="eastAsia" w:ascii="Times New Roman" w:hAnsi="Times New Roman" w:eastAsia="宋体" w:cs="Times New Roman"/>
                <w:b w:val="0"/>
                <w:bCs w:val="0"/>
                <w:color w:val="auto"/>
                <w:sz w:val="24"/>
                <w:lang w:val="en-US" w:eastAsia="zh-CN"/>
              </w:rPr>
              <w:t>1）</w:t>
            </w:r>
            <w:r>
              <w:rPr>
                <w:rFonts w:hint="default" w:ascii="Times New Roman" w:hAnsi="Times New Roman" w:cs="Times New Roman"/>
                <w:color w:val="auto"/>
                <w:sz w:val="24"/>
                <w:highlight w:val="none"/>
              </w:rPr>
              <w:t>生态</w:t>
            </w:r>
            <w:r>
              <w:rPr>
                <w:rFonts w:hint="eastAsia" w:ascii="Times New Roman" w:hAnsi="Times New Roman" w:cs="Times New Roman"/>
                <w:color w:val="auto"/>
                <w:sz w:val="24"/>
                <w:highlight w:val="none"/>
                <w:lang w:eastAsia="zh-CN"/>
              </w:rPr>
              <w:t>保护</w:t>
            </w:r>
            <w:r>
              <w:rPr>
                <w:rFonts w:hint="default" w:ascii="Times New Roman" w:hAnsi="Times New Roman" w:cs="Times New Roman"/>
                <w:color w:val="auto"/>
                <w:sz w:val="24"/>
                <w:highlight w:val="none"/>
              </w:rPr>
              <w:t>红线</w:t>
            </w:r>
          </w:p>
          <w:p w14:paraId="50C02B33">
            <w:pPr>
              <w:pStyle w:val="26"/>
              <w:keepNext w:val="0"/>
              <w:keepLines w:val="0"/>
              <w:pageBreakBefore w:val="0"/>
              <w:widowControl w:val="0"/>
              <w:kinsoku/>
              <w:wordWrap/>
              <w:overflowPunct/>
              <w:topLinePunct w:val="0"/>
              <w:bidi w:val="0"/>
              <w:adjustRightInd/>
              <w:snapToGrid/>
              <w:spacing w:before="0" w:beforeAutospacing="0" w:after="0" w:afterAutospacing="0" w:line="500" w:lineRule="exact"/>
              <w:ind w:firstLine="480" w:firstLineChars="200"/>
              <w:jc w:val="both"/>
              <w:textAlignment w:val="auto"/>
              <w:rPr>
                <w:rFonts w:ascii="Times New Roman" w:hAnsi="Times New Roman"/>
                <w:color w:val="auto"/>
                <w:kern w:val="2"/>
                <w:szCs w:val="24"/>
              </w:rPr>
            </w:pPr>
            <w:r>
              <w:rPr>
                <w:rFonts w:ascii="Times New Roman" w:hAnsi="Times New Roman"/>
                <w:color w:val="auto"/>
                <w:kern w:val="2"/>
                <w:szCs w:val="24"/>
              </w:rPr>
              <w:t>根据《永清县国土空间总体规划（2021-2035年）》，全县划定生态保护红线面积1.19平方千米，主要分布在永定河河道内。生态保护红线内禁止开发性、生产性建设活动，在符合法律法规的前提下，仅允许对生态功能不造成破坏的有限人为活动。</w:t>
            </w:r>
          </w:p>
          <w:p w14:paraId="2497D4E7">
            <w:pPr>
              <w:pStyle w:val="26"/>
              <w:keepNext w:val="0"/>
              <w:keepLines w:val="0"/>
              <w:pageBreakBefore w:val="0"/>
              <w:widowControl w:val="0"/>
              <w:kinsoku/>
              <w:wordWrap/>
              <w:overflowPunct/>
              <w:topLinePunct w:val="0"/>
              <w:bidi w:val="0"/>
              <w:adjustRightInd/>
              <w:snapToGrid/>
              <w:spacing w:before="0" w:beforeAutospacing="0" w:after="0" w:afterAutospacing="0" w:line="500" w:lineRule="exact"/>
              <w:ind w:firstLine="480" w:firstLineChars="200"/>
              <w:jc w:val="both"/>
              <w:textAlignment w:val="auto"/>
              <w:rPr>
                <w:rFonts w:ascii="Times New Roman" w:hAnsi="Times New Roman"/>
                <w:color w:val="auto"/>
              </w:rPr>
            </w:pPr>
            <w:r>
              <w:rPr>
                <w:rFonts w:hint="default" w:ascii="Times New Roman" w:hAnsi="Times New Roman" w:eastAsia="宋体" w:cs="Times New Roman"/>
                <w:color w:val="auto"/>
                <w:highlight w:val="none"/>
                <w:lang w:val="en-US" w:eastAsia="zh-CN"/>
              </w:rPr>
              <w:t>本项目位于</w:t>
            </w:r>
            <w:r>
              <w:rPr>
                <w:rFonts w:hint="eastAsia" w:ascii="Times New Roman" w:hAnsi="Times New Roman" w:cs="Times New Roman"/>
                <w:color w:val="auto"/>
                <w:kern w:val="0"/>
                <w:sz w:val="24"/>
                <w:szCs w:val="24"/>
                <w:highlight w:val="none"/>
                <w:lang w:val="en-US" w:eastAsia="zh-CN"/>
              </w:rPr>
              <w:t>河北省廊坊市永清县刘街乡小五间房村北</w:t>
            </w:r>
            <w:r>
              <w:rPr>
                <w:rFonts w:hint="default" w:ascii="Times New Roman" w:hAnsi="Times New Roman" w:eastAsia="宋体" w:cs="Times New Roman"/>
                <w:color w:val="auto"/>
                <w:highlight w:val="none"/>
                <w:lang w:val="en-US" w:eastAsia="zh-CN"/>
              </w:rPr>
              <w:t>，</w:t>
            </w:r>
            <w:r>
              <w:rPr>
                <w:rFonts w:ascii="Times New Roman" w:hAnsi="Times New Roman"/>
                <w:color w:val="auto"/>
              </w:rPr>
              <w:t>周边无自然保护区、饮用水源保护区等生态保护目标，不在生态红线区域范围内，符合相关要求。</w:t>
            </w:r>
          </w:p>
          <w:p w14:paraId="0665BE71">
            <w:pPr>
              <w:keepNext w:val="0"/>
              <w:keepLines w:val="0"/>
              <w:pageBreakBefore w:val="0"/>
              <w:widowControl w:val="0"/>
              <w:kinsoku/>
              <w:wordWrap/>
              <w:overflowPunct/>
              <w:topLinePunct w:val="0"/>
              <w:autoSpaceDE/>
              <w:autoSpaceDN/>
              <w:bidi w:val="0"/>
              <w:spacing w:line="500" w:lineRule="exact"/>
              <w:ind w:firstLine="470" w:firstLineChars="196"/>
              <w:textAlignment w:val="auto"/>
              <w:rPr>
                <w:rFonts w:hint="default" w:ascii="Times New Roman" w:hAnsi="Times New Roman" w:eastAsia="宋体" w:cs="Times New Roman"/>
                <w:snapToGrid w:val="0"/>
                <w:color w:val="auto"/>
                <w:kern w:val="0"/>
                <w:sz w:val="24"/>
                <w:highlight w:val="none"/>
              </w:rPr>
            </w:pPr>
            <w:r>
              <w:rPr>
                <w:rFonts w:hint="eastAsia" w:ascii="Times New Roman" w:hAnsi="Times New Roman" w:eastAsia="宋体" w:cs="Times New Roman"/>
                <w:color w:val="auto"/>
                <w:sz w:val="24"/>
                <w:szCs w:val="24"/>
              </w:rPr>
              <w:drawing>
                <wp:anchor distT="0" distB="0" distL="114300" distR="114300" simplePos="0" relativeHeight="251678720" behindDoc="1" locked="0" layoutInCell="1" allowOverlap="1">
                  <wp:simplePos x="0" y="0"/>
                  <wp:positionH relativeFrom="column">
                    <wp:posOffset>-66040</wp:posOffset>
                  </wp:positionH>
                  <wp:positionV relativeFrom="paragraph">
                    <wp:posOffset>7620</wp:posOffset>
                  </wp:positionV>
                  <wp:extent cx="4662805" cy="6073140"/>
                  <wp:effectExtent l="0" t="0" r="4445" b="3810"/>
                  <wp:wrapNone/>
                  <wp:docPr id="4" name="图片 12" descr="1b71d6b6be479875c79ecbd7b43d0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2" descr="1b71d6b6be479875c79ecbd7b43d04a"/>
                          <pic:cNvPicPr>
                            <a:picLocks noChangeAspect="1"/>
                          </pic:cNvPicPr>
                        </pic:nvPicPr>
                        <pic:blipFill>
                          <a:blip r:embed="rId10"/>
                          <a:stretch>
                            <a:fillRect/>
                          </a:stretch>
                        </pic:blipFill>
                        <pic:spPr>
                          <a:xfrm>
                            <a:off x="0" y="0"/>
                            <a:ext cx="4662805" cy="6073140"/>
                          </a:xfrm>
                          <a:prstGeom prst="rect">
                            <a:avLst/>
                          </a:prstGeom>
                          <a:noFill/>
                          <a:ln>
                            <a:noFill/>
                          </a:ln>
                        </pic:spPr>
                      </pic:pic>
                    </a:graphicData>
                  </a:graphic>
                </wp:anchor>
              </w:drawing>
            </w:r>
          </w:p>
          <w:p w14:paraId="271DF2A8">
            <w:pPr>
              <w:keepNext w:val="0"/>
              <w:keepLines w:val="0"/>
              <w:pageBreakBefore w:val="0"/>
              <w:widowControl w:val="0"/>
              <w:kinsoku/>
              <w:wordWrap/>
              <w:overflowPunct/>
              <w:topLinePunct w:val="0"/>
              <w:autoSpaceDE/>
              <w:autoSpaceDN/>
              <w:bidi w:val="0"/>
              <w:spacing w:line="500" w:lineRule="exact"/>
              <w:ind w:firstLine="470" w:firstLineChars="196"/>
              <w:textAlignment w:val="auto"/>
              <w:rPr>
                <w:rFonts w:hint="eastAsia" w:ascii="Times New Roman" w:hAnsi="Times New Roman" w:eastAsia="宋体" w:cs="Times New Roman"/>
                <w:snapToGrid w:val="0"/>
                <w:color w:val="auto"/>
                <w:kern w:val="0"/>
                <w:sz w:val="24"/>
                <w:highlight w:val="none"/>
                <w:lang w:eastAsia="zh-CN"/>
              </w:rPr>
            </w:pPr>
          </w:p>
          <w:p w14:paraId="010C601A">
            <w:pPr>
              <w:keepNext w:val="0"/>
              <w:keepLines w:val="0"/>
              <w:pageBreakBefore w:val="0"/>
              <w:widowControl w:val="0"/>
              <w:kinsoku/>
              <w:wordWrap/>
              <w:overflowPunct/>
              <w:topLinePunct w:val="0"/>
              <w:autoSpaceDE/>
              <w:autoSpaceDN/>
              <w:bidi w:val="0"/>
              <w:spacing w:line="500" w:lineRule="exact"/>
              <w:ind w:firstLine="470" w:firstLineChars="196"/>
              <w:textAlignment w:val="auto"/>
              <w:rPr>
                <w:rFonts w:hint="default" w:ascii="Times New Roman" w:hAnsi="Times New Roman" w:eastAsia="宋体" w:cs="Times New Roman"/>
                <w:snapToGrid w:val="0"/>
                <w:color w:val="auto"/>
                <w:kern w:val="0"/>
                <w:sz w:val="24"/>
                <w:highlight w:val="none"/>
              </w:rPr>
            </w:pPr>
          </w:p>
          <w:p w14:paraId="05A2700C">
            <w:pPr>
              <w:keepNext w:val="0"/>
              <w:keepLines w:val="0"/>
              <w:pageBreakBefore w:val="0"/>
              <w:widowControl w:val="0"/>
              <w:kinsoku/>
              <w:wordWrap/>
              <w:overflowPunct/>
              <w:topLinePunct w:val="0"/>
              <w:autoSpaceDE/>
              <w:autoSpaceDN/>
              <w:bidi w:val="0"/>
              <w:spacing w:line="500" w:lineRule="exact"/>
              <w:ind w:firstLine="470" w:firstLineChars="196"/>
              <w:textAlignment w:val="auto"/>
              <w:rPr>
                <w:rFonts w:hint="default" w:ascii="Times New Roman" w:hAnsi="Times New Roman" w:eastAsia="宋体" w:cs="Times New Roman"/>
                <w:snapToGrid w:val="0"/>
                <w:color w:val="auto"/>
                <w:kern w:val="0"/>
                <w:sz w:val="24"/>
                <w:highlight w:val="none"/>
              </w:rPr>
            </w:pPr>
          </w:p>
          <w:p w14:paraId="140E4E5C">
            <w:pPr>
              <w:keepNext w:val="0"/>
              <w:keepLines w:val="0"/>
              <w:pageBreakBefore w:val="0"/>
              <w:widowControl w:val="0"/>
              <w:kinsoku/>
              <w:wordWrap/>
              <w:overflowPunct/>
              <w:topLinePunct w:val="0"/>
              <w:autoSpaceDE/>
              <w:autoSpaceDN/>
              <w:bidi w:val="0"/>
              <w:spacing w:line="500" w:lineRule="exact"/>
              <w:ind w:firstLine="470" w:firstLineChars="196"/>
              <w:textAlignment w:val="auto"/>
              <w:rPr>
                <w:rFonts w:hint="default" w:ascii="Times New Roman" w:hAnsi="Times New Roman" w:eastAsia="宋体" w:cs="Times New Roman"/>
                <w:snapToGrid w:val="0"/>
                <w:color w:val="auto"/>
                <w:kern w:val="0"/>
                <w:sz w:val="24"/>
                <w:highlight w:val="none"/>
              </w:rPr>
            </w:pPr>
          </w:p>
          <w:p w14:paraId="27292D0F">
            <w:pPr>
              <w:keepNext w:val="0"/>
              <w:keepLines w:val="0"/>
              <w:pageBreakBefore w:val="0"/>
              <w:widowControl w:val="0"/>
              <w:kinsoku/>
              <w:wordWrap/>
              <w:overflowPunct/>
              <w:topLinePunct w:val="0"/>
              <w:autoSpaceDE/>
              <w:autoSpaceDN/>
              <w:bidi w:val="0"/>
              <w:spacing w:line="500" w:lineRule="exact"/>
              <w:ind w:firstLine="470" w:firstLineChars="196"/>
              <w:textAlignment w:val="auto"/>
              <w:rPr>
                <w:rFonts w:hint="default" w:ascii="Times New Roman" w:hAnsi="Times New Roman" w:eastAsia="宋体" w:cs="Times New Roman"/>
                <w:snapToGrid w:val="0"/>
                <w:color w:val="auto"/>
                <w:kern w:val="0"/>
                <w:sz w:val="24"/>
                <w:highlight w:val="none"/>
              </w:rPr>
            </w:pPr>
          </w:p>
          <w:p w14:paraId="6706FD30">
            <w:pPr>
              <w:keepNext w:val="0"/>
              <w:keepLines w:val="0"/>
              <w:pageBreakBefore w:val="0"/>
              <w:widowControl w:val="0"/>
              <w:kinsoku/>
              <w:wordWrap/>
              <w:overflowPunct/>
              <w:topLinePunct w:val="0"/>
              <w:autoSpaceDE/>
              <w:autoSpaceDN/>
              <w:bidi w:val="0"/>
              <w:spacing w:line="500" w:lineRule="exact"/>
              <w:ind w:firstLine="470" w:firstLineChars="196"/>
              <w:textAlignment w:val="auto"/>
              <w:rPr>
                <w:rFonts w:hint="default" w:ascii="Times New Roman" w:hAnsi="Times New Roman" w:eastAsia="宋体" w:cs="Times New Roman"/>
                <w:snapToGrid w:val="0"/>
                <w:color w:val="auto"/>
                <w:kern w:val="0"/>
                <w:sz w:val="24"/>
                <w:highlight w:val="none"/>
              </w:rPr>
            </w:pPr>
          </w:p>
          <w:p w14:paraId="5FBA2696">
            <w:pPr>
              <w:keepNext w:val="0"/>
              <w:keepLines w:val="0"/>
              <w:pageBreakBefore w:val="0"/>
              <w:widowControl w:val="0"/>
              <w:kinsoku/>
              <w:wordWrap/>
              <w:overflowPunct/>
              <w:topLinePunct w:val="0"/>
              <w:autoSpaceDE/>
              <w:autoSpaceDN/>
              <w:bidi w:val="0"/>
              <w:spacing w:line="500" w:lineRule="exact"/>
              <w:ind w:firstLine="470" w:firstLineChars="196"/>
              <w:textAlignment w:val="auto"/>
              <w:rPr>
                <w:rFonts w:hint="default" w:ascii="Times New Roman" w:hAnsi="Times New Roman" w:eastAsia="宋体" w:cs="Times New Roman"/>
                <w:snapToGrid w:val="0"/>
                <w:color w:val="auto"/>
                <w:kern w:val="0"/>
                <w:sz w:val="24"/>
                <w:highlight w:val="none"/>
              </w:rPr>
            </w:pPr>
          </w:p>
          <w:p w14:paraId="4B62B9CF">
            <w:pPr>
              <w:rPr>
                <w:rFonts w:hint="default" w:ascii="Times New Roman" w:hAnsi="Times New Roman" w:cs="Times New Roman"/>
                <w:color w:val="auto"/>
              </w:rPr>
            </w:pPr>
          </w:p>
          <w:p w14:paraId="3E06067E">
            <w:pPr>
              <w:rPr>
                <w:rFonts w:hint="default" w:ascii="Times New Roman" w:hAnsi="Times New Roman" w:cs="Times New Roman"/>
                <w:color w:val="auto"/>
              </w:rPr>
            </w:pPr>
          </w:p>
          <w:p w14:paraId="0F374141">
            <w:pPr>
              <w:rPr>
                <w:rFonts w:hint="default"/>
              </w:rPr>
            </w:pPr>
          </w:p>
          <w:p w14:paraId="3BEA703F">
            <w:pPr>
              <w:rPr>
                <w:rFonts w:hint="default"/>
              </w:rPr>
            </w:pPr>
          </w:p>
          <w:p w14:paraId="18F06C92">
            <w:pPr>
              <w:rPr>
                <w:rFonts w:hint="default"/>
              </w:rPr>
            </w:pPr>
            <w:r>
              <w:rPr>
                <w:sz w:val="28"/>
              </w:rPr>
              <mc:AlternateContent>
                <mc:Choice Requires="wps">
                  <w:drawing>
                    <wp:anchor distT="0" distB="0" distL="114300" distR="114300" simplePos="0" relativeHeight="251677696" behindDoc="0" locked="0" layoutInCell="1" allowOverlap="1">
                      <wp:simplePos x="0" y="0"/>
                      <wp:positionH relativeFrom="column">
                        <wp:posOffset>1290955</wp:posOffset>
                      </wp:positionH>
                      <wp:positionV relativeFrom="paragraph">
                        <wp:posOffset>224155</wp:posOffset>
                      </wp:positionV>
                      <wp:extent cx="1162685" cy="466725"/>
                      <wp:effectExtent l="0" t="0" r="0" b="0"/>
                      <wp:wrapNone/>
                      <wp:docPr id="10" name="文本框 10"/>
                      <wp:cNvGraphicFramePr/>
                      <a:graphic xmlns:a="http://schemas.openxmlformats.org/drawingml/2006/main">
                        <a:graphicData uri="http://schemas.microsoft.com/office/word/2010/wordprocessingShape">
                          <wps:wsp>
                            <wps:cNvSpPr txBox="1"/>
                            <wps:spPr>
                              <a:xfrm>
                                <a:off x="3966845" y="6263640"/>
                                <a:ext cx="1162685" cy="4667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633171">
                                  <w:pPr>
                                    <w:rPr>
                                      <w:rFonts w:hint="eastAsia" w:eastAsia="宋体"/>
                                      <w:b/>
                                      <w:bCs/>
                                      <w:lang w:eastAsia="zh-CN"/>
                                    </w:rPr>
                                  </w:pPr>
                                  <w:r>
                                    <w:rPr>
                                      <w:rFonts w:hint="eastAsia"/>
                                      <w:b/>
                                      <w:bCs/>
                                      <w:lang w:eastAsia="zh-CN"/>
                                    </w:rPr>
                                    <w:t>项目所在地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1.65pt;margin-top:17.65pt;height:36.75pt;width:91.55pt;z-index:251677696;mso-width-relative:page;mso-height-relative:page;" filled="f" stroked="f" coordsize="21600,21600" o:gfxdata="UEsDBAoAAAAAAIdO4kAAAAAAAAAAAAAAAAAEAAAAZHJzL1BLAwQUAAAACACHTuJA1NGWZ9oAAAAK&#10;AQAADwAAAGRycy9kb3ducmV2LnhtbE2PTUvDQBCG74L/YZmCN7vbxJYlZlMkUATRQ2sv3jbZaRK6&#10;HzG7/dBf73jS0zDMwzvPW66vzrIzTnEIXsFiLoChb4MZfKdg/765l8Bi0t5oGzwq+MII6+r2ptSF&#10;CRe/xfMudYxCfCy0gj6lseA8tj06HedhRE+3Q5icTrROHTeTvlC4szwTYsWdHjx96PWIdY/tcXdy&#10;Cl7qzZveNpmT37Z+fj08jZ/7j6VSd7OFeASW8Jr+YPjVJ3WoyKkJJ28iswoykeeEKsiXNAnI5eoB&#10;WEOkkBJ4VfL/FaofUEsDBBQAAAAIAIdO4kCEDeobRgIAAHQEAAAOAAAAZHJzL2Uyb0RvYy54bWyt&#10;VEtu2zAQ3RfoHQjuG9mOrSRG5MCN4aJA0ARwi65piooE8FeSjpQeoL1BV91033PlHH2kZCdIu8ii&#10;G3o48/yG82ZG5xedkuROON8YXdDx0YgSobkpG31b0E8f129OKfGB6ZJJo0VB74WnF4vXr85bOxcT&#10;UxtZCkdAov28tQWtQ7DzLPO8For5I2OFRrAyTrGAq7vNSsdasCuZTUajPGuNK60zXHgP76oP0oHR&#10;vYTQVFXDxcrwnRI69KxOSBZQkq8b6+kivbaqBA/XVeVFILKgqDSkE0lgb+OZLc7Z/NYxWzd8eAJ7&#10;yROe1aRYo5H0QLVigZGda/6iUg13xpsqHHGjsr6QpAiqGI+eabOpmRWpFkjt7UF0//9o+Ye7G0ea&#10;EpMASTRT6PjDj+8PP38//PpG4INArfVz4DYWyNC9NR3Ae7+HM9bdVU7FX1REED8+y/PT6YyS+4Lm&#10;k/w4nw5Siy4QHgnGcJ8CwIGY5vnJZBYps0cm63x4J4wi0SioQyuTwuzuyoceuofExNqsGylTO6Um&#10;LdIez0bpD4cIyKVGjlhP/+5ohW7bDUVuTXmPGp3px8Rbvm6Q/Ir5cMMc5gISYXPCNY5KGiQxg0VJ&#10;bdzXf/kjHu1ClJIWc1ZQ/2XHnKBEvtdo5Nl4Cm1ISJfp7GSCi3sa2T6N6J26NBjlMXbU8mRGfJB7&#10;s3JGfcaCLWNWhJjmyF3QsDcvQz/9WFAulssEwihaFq70xvJI3cu53AVTNUnpKFOvzaAehjH1alic&#10;OO1P7wn1+LFY/A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U0ZZn2gAAAAoBAAAPAAAAAAAAAAEA&#10;IAAAACIAAABkcnMvZG93bnJldi54bWxQSwECFAAUAAAACACHTuJAhA3qG0YCAAB0BAAADgAAAAAA&#10;AAABACAAAAApAQAAZHJzL2Uyb0RvYy54bWxQSwUGAAAAAAYABgBZAQAA4QUAAAAA&#10;">
                      <v:fill on="f" focussize="0,0"/>
                      <v:stroke on="f" weight="0.5pt"/>
                      <v:imagedata o:title=""/>
                      <o:lock v:ext="edit" aspectratio="f"/>
                      <v:textbox>
                        <w:txbxContent>
                          <w:p w14:paraId="6C633171">
                            <w:pPr>
                              <w:rPr>
                                <w:rFonts w:hint="eastAsia" w:eastAsia="宋体"/>
                                <w:b/>
                                <w:bCs/>
                                <w:lang w:eastAsia="zh-CN"/>
                              </w:rPr>
                            </w:pPr>
                            <w:r>
                              <w:rPr>
                                <w:rFonts w:hint="eastAsia"/>
                                <w:b/>
                                <w:bCs/>
                                <w:lang w:eastAsia="zh-CN"/>
                              </w:rPr>
                              <w:t>项目所在地</w:t>
                            </w:r>
                          </w:p>
                        </w:txbxContent>
                      </v:textbox>
                    </v:shape>
                  </w:pict>
                </mc:Fallback>
              </mc:AlternateContent>
            </w:r>
            <w:r>
              <w:rPr>
                <w:sz w:val="28"/>
              </w:rPr>
              <mc:AlternateContent>
                <mc:Choice Requires="wps">
                  <w:drawing>
                    <wp:anchor distT="0" distB="0" distL="114300" distR="114300" simplePos="0" relativeHeight="251676672" behindDoc="0" locked="0" layoutInCell="1" allowOverlap="1">
                      <wp:simplePos x="0" y="0"/>
                      <wp:positionH relativeFrom="column">
                        <wp:posOffset>1695450</wp:posOffset>
                      </wp:positionH>
                      <wp:positionV relativeFrom="paragraph">
                        <wp:posOffset>67945</wp:posOffset>
                      </wp:positionV>
                      <wp:extent cx="241300" cy="251460"/>
                      <wp:effectExtent l="0" t="0" r="6350" b="15240"/>
                      <wp:wrapNone/>
                      <wp:docPr id="7" name="五角星 7"/>
                      <wp:cNvGraphicFramePr/>
                      <a:graphic xmlns:a="http://schemas.openxmlformats.org/drawingml/2006/main">
                        <a:graphicData uri="http://schemas.microsoft.com/office/word/2010/wordprocessingShape">
                          <wps:wsp>
                            <wps:cNvSpPr/>
                            <wps:spPr>
                              <a:xfrm>
                                <a:off x="3679190" y="6243955"/>
                                <a:ext cx="241300" cy="251460"/>
                              </a:xfrm>
                              <a:prstGeom prst="star5">
                                <a:avLst/>
                              </a:prstGeom>
                              <a:solidFill>
                                <a:srgbClr val="FF0000"/>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133.5pt;margin-top:5.35pt;height:19.8pt;width:19pt;z-index:251676672;v-text-anchor:middle;mso-width-relative:page;mso-height-relative:page;" fillcolor="#FF0000" filled="t" stroked="f" coordsize="241300,251460" o:gfxdata="UEsDBAoAAAAAAIdO4kAAAAAAAAAAAAAAAAAEAAAAZHJzL1BLAwQUAAAACACHTuJAlxlu1NkAAAAJ&#10;AQAADwAAAGRycy9kb3ducmV2LnhtbE2PT0vDQBDF74LfYRnBm91tSxOJ2fRQ8B8F0SqCt0kyJtHs&#10;bMhu2/TbO570OO893vxevp5crw40hs6zhfnMgCKufN1xY+Ht9fbqGlSIyDX2nsnCiQKsi/OzHLPa&#10;H/mFDrvYKCnhkKGFNsYh0zpULTkMMz8Qi/fpR4dRzrHR9YhHKXe9XhiTaIcdy4cWB9q0VH3v9s7C&#10;XXrCdzc9PXzw1/bepI/lc7LZWnt5MTc3oCJN8S8Mv/iCDoUwlX7PdVC9hUWSypYohklBSWBpViKU&#10;FlZmCbrI9f8FxQ9QSwMEFAAAAAgAh07iQPjtqxiAAgAA2gQAAA4AAABkcnMvZTJvRG9jLnhtbK1U&#10;y24TMRTdI/EPlvd0MmkeTdRJFTUKQqpopYJYOx5PxpJf2M6jfAZiwa5L/oHvQYjP4NiTPigsuiCL&#10;yb1z75xz7/G9Pj3ba0W2wgdpTUXLox4lwnBbS7Ou6Pt3y1cnlITITM2UNaKiNyLQs9nLF6c7NxV9&#10;21pVC08AYsJ05yraxuimRRF4KzQLR9YJg2BjvWYRrl8XtWc7oGtV9Hu9UbGzvnbechEC3i66ID0g&#10;+ucA2qaRXCws32hhYofqhWIRLYVWukBnudqmETxeNk0QkaiKotOYnyCBvUrPYnbKpmvPXCv5oQT2&#10;nBKe9KSZNCC9h1qwyMjGy7+gtOTeBtvEI2510TWSFUEXZe+JNtctcyL3AqmDuxc9/D9Y/nZ75Yms&#10;KzqmxDCNA//x/cuvb59/fr0l4yTPzoUpsq7dlT94AWbqdd94nf7RBdlX9Hg0npQTCHtT0VF/cDwZ&#10;Djt5xT4SjoT+oDzuIc6R0B+Wg1GWv3gAcj7E18JqkoyKYgr9MKvKthchgh25dzmJOFgl66VUKjt+&#10;vTpXnmwZjnq57OGX6PHJH2nKkB3Gvj/OlTAMcIPBQVHaQYRg1pQwtcZm8Ogzt7GJAUgd94KFtuPI&#10;sF2HWkbshJK6oieJ+I5ZGRSQBOwkS9bK1jdQ3NtuFIPjS4luL1iIV8xj9iAQtjNe4tEoi1rtwaKk&#10;tf7Tv96nfIwEopTsMMvo4+OGeUGJemMwLJNyMABszM5gOO7D8Y8jq8cRs9HnFhqWuAccz2bKj+rO&#10;bLzVH7DE88SKEDMc3J1iB+c8djuGa4CL+TynYeAdixfm2vEEngQ1dr6JtpH5bB/UOYiGkc/nd1jP&#10;tFOP/Zz1cCXNfg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CXGW7U2QAAAAkBAAAPAAAAAAAAAAEA&#10;IAAAACIAAABkcnMvZG93bnJldi54bWxQSwECFAAUAAAACACHTuJA+O2rGIACAADaBAAADgAAAAAA&#10;AAABACAAAAAoAQAAZHJzL2Uyb0RvYy54bWxQSwUGAAAAAAYABgBZAQAAGgYAAAAA&#10;" path="m0,96048l92168,96049,120650,0,149131,96049,241299,96048,166733,155410,195215,251459,120650,192097,46084,251459,74566,155410xe">
                      <v:path o:connectlocs="120650,0;0,96048;46084,251459;195215,251459;241299,96048" o:connectangles="247,164,82,82,0"/>
                      <v:fill on="t" focussize="0,0"/>
                      <v:stroke on="f" weight="1pt" miterlimit="8" joinstyle="miter"/>
                      <v:imagedata o:title=""/>
                      <o:lock v:ext="edit" aspectratio="f"/>
                    </v:shape>
                  </w:pict>
                </mc:Fallback>
              </mc:AlternateContent>
            </w:r>
          </w:p>
          <w:p w14:paraId="4D0E77F6">
            <w:pPr>
              <w:rPr>
                <w:rFonts w:hint="default"/>
              </w:rPr>
            </w:pPr>
          </w:p>
          <w:p w14:paraId="4A6997E4">
            <w:pPr>
              <w:rPr>
                <w:rFonts w:hint="default"/>
              </w:rPr>
            </w:pPr>
          </w:p>
          <w:p w14:paraId="5A46A924">
            <w:pPr>
              <w:rPr>
                <w:rFonts w:hint="default"/>
              </w:rPr>
            </w:pPr>
          </w:p>
          <w:p w14:paraId="02B6D30A">
            <w:pPr>
              <w:rPr>
                <w:rFonts w:hint="default"/>
                <w:color w:val="FF0000"/>
              </w:rPr>
            </w:pPr>
          </w:p>
          <w:p w14:paraId="5F241A59">
            <w:pPr>
              <w:pStyle w:val="4"/>
              <w:ind w:firstLine="0" w:firstLineChars="0"/>
              <w:jc w:val="center"/>
              <w:rPr>
                <w:rFonts w:hint="default" w:ascii="Times New Roman" w:hAnsi="Times New Roman" w:cs="Times New Roman" w:eastAsiaTheme="majorEastAsia"/>
                <w:color w:val="000000" w:themeColor="text1"/>
                <w:sz w:val="24"/>
                <w:szCs w:val="24"/>
                <w14:textFill>
                  <w14:solidFill>
                    <w14:schemeClr w14:val="tx1"/>
                  </w14:solidFill>
                </w14:textFill>
              </w:rPr>
            </w:pPr>
            <w:r>
              <w:rPr>
                <w:rFonts w:hint="default" w:ascii="Times New Roman" w:hAnsi="Times New Roman" w:cs="Times New Roman" w:eastAsiaTheme="majorEastAsia"/>
                <w:b/>
                <w:bCs/>
                <w:color w:val="000000" w:themeColor="text1"/>
                <w:sz w:val="24"/>
                <w:szCs w:val="24"/>
                <w14:textFill>
                  <w14:solidFill>
                    <w14:schemeClr w14:val="tx1"/>
                  </w14:solidFill>
                </w14:textFill>
              </w:rPr>
              <w:t>图1廊坊市</w:t>
            </w:r>
            <w:r>
              <w:rPr>
                <w:rFonts w:hint="eastAsia" w:ascii="Times New Roman" w:hAnsi="Times New Roman" w:cs="Times New Roman" w:eastAsiaTheme="majorEastAsia"/>
                <w:b/>
                <w:bCs/>
                <w:color w:val="000000" w:themeColor="text1"/>
                <w:sz w:val="24"/>
                <w:szCs w:val="24"/>
                <w:lang w:eastAsia="zh-CN"/>
                <w14:textFill>
                  <w14:solidFill>
                    <w14:schemeClr w14:val="tx1"/>
                  </w14:solidFill>
                </w14:textFill>
              </w:rPr>
              <w:t>永清县</w:t>
            </w:r>
            <w:r>
              <w:rPr>
                <w:rFonts w:hint="default" w:ascii="Times New Roman" w:hAnsi="Times New Roman" w:cs="Times New Roman" w:eastAsiaTheme="majorEastAsia"/>
                <w:b/>
                <w:bCs/>
                <w:color w:val="000000" w:themeColor="text1"/>
                <w:sz w:val="24"/>
                <w:szCs w:val="24"/>
                <w14:textFill>
                  <w14:solidFill>
                    <w14:schemeClr w14:val="tx1"/>
                  </w14:solidFill>
                </w14:textFill>
              </w:rPr>
              <w:t>生态保护红线示意图</w:t>
            </w:r>
          </w:p>
          <w:p w14:paraId="1E5D1ECA">
            <w:pPr>
              <w:keepNext w:val="0"/>
              <w:keepLines w:val="0"/>
              <w:pageBreakBefore w:val="0"/>
              <w:kinsoku/>
              <w:wordWrap/>
              <w:overflowPunct/>
              <w:topLinePunct w:val="0"/>
              <w:autoSpaceDE w:val="0"/>
              <w:autoSpaceDN w:val="0"/>
              <w:bidi w:val="0"/>
              <w:spacing w:line="500" w:lineRule="exact"/>
              <w:ind w:firstLine="480" w:firstLineChars="200"/>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2）环境质量底线</w:t>
            </w:r>
          </w:p>
          <w:p w14:paraId="531393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tLeast"/>
              <w:ind w:left="0" w:right="0" w:firstLine="480" w:firstLineChars="200"/>
              <w:jc w:val="both"/>
              <w:textAlignment w:val="auto"/>
              <w:rPr>
                <w:rFonts w:hint="default" w:ascii="Times New Roman" w:hAnsi="Times New Roman" w:eastAsia="宋体" w:cs="Times New Roman"/>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根据</w:t>
            </w:r>
            <w:r>
              <w:rPr>
                <w:rFonts w:hint="eastAsia"/>
                <w:color w:val="000000" w:themeColor="text1"/>
                <w:sz w:val="24"/>
                <w:highlight w:val="none"/>
                <w:lang w:eastAsia="zh-CN"/>
                <w14:textFill>
                  <w14:solidFill>
                    <w14:schemeClr w14:val="tx1"/>
                  </w14:solidFill>
                </w14:textFill>
              </w:rPr>
              <w:t>廊坊市生态环境局发布的《廊坊市生态环境治理报告书（2024年）》</w:t>
            </w:r>
            <w:r>
              <w:rPr>
                <w:color w:val="000000" w:themeColor="text1"/>
                <w:sz w:val="24"/>
                <w:highlight w:val="none"/>
                <w14:textFill>
                  <w14:solidFill>
                    <w14:schemeClr w14:val="tx1"/>
                  </w14:solidFill>
                </w14:textFill>
              </w:rPr>
              <w:t>，廊坊市</w:t>
            </w:r>
            <w:r>
              <w:rPr>
                <w:rFonts w:hint="eastAsia"/>
                <w:color w:val="000000" w:themeColor="text1"/>
                <w:sz w:val="24"/>
                <w:highlight w:val="none"/>
                <w:lang w:eastAsia="zh-CN"/>
                <w14:textFill>
                  <w14:solidFill>
                    <w14:schemeClr w14:val="tx1"/>
                  </w14:solidFill>
                </w14:textFill>
              </w:rPr>
              <w:t>永清县</w:t>
            </w:r>
            <w:r>
              <w:rPr>
                <w:color w:val="000000" w:themeColor="text1"/>
                <w:sz w:val="24"/>
                <w:highlight w:val="none"/>
                <w14:textFill>
                  <w14:solidFill>
                    <w14:schemeClr w14:val="tx1"/>
                  </w14:solidFill>
                </w14:textFill>
              </w:rPr>
              <w:t>空气质</w:t>
            </w:r>
            <w:r>
              <w:rPr>
                <w:rFonts w:hint="default" w:ascii="Times New Roman" w:hAnsi="Times New Roman" w:cs="Times New Roman"/>
                <w:color w:val="000000" w:themeColor="text1"/>
                <w:sz w:val="24"/>
                <w:highlight w:val="none"/>
                <w14:textFill>
                  <w14:solidFill>
                    <w14:schemeClr w14:val="tx1"/>
                  </w14:solidFill>
                </w14:textFill>
              </w:rPr>
              <w:t>量SO</w:t>
            </w:r>
            <w:r>
              <w:rPr>
                <w:rFonts w:hint="default" w:ascii="Times New Roman" w:hAnsi="Times New Roman" w:cs="Times New Roman"/>
                <w:color w:val="000000" w:themeColor="text1"/>
                <w:sz w:val="24"/>
                <w:highlight w:val="none"/>
                <w:vertAlign w:val="subscript"/>
                <w14:textFill>
                  <w14:solidFill>
                    <w14:schemeClr w14:val="tx1"/>
                  </w14:solidFill>
                </w14:textFill>
              </w:rPr>
              <w:t>2</w:t>
            </w:r>
            <w:r>
              <w:rPr>
                <w:rFonts w:hint="default" w:ascii="Times New Roman" w:hAnsi="Times New Roman" w:cs="Times New Roman"/>
                <w:color w:val="000000" w:themeColor="text1"/>
                <w:sz w:val="24"/>
                <w:highlight w:val="none"/>
                <w14:textFill>
                  <w14:solidFill>
                    <w14:schemeClr w14:val="tx1"/>
                  </w14:solidFill>
                </w14:textFill>
              </w:rPr>
              <w:t>、NO</w:t>
            </w:r>
            <w:r>
              <w:rPr>
                <w:rFonts w:hint="default" w:ascii="Times New Roman" w:hAnsi="Times New Roman" w:cs="Times New Roman"/>
                <w:color w:val="000000" w:themeColor="text1"/>
                <w:sz w:val="24"/>
                <w:highlight w:val="none"/>
                <w:vertAlign w:val="subscript"/>
                <w14:textFill>
                  <w14:solidFill>
                    <w14:schemeClr w14:val="tx1"/>
                  </w14:solidFill>
                </w14:textFill>
              </w:rPr>
              <w:t>2</w:t>
            </w:r>
            <w:r>
              <w:rPr>
                <w:rFonts w:hint="default" w:ascii="Times New Roman" w:hAnsi="Times New Roman" w:cs="Times New Roman"/>
                <w:color w:val="000000" w:themeColor="text1"/>
                <w:sz w:val="24"/>
                <w:highlight w:val="none"/>
                <w14:textFill>
                  <w14:solidFill>
                    <w14:schemeClr w14:val="tx1"/>
                  </w14:solidFill>
                </w14:textFill>
              </w:rPr>
              <w:t>、CO浓度均</w:t>
            </w:r>
            <w:r>
              <w:rPr>
                <w:color w:val="000000" w:themeColor="text1"/>
                <w:sz w:val="24"/>
                <w:highlight w:val="none"/>
                <w14:textFill>
                  <w14:solidFill>
                    <w14:schemeClr w14:val="tx1"/>
                  </w14:solidFill>
                </w14:textFill>
              </w:rPr>
              <w:t>满足《环境空气质量标准》（GB3095-2012）二级标准及2018年修改单；PM</w:t>
            </w:r>
            <w:r>
              <w:rPr>
                <w:color w:val="000000" w:themeColor="text1"/>
                <w:sz w:val="24"/>
                <w:highlight w:val="none"/>
                <w:vertAlign w:val="subscript"/>
                <w14:textFill>
                  <w14:solidFill>
                    <w14:schemeClr w14:val="tx1"/>
                  </w14:solidFill>
                </w14:textFill>
              </w:rPr>
              <w:t>2.5</w:t>
            </w:r>
            <w:r>
              <w:rPr>
                <w:rFonts w:hint="eastAsia"/>
                <w:color w:val="000000" w:themeColor="text1"/>
                <w:sz w:val="24"/>
                <w:highlight w:val="none"/>
                <w:vertAlign w:val="baseline"/>
                <w:lang w:eastAsia="zh-CN"/>
                <w14:textFill>
                  <w14:solidFill>
                    <w14:schemeClr w14:val="tx1"/>
                  </w14:solidFill>
                </w14:textFill>
              </w:rPr>
              <w:t>、</w:t>
            </w:r>
            <w:r>
              <w:rPr>
                <w:rFonts w:hint="eastAsia"/>
                <w:color w:val="000000" w:themeColor="text1"/>
                <w:sz w:val="24"/>
                <w:highlight w:val="none"/>
                <w:vertAlign w:val="baseline"/>
                <w:lang w:val="en-US" w:eastAsia="zh-CN"/>
                <w14:textFill>
                  <w14:solidFill>
                    <w14:schemeClr w14:val="tx1"/>
                  </w14:solidFill>
                </w14:textFill>
              </w:rPr>
              <w:t>PM</w:t>
            </w:r>
            <w:r>
              <w:rPr>
                <w:rFonts w:hint="eastAsia"/>
                <w:color w:val="000000" w:themeColor="text1"/>
                <w:sz w:val="24"/>
                <w:highlight w:val="none"/>
                <w:vertAlign w:val="subscript"/>
                <w:lang w:val="en-US" w:eastAsia="zh-CN"/>
                <w14:textFill>
                  <w14:solidFill>
                    <w14:schemeClr w14:val="tx1"/>
                  </w14:solidFill>
                </w14:textFill>
              </w:rPr>
              <w:t>10</w:t>
            </w:r>
            <w:r>
              <w:rPr>
                <w:color w:val="000000" w:themeColor="text1"/>
                <w:sz w:val="24"/>
                <w:highlight w:val="none"/>
                <w14:textFill>
                  <w14:solidFill>
                    <w14:schemeClr w14:val="tx1"/>
                  </w14:solidFill>
                </w14:textFill>
              </w:rPr>
              <w:t>和O</w:t>
            </w:r>
            <w:r>
              <w:rPr>
                <w:color w:val="000000" w:themeColor="text1"/>
                <w:sz w:val="24"/>
                <w:highlight w:val="none"/>
                <w:vertAlign w:val="subscript"/>
                <w14:textFill>
                  <w14:solidFill>
                    <w14:schemeClr w14:val="tx1"/>
                  </w14:solidFill>
                </w14:textFill>
              </w:rPr>
              <w:t>3</w:t>
            </w:r>
            <w:r>
              <w:rPr>
                <w:color w:val="000000" w:themeColor="text1"/>
                <w:sz w:val="24"/>
                <w:highlight w:val="none"/>
                <w14:textFill>
                  <w14:solidFill>
                    <w14:schemeClr w14:val="tx1"/>
                  </w14:solidFill>
                </w14:textFill>
              </w:rPr>
              <w:t>浓度均超标</w:t>
            </w:r>
            <w:r>
              <w:rPr>
                <w:rFonts w:hint="eastAsia"/>
                <w:color w:val="000000" w:themeColor="text1"/>
                <w:sz w:val="24"/>
                <w:highlight w:val="none"/>
                <w14:textFill>
                  <w14:solidFill>
                    <w14:schemeClr w14:val="tx1"/>
                  </w14:solidFill>
                </w14:textFill>
              </w:rPr>
              <w:t>，为不达标区。</w:t>
            </w:r>
            <w:r>
              <w:rPr>
                <w:rFonts w:hint="eastAsia" w:ascii="Times New Roman" w:hAnsi="Times New Roman" w:cs="Times New Roman"/>
                <w:snapToGrid w:val="0"/>
                <w:color w:val="000000" w:themeColor="text1"/>
                <w:sz w:val="24"/>
                <w:szCs w:val="24"/>
                <w:lang w:val="en-US" w:eastAsia="zh-CN" w:bidi="ar"/>
                <w14:textFill>
                  <w14:solidFill>
                    <w14:schemeClr w14:val="tx1"/>
                  </w14:solidFill>
                </w14:textFill>
              </w:rPr>
              <w:t>本</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项目</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引用</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河北尚源检测技术服务有限公司</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出具的《</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检测报告</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》（编号：</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SYJC2024H0098</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）中非甲烷总烃的监测数据</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ascii="Times New Roman" w:hAnsi="Times New Roman" w:eastAsia="宋体" w:cs="Times New Roman"/>
                <w:color w:val="000000" w:themeColor="text1"/>
                <w:sz w:val="24"/>
                <w:highlight w:val="none"/>
                <w14:textFill>
                  <w14:solidFill>
                    <w14:schemeClr w14:val="tx1"/>
                  </w14:solidFill>
                </w14:textFill>
              </w:rPr>
              <w:t>根据检测报告可知，</w:t>
            </w:r>
            <w:r>
              <w:rPr>
                <w:rFonts w:hint="default" w:ascii="Times New Roman" w:hAnsi="Times New Roman" w:eastAsia="宋体" w:cs="Times New Roman"/>
                <w:color w:val="000000" w:themeColor="text1"/>
                <w:sz w:val="24"/>
                <w:highlight w:val="none"/>
                <w14:textFill>
                  <w14:solidFill>
                    <w14:schemeClr w14:val="tx1"/>
                  </w14:solidFill>
                </w14:textFill>
              </w:rPr>
              <w:t>非甲烷总烃浓度最大值为</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0.50</w:t>
            </w:r>
            <w:r>
              <w:rPr>
                <w:rFonts w:hint="default" w:ascii="Times New Roman" w:hAnsi="Times New Roman" w:eastAsia="宋体" w:cs="Times New Roman"/>
                <w:color w:val="000000" w:themeColor="text1"/>
                <w:sz w:val="24"/>
                <w:highlight w:val="none"/>
                <w14:textFill>
                  <w14:solidFill>
                    <w14:schemeClr w14:val="tx1"/>
                  </w14:solidFill>
                </w14:textFill>
              </w:rPr>
              <w:t>mg/m³，满足河北省地方标准《环境空气质量非甲烷总烃限值》（DB13/1577-2012）</w:t>
            </w:r>
            <w:r>
              <w:rPr>
                <w:rFonts w:hint="eastAsia" w:ascii="Times New Roman" w:hAnsi="Times New Roman" w:eastAsia="宋体" w:cs="Times New Roman"/>
                <w:color w:val="000000" w:themeColor="text1"/>
                <w:sz w:val="24"/>
                <w:highlight w:val="none"/>
                <w14:textFill>
                  <w14:solidFill>
                    <w14:schemeClr w14:val="tx1"/>
                  </w14:solidFill>
                </w14:textFill>
              </w:rPr>
              <w:t>二级</w:t>
            </w:r>
            <w:r>
              <w:rPr>
                <w:rFonts w:hint="default" w:ascii="Times New Roman" w:hAnsi="Times New Roman" w:eastAsia="宋体" w:cs="Times New Roman"/>
                <w:color w:val="000000" w:themeColor="text1"/>
                <w:sz w:val="24"/>
                <w:highlight w:val="none"/>
                <w14:textFill>
                  <w14:solidFill>
                    <w14:schemeClr w14:val="tx1"/>
                  </w14:solidFill>
                </w14:textFill>
              </w:rPr>
              <w:t>标准限值（1小时平均</w:t>
            </w:r>
            <w:r>
              <w:rPr>
                <w:rFonts w:hint="eastAsia" w:ascii="Times New Roman" w:hAnsi="Times New Roman" w:eastAsia="宋体" w:cs="Times New Roman"/>
                <w:color w:val="000000" w:themeColor="text1"/>
                <w:sz w:val="24"/>
                <w:highlight w:val="none"/>
                <w14:textFill>
                  <w14:solidFill>
                    <w14:schemeClr w14:val="tx1"/>
                  </w14:solidFill>
                </w14:textFill>
              </w:rPr>
              <w:t>浓度</w:t>
            </w:r>
            <w:r>
              <w:rPr>
                <w:rFonts w:hint="default" w:ascii="Times New Roman" w:hAnsi="Times New Roman" w:eastAsia="宋体" w:cs="Times New Roman"/>
                <w:color w:val="000000" w:themeColor="text1"/>
                <w:sz w:val="24"/>
                <w:highlight w:val="none"/>
                <w14:textFill>
                  <w14:solidFill>
                    <w14:schemeClr w14:val="tx1"/>
                  </w14:solidFill>
                </w14:textFill>
              </w:rPr>
              <w:t>2.0mg/m³）。</w:t>
            </w:r>
          </w:p>
          <w:p w14:paraId="62C786FB">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jc w:val="both"/>
              <w:textAlignment w:val="auto"/>
              <w:rPr>
                <w:rFonts w:hint="eastAsia" w:ascii="Times New Roman" w:hAnsi="Times New Roman" w:eastAsia="宋体" w:cs="Times New Roman"/>
                <w:snapToGrid w:val="0"/>
                <w:color w:val="auto"/>
                <w:sz w:val="24"/>
                <w:szCs w:val="24"/>
                <w:lang w:val="en-US" w:eastAsia="zh-CN" w:bidi="ar"/>
              </w:rPr>
            </w:pPr>
            <w:r>
              <w:rPr>
                <w:rFonts w:hint="default" w:ascii="Times New Roman" w:hAnsi="Times New Roman" w:eastAsia="宋体" w:cs="Times New Roman"/>
                <w:snapToGrid w:val="0"/>
                <w:color w:val="000000" w:themeColor="text1"/>
                <w:sz w:val="24"/>
                <w:szCs w:val="24"/>
                <w:lang w:val="en-US" w:eastAsia="zh-CN" w:bidi="ar"/>
                <w14:textFill>
                  <w14:solidFill>
                    <w14:schemeClr w14:val="tx1"/>
                  </w14:solidFill>
                </w14:textFill>
              </w:rPr>
              <w:t>本项目对工程产生的主要废气、噪声、固废等污染物均采取了严</w:t>
            </w:r>
            <w:r>
              <w:rPr>
                <w:rFonts w:hint="default" w:ascii="Times New Roman" w:hAnsi="Times New Roman" w:eastAsia="宋体" w:cs="Times New Roman"/>
                <w:snapToGrid w:val="0"/>
                <w:color w:val="auto"/>
                <w:sz w:val="24"/>
                <w:szCs w:val="24"/>
                <w:lang w:val="en-US" w:eastAsia="zh-CN" w:bidi="ar"/>
              </w:rPr>
              <w:t>格的治理和处理、处置措施，污染物均能达标排放。本项目产生的污染物采取上述措施后不会突破项目所在地的环境质量底线。</w:t>
            </w:r>
          </w:p>
          <w:p w14:paraId="6E7E0A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jc w:val="both"/>
              <w:textAlignment w:val="auto"/>
              <w:rPr>
                <w:rFonts w:hint="default" w:ascii="Times New Roman" w:hAnsi="Times New Roman" w:cs="Times New Roman"/>
                <w:color w:val="auto"/>
                <w:sz w:val="24"/>
                <w:szCs w:val="24"/>
              </w:rPr>
            </w:pPr>
            <w:r>
              <w:rPr>
                <w:rFonts w:hint="default" w:ascii="Times New Roman" w:hAnsi="Times New Roman" w:eastAsia="宋体" w:cs="Times New Roman"/>
                <w:snapToGrid w:val="0"/>
                <w:color w:val="auto"/>
                <w:sz w:val="24"/>
                <w:szCs w:val="24"/>
                <w:lang w:val="en-US" w:eastAsia="zh-CN" w:bidi="ar"/>
              </w:rPr>
              <w:t>因此，本项目的建设符合环境质量底线的要求。</w:t>
            </w:r>
          </w:p>
          <w:p w14:paraId="65B74374">
            <w:pPr>
              <w:keepNext w:val="0"/>
              <w:keepLines w:val="0"/>
              <w:pageBreakBefore w:val="0"/>
              <w:kinsoku/>
              <w:wordWrap/>
              <w:overflowPunct/>
              <w:topLinePunct w:val="0"/>
              <w:autoSpaceDE w:val="0"/>
              <w:autoSpaceDN w:val="0"/>
              <w:bidi w:val="0"/>
              <w:spacing w:line="500" w:lineRule="exact"/>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3）资源利用上线</w:t>
            </w:r>
          </w:p>
          <w:p w14:paraId="1EF4618B">
            <w:pPr>
              <w:keepNext w:val="0"/>
              <w:keepLines w:val="0"/>
              <w:pageBreakBefore w:val="0"/>
              <w:kinsoku/>
              <w:wordWrap/>
              <w:overflowPunct/>
              <w:topLinePunct w:val="0"/>
              <w:autoSpaceDE w:val="0"/>
              <w:autoSpaceDN w:val="0"/>
              <w:bidi w:val="0"/>
              <w:spacing w:line="500" w:lineRule="exact"/>
              <w:ind w:firstLine="480" w:firstLineChars="200"/>
              <w:textAlignment w:val="auto"/>
              <w:rPr>
                <w:rFonts w:hint="default" w:ascii="Times New Roman" w:hAnsi="Times New Roman" w:cs="Times New Roman"/>
                <w:color w:val="auto"/>
                <w:sz w:val="24"/>
                <w:szCs w:val="24"/>
                <w:highlight w:val="none"/>
                <w:lang w:bidi="ar"/>
              </w:rPr>
            </w:pPr>
            <w:r>
              <w:rPr>
                <w:rFonts w:hint="default" w:ascii="Times New Roman" w:hAnsi="Times New Roman" w:cs="Times New Roman"/>
                <w:color w:val="auto"/>
                <w:sz w:val="24"/>
                <w:szCs w:val="24"/>
                <w:lang w:bidi="ar"/>
              </w:rPr>
              <w:t>资源是环境的载体，</w:t>
            </w:r>
            <w:r>
              <w:rPr>
                <w:rFonts w:hint="default" w:ascii="Times New Roman" w:hAnsi="Times New Roman" w:cs="Times New Roman"/>
                <w:color w:val="auto"/>
                <w:sz w:val="24"/>
                <w:szCs w:val="24"/>
                <w:lang w:eastAsia="zh-CN" w:bidi="ar"/>
              </w:rPr>
              <w:t>“</w:t>
            </w:r>
            <w:r>
              <w:rPr>
                <w:rFonts w:hint="default" w:ascii="Times New Roman" w:hAnsi="Times New Roman" w:cs="Times New Roman"/>
                <w:color w:val="auto"/>
                <w:sz w:val="24"/>
                <w:szCs w:val="24"/>
                <w:lang w:bidi="ar"/>
              </w:rPr>
              <w:t>资源利用上线</w:t>
            </w:r>
            <w:r>
              <w:rPr>
                <w:rFonts w:hint="default" w:ascii="Times New Roman" w:hAnsi="Times New Roman" w:cs="Times New Roman"/>
                <w:color w:val="auto"/>
                <w:sz w:val="24"/>
                <w:szCs w:val="24"/>
                <w:lang w:eastAsia="zh-CN" w:bidi="ar"/>
              </w:rPr>
              <w:t>”</w:t>
            </w:r>
            <w:r>
              <w:rPr>
                <w:rFonts w:hint="default" w:ascii="Times New Roman" w:hAnsi="Times New Roman" w:cs="Times New Roman"/>
                <w:color w:val="auto"/>
                <w:sz w:val="24"/>
                <w:szCs w:val="24"/>
                <w:lang w:bidi="ar"/>
              </w:rPr>
              <w:t>地区能源、水、土地等资源消耗不得突破的</w:t>
            </w:r>
            <w:r>
              <w:rPr>
                <w:rFonts w:hint="default" w:ascii="Times New Roman" w:hAnsi="Times New Roman" w:cs="Times New Roman"/>
                <w:color w:val="auto"/>
                <w:sz w:val="24"/>
                <w:szCs w:val="24"/>
                <w:lang w:eastAsia="zh-CN" w:bidi="ar"/>
              </w:rPr>
              <w:t>“</w:t>
            </w:r>
            <w:r>
              <w:rPr>
                <w:rFonts w:hint="default" w:ascii="Times New Roman" w:hAnsi="Times New Roman" w:cs="Times New Roman"/>
                <w:color w:val="auto"/>
                <w:sz w:val="24"/>
                <w:szCs w:val="24"/>
                <w:lang w:bidi="ar"/>
              </w:rPr>
              <w:t>天花板</w:t>
            </w:r>
            <w:r>
              <w:rPr>
                <w:rFonts w:hint="default" w:ascii="Times New Roman" w:hAnsi="Times New Roman" w:cs="Times New Roman"/>
                <w:color w:val="auto"/>
                <w:sz w:val="24"/>
                <w:szCs w:val="24"/>
                <w:lang w:eastAsia="zh-CN" w:bidi="ar"/>
              </w:rPr>
              <w:t>”</w:t>
            </w:r>
            <w:r>
              <w:rPr>
                <w:rFonts w:hint="default" w:ascii="Times New Roman" w:hAnsi="Times New Roman" w:cs="Times New Roman"/>
                <w:color w:val="auto"/>
                <w:sz w:val="24"/>
                <w:szCs w:val="24"/>
                <w:lang w:bidi="ar"/>
              </w:rPr>
              <w:t>。本项目建设过程中所利用的资源主要为水资源和电，均为清洁能源，项目建成运行后通过内部管理、设备选择、原辅材料的选用管理、污染治理等多方面采取合理可行的防治措施，以</w:t>
            </w:r>
            <w:r>
              <w:rPr>
                <w:rFonts w:hint="default" w:ascii="Times New Roman" w:hAnsi="Times New Roman" w:cs="Times New Roman"/>
                <w:color w:val="auto"/>
                <w:sz w:val="24"/>
                <w:szCs w:val="24"/>
                <w:lang w:eastAsia="zh-CN" w:bidi="ar"/>
              </w:rPr>
              <w:t>“</w:t>
            </w:r>
            <w:r>
              <w:rPr>
                <w:rFonts w:hint="default" w:ascii="Times New Roman" w:hAnsi="Times New Roman" w:cs="Times New Roman"/>
                <w:color w:val="auto"/>
                <w:sz w:val="24"/>
                <w:szCs w:val="24"/>
                <w:lang w:bidi="ar"/>
              </w:rPr>
              <w:t>节能、降耗、减污</w:t>
            </w:r>
            <w:r>
              <w:rPr>
                <w:rFonts w:hint="default" w:ascii="Times New Roman" w:hAnsi="Times New Roman" w:cs="Times New Roman"/>
                <w:color w:val="auto"/>
                <w:sz w:val="24"/>
                <w:szCs w:val="24"/>
                <w:lang w:eastAsia="zh-CN" w:bidi="ar"/>
              </w:rPr>
              <w:t>”</w:t>
            </w:r>
            <w:r>
              <w:rPr>
                <w:rFonts w:hint="default" w:ascii="Times New Roman" w:hAnsi="Times New Roman" w:cs="Times New Roman"/>
                <w:color w:val="auto"/>
                <w:sz w:val="24"/>
                <w:szCs w:val="24"/>
                <w:lang w:bidi="ar"/>
              </w:rPr>
              <w:t>为目标，有效的控制污染。项目占地为</w:t>
            </w:r>
            <w:r>
              <w:rPr>
                <w:rFonts w:hint="eastAsia" w:ascii="Times New Roman" w:hAnsi="Times New Roman" w:cs="Times New Roman"/>
                <w:color w:val="auto"/>
                <w:sz w:val="24"/>
                <w:szCs w:val="24"/>
                <w:highlight w:val="none"/>
                <w:lang w:eastAsia="zh-CN" w:bidi="ar"/>
              </w:rPr>
              <w:t>工业用地</w:t>
            </w:r>
            <w:r>
              <w:rPr>
                <w:rFonts w:hint="default" w:ascii="Times New Roman" w:hAnsi="Times New Roman" w:cs="Times New Roman"/>
                <w:color w:val="auto"/>
                <w:sz w:val="24"/>
                <w:szCs w:val="24"/>
                <w:highlight w:val="none"/>
                <w:lang w:bidi="ar"/>
              </w:rPr>
              <w:t>，项目的水、电等资源利用不会突破区域的资源利用上线。</w:t>
            </w:r>
          </w:p>
          <w:p w14:paraId="7FD1A33F">
            <w:pPr>
              <w:keepNext w:val="0"/>
              <w:keepLines w:val="0"/>
              <w:pageBreakBefore w:val="0"/>
              <w:kinsoku/>
              <w:wordWrap/>
              <w:overflowPunct/>
              <w:topLinePunct w:val="0"/>
              <w:autoSpaceDE w:val="0"/>
              <w:autoSpaceDN w:val="0"/>
              <w:bidi w:val="0"/>
              <w:spacing w:line="500" w:lineRule="exact"/>
              <w:ind w:firstLine="480" w:firstLineChars="200"/>
              <w:textAlignment w:val="auto"/>
              <w:rPr>
                <w:rFonts w:hint="default" w:ascii="Times New Roman" w:hAnsi="Times New Roman" w:cs="Times New Roman"/>
                <w:color w:val="auto"/>
                <w:sz w:val="24"/>
                <w:szCs w:val="24"/>
                <w:lang w:bidi="ar"/>
              </w:rPr>
            </w:pPr>
            <w:r>
              <w:rPr>
                <w:rFonts w:hint="default" w:ascii="Times New Roman" w:hAnsi="Times New Roman" w:cs="Times New Roman"/>
                <w:color w:val="auto"/>
                <w:sz w:val="24"/>
                <w:szCs w:val="24"/>
                <w:highlight w:val="none"/>
                <w:lang w:bidi="ar"/>
              </w:rPr>
              <w:t>本项目占</w:t>
            </w:r>
            <w:r>
              <w:rPr>
                <w:rFonts w:hint="default" w:ascii="Times New Roman" w:hAnsi="Times New Roman" w:cs="Times New Roman"/>
                <w:color w:val="000000" w:themeColor="text1"/>
                <w:sz w:val="24"/>
                <w:szCs w:val="24"/>
                <w:highlight w:val="none"/>
                <w:lang w:bidi="ar"/>
                <w14:textFill>
                  <w14:solidFill>
                    <w14:schemeClr w14:val="tx1"/>
                  </w14:solidFill>
                </w14:textFill>
              </w:rPr>
              <w:t>地为</w:t>
            </w:r>
            <w:r>
              <w:rPr>
                <w:rFonts w:hint="eastAsia" w:ascii="Times New Roman" w:hAnsi="Times New Roman" w:cs="Times New Roman"/>
                <w:color w:val="auto"/>
                <w:sz w:val="24"/>
                <w:szCs w:val="24"/>
                <w:highlight w:val="none"/>
                <w:lang w:eastAsia="zh-CN" w:bidi="ar"/>
              </w:rPr>
              <w:t>工业</w:t>
            </w:r>
            <w:r>
              <w:rPr>
                <w:rFonts w:hint="eastAsia" w:ascii="Times New Roman" w:hAnsi="Times New Roman" w:cs="Times New Roman"/>
                <w:color w:val="000000" w:themeColor="text1"/>
                <w:sz w:val="24"/>
                <w:szCs w:val="24"/>
                <w:highlight w:val="none"/>
                <w:lang w:eastAsia="zh-CN" w:bidi="ar"/>
                <w14:textFill>
                  <w14:solidFill>
                    <w14:schemeClr w14:val="tx1"/>
                  </w14:solidFill>
                </w14:textFill>
              </w:rPr>
              <w:t>用地</w:t>
            </w:r>
            <w:r>
              <w:rPr>
                <w:rFonts w:hint="default" w:ascii="Times New Roman" w:hAnsi="Times New Roman" w:cs="Times New Roman"/>
                <w:color w:val="000000" w:themeColor="text1"/>
                <w:sz w:val="24"/>
                <w:szCs w:val="24"/>
                <w:highlight w:val="none"/>
                <w:lang w:bidi="ar"/>
                <w14:textFill>
                  <w14:solidFill>
                    <w14:schemeClr w14:val="tx1"/>
                  </w14:solidFill>
                </w14:textFill>
              </w:rPr>
              <w:t>，</w:t>
            </w:r>
            <w:r>
              <w:rPr>
                <w:rFonts w:hint="default" w:ascii="Times New Roman" w:hAnsi="Times New Roman" w:cs="Times New Roman"/>
                <w:color w:val="auto"/>
                <w:sz w:val="24"/>
                <w:szCs w:val="24"/>
                <w:highlight w:val="none"/>
                <w:lang w:bidi="ar"/>
              </w:rPr>
              <w:t>本项目建设不会突破土地资</w:t>
            </w:r>
            <w:r>
              <w:rPr>
                <w:rFonts w:hint="default" w:ascii="Times New Roman" w:hAnsi="Times New Roman" w:cs="Times New Roman"/>
                <w:color w:val="auto"/>
                <w:sz w:val="24"/>
                <w:szCs w:val="24"/>
                <w:lang w:bidi="ar"/>
              </w:rPr>
              <w:t>源利用上线；本项目用水由</w:t>
            </w:r>
            <w:r>
              <w:rPr>
                <w:rFonts w:hint="eastAsia" w:ascii="Times New Roman" w:hAnsi="Times New Roman" w:cs="Times New Roman"/>
                <w:color w:val="auto"/>
                <w:sz w:val="24"/>
                <w:szCs w:val="24"/>
                <w:lang w:eastAsia="zh-CN" w:bidi="ar"/>
              </w:rPr>
              <w:t>当地</w:t>
            </w:r>
            <w:r>
              <w:rPr>
                <w:rFonts w:hint="default" w:ascii="Times New Roman" w:hAnsi="Times New Roman" w:cs="Times New Roman"/>
                <w:color w:val="auto"/>
                <w:sz w:val="24"/>
                <w:szCs w:val="24"/>
                <w:lang w:bidi="ar"/>
              </w:rPr>
              <w:t>供水管网供给，不取用地下水，本项目建设不会突破水资源利用上线。因此本项目建设不会突破当地资源利用上线。</w:t>
            </w:r>
          </w:p>
          <w:p w14:paraId="34A0D25A">
            <w:pPr>
              <w:keepNext w:val="0"/>
              <w:keepLines w:val="0"/>
              <w:pageBreakBefore w:val="0"/>
              <w:kinsoku/>
              <w:wordWrap/>
              <w:overflowPunct/>
              <w:topLinePunct w:val="0"/>
              <w:autoSpaceDE w:val="0"/>
              <w:autoSpaceDN w:val="0"/>
              <w:bidi w:val="0"/>
              <w:spacing w:line="500" w:lineRule="exact"/>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4）环境准入负面清单</w:t>
            </w:r>
          </w:p>
          <w:p w14:paraId="1520D496">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ascii="Times New Roman" w:hAnsi="宋体" w:eastAsia="宋体"/>
                <w:color w:val="auto"/>
                <w:sz w:val="24"/>
                <w:szCs w:val="24"/>
                <w:highlight w:val="none"/>
              </w:rPr>
            </w:pPr>
            <w:r>
              <w:rPr>
                <w:rFonts w:ascii="Times New Roman" w:hAnsi="宋体" w:eastAsia="宋体"/>
                <w:color w:val="auto"/>
                <w:sz w:val="24"/>
                <w:szCs w:val="24"/>
                <w:highlight w:val="none"/>
              </w:rPr>
              <w:t>环境准入负面清单是基于生态保护红线、环境质量底线和资源利用上线，以清单方式列出的禁止、限制等差别化环境准入条件和要求。从布局选址、资源利用效率、资源配置方式等方面入手，制定环境准入负面清单，充分发挥负面清单对产业和项目准入的指导和约束作用。</w:t>
            </w:r>
          </w:p>
          <w:p w14:paraId="79EAEFDE">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auto"/>
              <w:rPr>
                <w:rFonts w:hint="default" w:ascii="Times New Roman" w:hAnsi="Times New Roman" w:eastAsia="宋体" w:cs="Times New Roman"/>
                <w:color w:val="auto"/>
                <w:sz w:val="24"/>
                <w:highlight w:val="none"/>
                <w:lang w:eastAsia="zh-CN"/>
              </w:rPr>
            </w:pPr>
            <w:r>
              <w:rPr>
                <w:rFonts w:hint="eastAsia" w:ascii="Times New Roman" w:hAnsi="Times New Roman" w:eastAsia="宋体" w:cs="Times New Roman"/>
                <w:color w:val="auto"/>
                <w:sz w:val="24"/>
                <w:highlight w:val="none"/>
                <w:lang w:eastAsia="zh-CN"/>
              </w:rPr>
              <w:t>综上所述，项目不在环境准入负面清单中。</w:t>
            </w:r>
          </w:p>
          <w:p w14:paraId="2698C2FA">
            <w:pPr>
              <w:keepNext w:val="0"/>
              <w:keepLines w:val="0"/>
              <w:pageBreakBefore w:val="0"/>
              <w:widowControl/>
              <w:numPr>
                <w:ilvl w:val="0"/>
                <w:numId w:val="3"/>
              </w:numPr>
              <w:suppressLineNumbers w:val="0"/>
              <w:kinsoku/>
              <w:wordWrap/>
              <w:overflowPunct/>
              <w:topLinePunct w:val="0"/>
              <w:autoSpaceDE/>
              <w:autoSpaceDN/>
              <w:bidi w:val="0"/>
              <w:adjustRightInd/>
              <w:snapToGrid/>
              <w:spacing w:line="500" w:lineRule="exact"/>
              <w:ind w:firstLine="480" w:firstLineChars="200"/>
              <w:jc w:val="both"/>
              <w:textAlignment w:val="auto"/>
              <w:rPr>
                <w:rFonts w:hint="eastAsia" w:ascii="Times New Roman" w:hAnsi="Times New Roman" w:cs="Times New Roman"/>
                <w:color w:val="auto"/>
                <w:kern w:val="0"/>
                <w:sz w:val="24"/>
                <w:szCs w:val="24"/>
                <w:highlight w:val="none"/>
                <w:lang w:eastAsia="zh-CN"/>
              </w:rPr>
            </w:pPr>
            <w:r>
              <w:rPr>
                <w:rFonts w:hint="eastAsia" w:ascii="Times New Roman" w:hAnsi="Times New Roman" w:cs="Times New Roman"/>
                <w:color w:val="auto"/>
                <w:kern w:val="0"/>
                <w:sz w:val="24"/>
                <w:szCs w:val="24"/>
                <w:highlight w:val="none"/>
                <w:lang w:val="en-US" w:eastAsia="zh-CN"/>
              </w:rPr>
              <w:t>与</w:t>
            </w:r>
            <w:r>
              <w:rPr>
                <w:rFonts w:hint="eastAsia" w:ascii="Times New Roman" w:hAnsi="Times New Roman" w:cs="Times New Roman"/>
                <w:color w:val="auto"/>
                <w:kern w:val="0"/>
                <w:sz w:val="24"/>
                <w:szCs w:val="24"/>
                <w:highlight w:val="none"/>
              </w:rPr>
              <w:t>《</w:t>
            </w:r>
            <w:r>
              <w:rPr>
                <w:rFonts w:hint="default" w:ascii="Times New Roman" w:hAnsi="Times New Roman" w:cs="Times New Roman"/>
                <w:color w:val="auto"/>
                <w:kern w:val="0"/>
                <w:sz w:val="24"/>
                <w:szCs w:val="24"/>
                <w:highlight w:val="none"/>
                <w:lang w:val="en-US" w:eastAsia="zh-CN"/>
              </w:rPr>
              <w:t>廊坊市区域空间生态环境评价暨</w:t>
            </w:r>
            <w:r>
              <w:rPr>
                <w:rFonts w:hint="eastAsia" w:ascii="Times New Roman" w:hAnsi="Times New Roman" w:cs="Times New Roman"/>
                <w:color w:val="auto"/>
                <w:kern w:val="0"/>
                <w:sz w:val="24"/>
                <w:szCs w:val="24"/>
                <w:highlight w:val="none"/>
                <w:lang w:val="en-US" w:eastAsia="zh-CN"/>
              </w:rPr>
              <w:t>“</w:t>
            </w:r>
            <w:r>
              <w:rPr>
                <w:rFonts w:hint="default" w:ascii="Times New Roman" w:hAnsi="Times New Roman" w:cs="Times New Roman"/>
                <w:color w:val="auto"/>
                <w:kern w:val="0"/>
                <w:sz w:val="24"/>
                <w:szCs w:val="24"/>
                <w:highlight w:val="none"/>
                <w:lang w:val="en-US" w:eastAsia="zh-CN"/>
              </w:rPr>
              <w:t>三线一单</w:t>
            </w:r>
            <w:r>
              <w:rPr>
                <w:rFonts w:hint="eastAsia" w:ascii="Times New Roman" w:hAnsi="Times New Roman" w:cs="Times New Roman"/>
                <w:color w:val="auto"/>
                <w:kern w:val="0"/>
                <w:sz w:val="24"/>
                <w:szCs w:val="24"/>
                <w:highlight w:val="none"/>
                <w:lang w:val="en-US" w:eastAsia="zh-CN"/>
              </w:rPr>
              <w:t>”</w:t>
            </w:r>
            <w:r>
              <w:rPr>
                <w:rFonts w:hint="default" w:ascii="Times New Roman" w:hAnsi="Times New Roman" w:cs="Times New Roman"/>
                <w:color w:val="auto"/>
                <w:kern w:val="0"/>
                <w:sz w:val="24"/>
                <w:szCs w:val="24"/>
                <w:highlight w:val="none"/>
                <w:lang w:val="en-US" w:eastAsia="zh-CN"/>
              </w:rPr>
              <w:t>生态环境准入清单</w:t>
            </w:r>
            <w:r>
              <w:rPr>
                <w:rFonts w:hint="eastAsia" w:ascii="Times New Roman" w:hAnsi="Times New Roman" w:cs="Times New Roman"/>
                <w:color w:val="auto"/>
                <w:kern w:val="0"/>
                <w:sz w:val="24"/>
                <w:szCs w:val="24"/>
                <w:highlight w:val="none"/>
              </w:rPr>
              <w:t>》</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2024年版</w:t>
            </w:r>
            <w:r>
              <w:rPr>
                <w:rFonts w:hint="eastAsia" w:ascii="Times New Roman" w:hAnsi="Times New Roman" w:cs="Times New Roman"/>
                <w:color w:val="auto"/>
                <w:kern w:val="0"/>
                <w:sz w:val="24"/>
                <w:szCs w:val="24"/>
                <w:highlight w:val="none"/>
                <w:lang w:eastAsia="zh-CN"/>
              </w:rPr>
              <w:t>）符合性分析</w:t>
            </w:r>
          </w:p>
          <w:p w14:paraId="76C77244">
            <w:pPr>
              <w:keepNext w:val="0"/>
              <w:keepLines w:val="0"/>
              <w:pageBreakBefore w:val="0"/>
              <w:widowControl/>
              <w:numPr>
                <w:ilvl w:val="0"/>
                <w:numId w:val="0"/>
              </w:numPr>
              <w:suppressLineNumbers w:val="0"/>
              <w:kinsoku/>
              <w:wordWrap/>
              <w:overflowPunct/>
              <w:topLinePunct w:val="0"/>
              <w:autoSpaceDE/>
              <w:autoSpaceDN/>
              <w:bidi w:val="0"/>
              <w:adjustRightInd/>
              <w:snapToGrid/>
              <w:spacing w:line="500" w:lineRule="exact"/>
              <w:jc w:val="both"/>
              <w:textAlignment w:val="auto"/>
              <w:rPr>
                <w:rFonts w:hint="eastAsia" w:ascii="Times New Roman" w:hAnsi="Times New Roman" w:cs="Times New Roman"/>
                <w:color w:val="auto"/>
                <w:kern w:val="0"/>
                <w:sz w:val="24"/>
                <w:szCs w:val="24"/>
                <w:highlight w:val="none"/>
                <w:lang w:val="en-US" w:eastAsia="zh-CN"/>
              </w:rPr>
            </w:pPr>
          </w:p>
          <w:p w14:paraId="6D3FA340">
            <w:pPr>
              <w:keepNext w:val="0"/>
              <w:keepLines w:val="0"/>
              <w:pageBreakBefore w:val="0"/>
              <w:widowControl/>
              <w:numPr>
                <w:ilvl w:val="0"/>
                <w:numId w:val="0"/>
              </w:numPr>
              <w:suppressLineNumbers w:val="0"/>
              <w:kinsoku/>
              <w:wordWrap/>
              <w:overflowPunct/>
              <w:topLinePunct w:val="0"/>
              <w:autoSpaceDE/>
              <w:autoSpaceDN/>
              <w:bidi w:val="0"/>
              <w:adjustRightInd/>
              <w:snapToGrid/>
              <w:spacing w:line="500" w:lineRule="exact"/>
              <w:jc w:val="both"/>
              <w:textAlignment w:val="auto"/>
              <w:rPr>
                <w:rFonts w:hint="eastAsia" w:ascii="Times New Roman" w:hAnsi="Times New Roman" w:cs="Times New Roman"/>
                <w:color w:val="auto"/>
                <w:kern w:val="0"/>
                <w:sz w:val="24"/>
                <w:szCs w:val="24"/>
                <w:highlight w:val="none"/>
                <w:lang w:val="en-US" w:eastAsia="zh-CN"/>
              </w:rPr>
            </w:pPr>
          </w:p>
          <w:p w14:paraId="3D95CFDC">
            <w:pPr>
              <w:autoSpaceDE w:val="0"/>
              <w:autoSpaceDN w:val="0"/>
              <w:adjustRightInd w:val="0"/>
              <w:snapToGrid w:val="0"/>
              <w:spacing w:line="480" w:lineRule="exact"/>
              <w:jc w:val="center"/>
              <w:rPr>
                <w:rFonts w:hint="default" w:ascii="Times New Roman" w:hAnsi="Times New Roman" w:cs="Times New Roman"/>
                <w:b/>
                <w:bCs/>
                <w:color w:val="auto"/>
                <w:kern w:val="2"/>
                <w:sz w:val="24"/>
                <w:szCs w:val="24"/>
              </w:rPr>
            </w:pPr>
            <w:r>
              <w:rPr>
                <w:rFonts w:hint="eastAsia" w:ascii="Times New Roman" w:hAnsi="Times New Roman" w:eastAsia="宋体" w:cs="Times New Roman"/>
                <w:color w:val="auto"/>
                <w:sz w:val="24"/>
                <w:highlight w:val="none"/>
                <w:lang w:val="en-US" w:eastAsia="zh-CN"/>
              </w:rPr>
              <w:drawing>
                <wp:anchor distT="0" distB="0" distL="114300" distR="114300" simplePos="0" relativeHeight="251674624" behindDoc="1" locked="0" layoutInCell="1" allowOverlap="1">
                  <wp:simplePos x="0" y="0"/>
                  <wp:positionH relativeFrom="column">
                    <wp:posOffset>-1905</wp:posOffset>
                  </wp:positionH>
                  <wp:positionV relativeFrom="paragraph">
                    <wp:posOffset>19050</wp:posOffset>
                  </wp:positionV>
                  <wp:extent cx="4665980" cy="6430645"/>
                  <wp:effectExtent l="0" t="0" r="1270" b="8255"/>
                  <wp:wrapNone/>
                  <wp:docPr id="11" name="图片 10" descr="1716425657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descr="1716425657237"/>
                          <pic:cNvPicPr>
                            <a:picLocks noChangeAspect="1"/>
                          </pic:cNvPicPr>
                        </pic:nvPicPr>
                        <pic:blipFill>
                          <a:blip r:embed="rId11"/>
                          <a:stretch>
                            <a:fillRect/>
                          </a:stretch>
                        </pic:blipFill>
                        <pic:spPr>
                          <a:xfrm>
                            <a:off x="0" y="0"/>
                            <a:ext cx="4665980" cy="6430645"/>
                          </a:xfrm>
                          <a:prstGeom prst="rect">
                            <a:avLst/>
                          </a:prstGeom>
                          <a:noFill/>
                          <a:ln>
                            <a:noFill/>
                          </a:ln>
                        </pic:spPr>
                      </pic:pic>
                    </a:graphicData>
                  </a:graphic>
                </wp:anchor>
              </w:drawing>
            </w:r>
          </w:p>
          <w:p w14:paraId="169B22F1">
            <w:pPr>
              <w:autoSpaceDE w:val="0"/>
              <w:autoSpaceDN w:val="0"/>
              <w:adjustRightInd w:val="0"/>
              <w:snapToGrid w:val="0"/>
              <w:spacing w:line="480" w:lineRule="exact"/>
              <w:jc w:val="center"/>
              <w:rPr>
                <w:rFonts w:hint="default" w:ascii="Times New Roman" w:hAnsi="Times New Roman" w:cs="Times New Roman"/>
                <w:b/>
                <w:bCs/>
                <w:color w:val="auto"/>
                <w:kern w:val="2"/>
                <w:sz w:val="24"/>
                <w:szCs w:val="24"/>
              </w:rPr>
            </w:pPr>
          </w:p>
          <w:p w14:paraId="38761506">
            <w:pPr>
              <w:autoSpaceDE w:val="0"/>
              <w:autoSpaceDN w:val="0"/>
              <w:adjustRightInd w:val="0"/>
              <w:snapToGrid w:val="0"/>
              <w:spacing w:line="480" w:lineRule="exact"/>
              <w:jc w:val="center"/>
              <w:rPr>
                <w:rFonts w:hint="default" w:ascii="Times New Roman" w:hAnsi="Times New Roman" w:cs="Times New Roman"/>
                <w:b/>
                <w:bCs/>
                <w:color w:val="auto"/>
                <w:kern w:val="2"/>
                <w:sz w:val="24"/>
                <w:szCs w:val="24"/>
              </w:rPr>
            </w:pPr>
          </w:p>
          <w:p w14:paraId="6D5E3075">
            <w:pPr>
              <w:autoSpaceDE w:val="0"/>
              <w:autoSpaceDN w:val="0"/>
              <w:adjustRightInd w:val="0"/>
              <w:snapToGrid w:val="0"/>
              <w:spacing w:line="480" w:lineRule="exact"/>
              <w:jc w:val="center"/>
              <w:rPr>
                <w:rFonts w:hint="default" w:ascii="Times New Roman" w:hAnsi="Times New Roman" w:cs="Times New Roman"/>
                <w:b/>
                <w:bCs/>
                <w:color w:val="auto"/>
                <w:kern w:val="2"/>
                <w:sz w:val="24"/>
                <w:szCs w:val="24"/>
              </w:rPr>
            </w:pPr>
          </w:p>
          <w:p w14:paraId="344A0282">
            <w:pPr>
              <w:autoSpaceDE w:val="0"/>
              <w:autoSpaceDN w:val="0"/>
              <w:adjustRightInd w:val="0"/>
              <w:snapToGrid w:val="0"/>
              <w:spacing w:line="480" w:lineRule="exact"/>
              <w:jc w:val="center"/>
              <w:rPr>
                <w:rFonts w:hint="default" w:ascii="Times New Roman" w:hAnsi="Times New Roman" w:cs="Times New Roman"/>
                <w:b/>
                <w:bCs/>
                <w:color w:val="auto"/>
                <w:kern w:val="2"/>
                <w:sz w:val="24"/>
                <w:szCs w:val="24"/>
              </w:rPr>
            </w:pPr>
          </w:p>
          <w:p w14:paraId="1F66A389">
            <w:pPr>
              <w:autoSpaceDE w:val="0"/>
              <w:autoSpaceDN w:val="0"/>
              <w:adjustRightInd w:val="0"/>
              <w:snapToGrid w:val="0"/>
              <w:spacing w:line="480" w:lineRule="exact"/>
              <w:jc w:val="center"/>
              <w:rPr>
                <w:rFonts w:hint="default" w:ascii="Times New Roman" w:hAnsi="Times New Roman" w:cs="Times New Roman"/>
                <w:b/>
                <w:bCs/>
                <w:color w:val="auto"/>
                <w:kern w:val="2"/>
                <w:sz w:val="24"/>
                <w:szCs w:val="24"/>
              </w:rPr>
            </w:pPr>
          </w:p>
          <w:p w14:paraId="2B7A21BA">
            <w:pPr>
              <w:autoSpaceDE w:val="0"/>
              <w:autoSpaceDN w:val="0"/>
              <w:adjustRightInd w:val="0"/>
              <w:snapToGrid w:val="0"/>
              <w:spacing w:line="480" w:lineRule="exact"/>
              <w:jc w:val="center"/>
              <w:rPr>
                <w:rFonts w:hint="default" w:ascii="Times New Roman" w:hAnsi="Times New Roman" w:cs="Times New Roman"/>
                <w:b/>
                <w:bCs/>
                <w:color w:val="auto"/>
                <w:kern w:val="2"/>
                <w:sz w:val="24"/>
                <w:szCs w:val="24"/>
              </w:rPr>
            </w:pPr>
          </w:p>
          <w:p w14:paraId="628D8F89">
            <w:pPr>
              <w:autoSpaceDE w:val="0"/>
              <w:autoSpaceDN w:val="0"/>
              <w:adjustRightInd w:val="0"/>
              <w:snapToGrid w:val="0"/>
              <w:spacing w:line="480" w:lineRule="exact"/>
              <w:jc w:val="center"/>
              <w:rPr>
                <w:rFonts w:hint="default" w:ascii="Times New Roman" w:hAnsi="Times New Roman" w:cs="Times New Roman"/>
                <w:b/>
                <w:bCs/>
                <w:color w:val="auto"/>
                <w:kern w:val="2"/>
                <w:sz w:val="24"/>
                <w:szCs w:val="24"/>
              </w:rPr>
            </w:pPr>
          </w:p>
          <w:p w14:paraId="3B783C1F">
            <w:pPr>
              <w:autoSpaceDE w:val="0"/>
              <w:autoSpaceDN w:val="0"/>
              <w:adjustRightInd w:val="0"/>
              <w:snapToGrid w:val="0"/>
              <w:spacing w:line="480" w:lineRule="exact"/>
              <w:jc w:val="center"/>
              <w:rPr>
                <w:rFonts w:hint="default" w:ascii="Times New Roman" w:hAnsi="Times New Roman" w:cs="Times New Roman"/>
                <w:b/>
                <w:bCs/>
                <w:color w:val="auto"/>
                <w:kern w:val="2"/>
                <w:sz w:val="24"/>
                <w:szCs w:val="24"/>
              </w:rPr>
            </w:pPr>
          </w:p>
          <w:p w14:paraId="201DD24D">
            <w:pPr>
              <w:autoSpaceDE w:val="0"/>
              <w:autoSpaceDN w:val="0"/>
              <w:adjustRightInd w:val="0"/>
              <w:snapToGrid w:val="0"/>
              <w:spacing w:line="480" w:lineRule="exact"/>
              <w:jc w:val="center"/>
              <w:rPr>
                <w:rFonts w:hint="default" w:ascii="Times New Roman" w:hAnsi="Times New Roman" w:cs="Times New Roman"/>
                <w:b/>
                <w:bCs/>
                <w:color w:val="auto"/>
                <w:kern w:val="2"/>
                <w:sz w:val="24"/>
                <w:szCs w:val="24"/>
              </w:rPr>
            </w:pPr>
            <w:r>
              <w:rPr>
                <w:sz w:val="24"/>
              </w:rPr>
              <mc:AlternateContent>
                <mc:Choice Requires="wps">
                  <w:drawing>
                    <wp:anchor distT="0" distB="0" distL="114300" distR="114300" simplePos="0" relativeHeight="251672576" behindDoc="0" locked="0" layoutInCell="1" allowOverlap="1">
                      <wp:simplePos x="0" y="0"/>
                      <wp:positionH relativeFrom="column">
                        <wp:posOffset>1722120</wp:posOffset>
                      </wp:positionH>
                      <wp:positionV relativeFrom="paragraph">
                        <wp:posOffset>235585</wp:posOffset>
                      </wp:positionV>
                      <wp:extent cx="196850" cy="178435"/>
                      <wp:effectExtent l="0" t="0" r="12700" b="12065"/>
                      <wp:wrapNone/>
                      <wp:docPr id="12" name="五角星 12"/>
                      <wp:cNvGraphicFramePr/>
                      <a:graphic xmlns:a="http://schemas.openxmlformats.org/drawingml/2006/main">
                        <a:graphicData uri="http://schemas.microsoft.com/office/word/2010/wordprocessingShape">
                          <wps:wsp>
                            <wps:cNvSpPr/>
                            <wps:spPr>
                              <a:xfrm>
                                <a:off x="3468370" y="5520055"/>
                                <a:ext cx="196850" cy="178435"/>
                              </a:xfrm>
                              <a:prstGeom prst="star5">
                                <a:avLst/>
                              </a:prstGeom>
                              <a:solidFill>
                                <a:srgbClr val="FF0000"/>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135.6pt;margin-top:18.55pt;height:14.05pt;width:15.5pt;z-index:251672576;v-text-anchor:middle;mso-width-relative:page;mso-height-relative:page;" fillcolor="#FF0000" filled="t" stroked="f" coordsize="196850,178435" o:gfxdata="UEsDBAoAAAAAAIdO4kAAAAAAAAAAAAAAAAAEAAAAZHJzL1BLAwQUAAAACACHTuJAHk3Q7dcAAAAJ&#10;AQAADwAAAGRycy9kb3ducmV2LnhtbE2PPU/DMBCGdyT+g3VIbNQfEW0U4nRARUJiIu1QNje+JlHj&#10;cxS7Tfj3mAnGu3v03vOW28UN7IZT6D1pkCsBDKnxtqdWw2H/9pQDC9GQNYMn1PCNAbbV/V1pCutn&#10;+sRbHVuWQigURkMX41hwHpoOnQkrPyKl29lPzsQ0Ti23k5lTuBu4EmLNnekpfejMiK8dNpf66jTw&#10;HR5neVzeafEfdb7bN1n7lWv9+CDFC7CIS/yD4Vc/qUOVnE7+SjawQYPaSJVQDdlGAktAJlRanDSs&#10;nxXwquT/G1Q/UEsDBBQAAAAIAIdO4kBx5JTGfgIAANwEAAAOAAAAZHJzL2Uyb0RvYy54bWytVMtu&#10;EzEU3SPxD5b3dJI006RRJ1XUKAipgkoFsXY8nowlv7CdR/kMxIIdS/6B70GIz+DYM31QWHRBFs69&#10;vnfO8T2+12fnB63ITvggrano8GhAiTDc1tJsKvru7erFlJIQmamZskZU9EYEej5//uxs72ZiZFur&#10;auEJQEyY7V1F2xjdrCgCb4Vm4cg6YRBsrNcswvWbovZsD3StitFgcFLsra+dt1yEgN1lF6Q9on8K&#10;oG0aycXS8q0WJnaoXigWUVJopQt0nk/bNILHN00TRCSqoqg05hUksNdpLeZnbLbxzLWS90dgTznC&#10;o5o0kwakd1BLFhnZevkXlJbc22CbeMStLrpCsiKoYjh4pM11y5zItUDq4O5ED/8Plr/eXXkia3TC&#10;iBLDNG78x/fPv759+vnlK8EeBNq7MEPetbvyvRdgpmoPjdfpH3WQQ0WPxyfT4wmkvaloWeKyy7IT&#10;WBwi4UgYnp5MS8Q5EoaT6fg4x4t7IOdDfCmsJsmoKPrQl1lXtrsMEezIvc1JxMEqWa+kUtnxm/WF&#10;8mTHcNmr1QC/RI9P/khThuxTuROECWdo4QatA1M7yBDMhhKmNpgNHn3mNjYxAKnjXrLQdhwZtqtQ&#10;y4ipUFJXdJqIb5mVwQGSgJ1kyVrb+gaae9s1Y3B8JVHtJQvxinl0H46F+YxvsDTK4qy2tyhprf/4&#10;r/2Uj6ZAlJI9uhl1fNgyLyhRrwza5XQ4HgM2ZmdcTkZw/MPI+mHEbPWFhYZDvASOZzPlR3VrNt7q&#10;9xjjRWJFiBkO7k6x3rmI3ZThIeBischpaHnH4qW5djyBJ0GNXWyjbWS+23t1etHQ9Pn++gFNU/XQ&#10;z1n3j9L8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B5N0O3XAAAACQEAAA8AAAAAAAAAAQAgAAAA&#10;IgAAAGRycy9kb3ducmV2LnhtbFBLAQIUABQAAAAIAIdO4kBx5JTGfgIAANwEAAAOAAAAAAAAAAEA&#10;IAAAACYBAABkcnMvZTJvRG9jLnhtbFBLBQYAAAAABgAGAFkBAAAWBgAAAAA=&#10;" path="m0,68155l75190,68156,98425,0,121659,68156,196849,68155,136019,110278,159254,178434,98425,136311,37595,178434,60830,110278xe">
                      <v:path o:connectlocs="98425,0;0,68155;37595,178434;159254,178434;196849,68155" o:connectangles="247,164,82,82,0"/>
                      <v:fill on="t" focussize="0,0"/>
                      <v:stroke on="f" weight="1pt" miterlimit="8" joinstyle="miter"/>
                      <v:imagedata o:title=""/>
                      <o:lock v:ext="edit" aspectratio="f"/>
                    </v:shape>
                  </w:pict>
                </mc:Fallback>
              </mc:AlternateContent>
            </w:r>
            <w:r>
              <w:rPr>
                <w:sz w:val="24"/>
              </w:rPr>
              <mc:AlternateContent>
                <mc:Choice Requires="wps">
                  <w:drawing>
                    <wp:anchor distT="0" distB="0" distL="114300" distR="114300" simplePos="0" relativeHeight="251673600" behindDoc="0" locked="0" layoutInCell="1" allowOverlap="1">
                      <wp:simplePos x="0" y="0"/>
                      <wp:positionH relativeFrom="column">
                        <wp:posOffset>1904365</wp:posOffset>
                      </wp:positionH>
                      <wp:positionV relativeFrom="paragraph">
                        <wp:posOffset>163830</wp:posOffset>
                      </wp:positionV>
                      <wp:extent cx="1291590" cy="512445"/>
                      <wp:effectExtent l="0" t="0" r="0" b="0"/>
                      <wp:wrapNone/>
                      <wp:docPr id="14" name="文本框 14"/>
                      <wp:cNvGraphicFramePr/>
                      <a:graphic xmlns:a="http://schemas.openxmlformats.org/drawingml/2006/main">
                        <a:graphicData uri="http://schemas.microsoft.com/office/word/2010/wordprocessingShape">
                          <wps:wsp>
                            <wps:cNvSpPr txBox="1"/>
                            <wps:spPr>
                              <a:xfrm>
                                <a:off x="3742055" y="5608955"/>
                                <a:ext cx="1291590" cy="5124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8A5200">
                                  <w:pPr>
                                    <w:rPr>
                                      <w:rFonts w:hint="eastAsia" w:eastAsia="宋体"/>
                                      <w:lang w:eastAsia="zh-CN"/>
                                    </w:rPr>
                                  </w:pPr>
                                  <w:r>
                                    <w:rPr>
                                      <w:rFonts w:hint="eastAsia"/>
                                      <w:lang w:eastAsia="zh-CN"/>
                                    </w:rPr>
                                    <w:t>项目所在地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9.95pt;margin-top:12.9pt;height:40.35pt;width:101.7pt;z-index:251673600;mso-width-relative:page;mso-height-relative:page;" filled="f" stroked="f" coordsize="21600,21600" o:gfxdata="UEsDBAoAAAAAAIdO4kAAAAAAAAAAAAAAAAAEAAAAZHJzL1BLAwQUAAAACACHTuJA9wuYDNoAAAAK&#10;AQAADwAAAGRycy9kb3ducmV2LnhtbE2PTU/DMAyG70j8h8hI3FiyTp3W0nRClSYkBIeNXbi5jddW&#10;NElpsg/49ZgTu9nyo9fPW6wvdhAnmkLvnYb5TIEg13jTu1bD/n3zsAIRIjqDg3ek4ZsCrMvbmwJz&#10;489uS6ddbAWHuJCjhi7GMZcyNB1ZDDM/kuPbwU8WI69TK82EZw63g0yUWkqLveMPHY5UddR87o5W&#10;w0u1ecNtndjVz1A9vx6exq/9R6r1/d1cPYKIdIn/MPzpszqU7FT7ozNBDBqSLMsY5SHlCgykarEA&#10;UTOplinIspDXFcpfUEsDBBQAAAAIAIdO4kDh9VvHSAIAAHQEAAAOAAAAZHJzL2Uyb0RvYy54bWyt&#10;VMGO2jAQvVfqP1i+lwQ2sAsirOgiqkqr7kq06tk4Dolke1zbkNAPaP+gp15673fxHR07wKJtD3vo&#10;JYw9z2/83oyZ3rZKkp2wrgad034vpURoDkWtNzn99HH55oYS55kumAQtcroXjt7OXr+aNmYiBlCB&#10;LIQlSKLdpDE5rbw3kyRxvBKKuR4YoTFZglXM49JuksKyBtmVTAZpOkoasIWxwIVzuLvokvTIaF9C&#10;CGVZc7EAvlVC+47VCsk8SnJVbRydxduWpeD+oSyd8ETmFJX6+MUiGK/DN5lN2WRjmalqfrwCe8kV&#10;nmlSrNZY9Ey1YJ6Rra3/olI1t+Cg9D0OKumEREdQRT995s2qYkZELWi1M2fT3f+j5R92j5bUBU5C&#10;RolmCjt++PH98PP34dc3gntoUGPcBHErg0jfvoUWwad9h5tBd1taFX5REcH81XU2SIdDSvY5HY7S&#10;mzHG0WrResIDwWDcH46xCzwg+oMsi4DkiclY598JUCQEObXYyugw2907j1wIPUFCYQ3LWspYQ2rS&#10;5HR0NUzjgXMGT0iNB4Oe7t4h8u26PYpcQ7FHjRa6MXGGL2ssfs+cf2QW5wLviy/HP+CnlIBF4BhR&#10;UoH9+q/9gMd2YZaSBucsp+7LlllBiXyvsZHjfpaFwYyLbHg9wIW9zKwvM3qr7gBHuY9v1PAYBryX&#10;p7C0oD7jA5uHqphimmPtnPpTeOe76ccHysV8HkE4iob5e70yPFB3ds63Hso6Oh1s6rw5uofDGBtw&#10;fDhh2i/XEfX0ZzH7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PcLmAzaAAAACgEAAA8AAAAAAAAA&#10;AQAgAAAAIgAAAGRycy9kb3ducmV2LnhtbFBLAQIUABQAAAAIAIdO4kDh9VvHSAIAAHQEAAAOAAAA&#10;AAAAAAEAIAAAACkBAABkcnMvZTJvRG9jLnhtbFBLBQYAAAAABgAGAFkBAADjBQAAAAA=&#10;">
                      <v:fill on="f" focussize="0,0"/>
                      <v:stroke on="f" weight="0.5pt"/>
                      <v:imagedata o:title=""/>
                      <o:lock v:ext="edit" aspectratio="f"/>
                      <v:textbox>
                        <w:txbxContent>
                          <w:p w14:paraId="338A5200">
                            <w:pPr>
                              <w:rPr>
                                <w:rFonts w:hint="eastAsia" w:eastAsia="宋体"/>
                                <w:lang w:eastAsia="zh-CN"/>
                              </w:rPr>
                            </w:pPr>
                            <w:r>
                              <w:rPr>
                                <w:rFonts w:hint="eastAsia"/>
                                <w:lang w:eastAsia="zh-CN"/>
                              </w:rPr>
                              <w:t>项目所在地</w:t>
                            </w:r>
                          </w:p>
                        </w:txbxContent>
                      </v:textbox>
                    </v:shape>
                  </w:pict>
                </mc:Fallback>
              </mc:AlternateContent>
            </w:r>
          </w:p>
          <w:p w14:paraId="6C27866D">
            <w:pPr>
              <w:autoSpaceDE w:val="0"/>
              <w:autoSpaceDN w:val="0"/>
              <w:adjustRightInd w:val="0"/>
              <w:snapToGrid w:val="0"/>
              <w:spacing w:line="480" w:lineRule="exact"/>
              <w:jc w:val="center"/>
              <w:rPr>
                <w:rFonts w:hint="default" w:ascii="Times New Roman" w:hAnsi="Times New Roman" w:cs="Times New Roman"/>
                <w:b/>
                <w:bCs/>
                <w:color w:val="auto"/>
                <w:kern w:val="2"/>
                <w:sz w:val="24"/>
                <w:szCs w:val="24"/>
              </w:rPr>
            </w:pPr>
          </w:p>
          <w:p w14:paraId="1DB32873">
            <w:pPr>
              <w:autoSpaceDE w:val="0"/>
              <w:autoSpaceDN w:val="0"/>
              <w:adjustRightInd w:val="0"/>
              <w:snapToGrid w:val="0"/>
              <w:spacing w:line="480" w:lineRule="exact"/>
              <w:jc w:val="center"/>
              <w:rPr>
                <w:rFonts w:hint="default" w:ascii="Times New Roman" w:hAnsi="Times New Roman" w:cs="Times New Roman"/>
                <w:b/>
                <w:bCs/>
                <w:color w:val="auto"/>
                <w:kern w:val="2"/>
                <w:sz w:val="24"/>
                <w:szCs w:val="24"/>
              </w:rPr>
            </w:pPr>
          </w:p>
          <w:p w14:paraId="51A10AF6">
            <w:pPr>
              <w:autoSpaceDE w:val="0"/>
              <w:autoSpaceDN w:val="0"/>
              <w:adjustRightInd w:val="0"/>
              <w:snapToGrid w:val="0"/>
              <w:spacing w:line="480" w:lineRule="exact"/>
              <w:jc w:val="center"/>
              <w:rPr>
                <w:rFonts w:hint="default" w:ascii="Times New Roman" w:hAnsi="Times New Roman" w:cs="Times New Roman"/>
                <w:b/>
                <w:bCs/>
                <w:color w:val="auto"/>
                <w:kern w:val="2"/>
                <w:sz w:val="24"/>
                <w:szCs w:val="24"/>
              </w:rPr>
            </w:pPr>
          </w:p>
          <w:p w14:paraId="55910879">
            <w:pPr>
              <w:autoSpaceDE w:val="0"/>
              <w:autoSpaceDN w:val="0"/>
              <w:adjustRightInd w:val="0"/>
              <w:snapToGrid w:val="0"/>
              <w:spacing w:line="480" w:lineRule="exact"/>
              <w:jc w:val="center"/>
              <w:rPr>
                <w:rFonts w:hint="default" w:ascii="Times New Roman" w:hAnsi="Times New Roman" w:cs="Times New Roman"/>
                <w:b/>
                <w:bCs/>
                <w:color w:val="auto"/>
                <w:kern w:val="2"/>
                <w:sz w:val="24"/>
                <w:szCs w:val="24"/>
              </w:rPr>
            </w:pPr>
          </w:p>
          <w:p w14:paraId="4A92115E">
            <w:pPr>
              <w:autoSpaceDE w:val="0"/>
              <w:autoSpaceDN w:val="0"/>
              <w:adjustRightInd w:val="0"/>
              <w:snapToGrid w:val="0"/>
              <w:spacing w:line="480" w:lineRule="exact"/>
              <w:jc w:val="center"/>
              <w:rPr>
                <w:rFonts w:hint="default" w:ascii="Times New Roman" w:hAnsi="Times New Roman" w:cs="Times New Roman"/>
                <w:b/>
                <w:bCs/>
                <w:color w:val="auto"/>
                <w:kern w:val="2"/>
                <w:sz w:val="24"/>
                <w:szCs w:val="24"/>
              </w:rPr>
            </w:pPr>
          </w:p>
          <w:p w14:paraId="19DB4F78">
            <w:pPr>
              <w:autoSpaceDE w:val="0"/>
              <w:autoSpaceDN w:val="0"/>
              <w:adjustRightInd w:val="0"/>
              <w:snapToGrid w:val="0"/>
              <w:spacing w:line="480" w:lineRule="exact"/>
              <w:jc w:val="center"/>
              <w:rPr>
                <w:rFonts w:hint="default" w:ascii="Times New Roman" w:hAnsi="Times New Roman" w:cs="Times New Roman"/>
                <w:b/>
                <w:bCs/>
                <w:color w:val="auto"/>
                <w:kern w:val="2"/>
                <w:sz w:val="24"/>
                <w:szCs w:val="24"/>
              </w:rPr>
            </w:pPr>
          </w:p>
          <w:p w14:paraId="5BDBCCF1">
            <w:pPr>
              <w:autoSpaceDE w:val="0"/>
              <w:autoSpaceDN w:val="0"/>
              <w:adjustRightInd w:val="0"/>
              <w:snapToGrid w:val="0"/>
              <w:spacing w:line="480" w:lineRule="exact"/>
              <w:jc w:val="center"/>
              <w:rPr>
                <w:rFonts w:hint="default" w:ascii="Times New Roman" w:hAnsi="Times New Roman" w:cs="Times New Roman"/>
                <w:b/>
                <w:bCs/>
                <w:color w:val="auto"/>
                <w:kern w:val="2"/>
                <w:sz w:val="24"/>
                <w:szCs w:val="24"/>
              </w:rPr>
            </w:pPr>
          </w:p>
          <w:p w14:paraId="2F14F2F9">
            <w:pPr>
              <w:autoSpaceDE w:val="0"/>
              <w:autoSpaceDN w:val="0"/>
              <w:adjustRightInd w:val="0"/>
              <w:snapToGrid w:val="0"/>
              <w:spacing w:line="480" w:lineRule="exact"/>
              <w:jc w:val="center"/>
              <w:rPr>
                <w:rFonts w:hint="default" w:ascii="Times New Roman" w:hAnsi="Times New Roman" w:cs="Times New Roman"/>
                <w:b/>
                <w:bCs/>
                <w:color w:val="auto"/>
                <w:kern w:val="2"/>
                <w:sz w:val="24"/>
                <w:szCs w:val="24"/>
              </w:rPr>
            </w:pPr>
          </w:p>
          <w:p w14:paraId="1715A6B4">
            <w:pPr>
              <w:autoSpaceDE w:val="0"/>
              <w:autoSpaceDN w:val="0"/>
              <w:adjustRightInd w:val="0"/>
              <w:snapToGrid w:val="0"/>
              <w:spacing w:line="480" w:lineRule="exact"/>
              <w:jc w:val="center"/>
              <w:rPr>
                <w:rFonts w:hint="default" w:ascii="Times New Roman" w:hAnsi="Times New Roman" w:cs="Times New Roman"/>
                <w:b/>
                <w:bCs/>
                <w:color w:val="auto"/>
                <w:kern w:val="2"/>
                <w:sz w:val="24"/>
                <w:szCs w:val="24"/>
              </w:rPr>
            </w:pPr>
          </w:p>
          <w:p w14:paraId="74ACD3AB">
            <w:pPr>
              <w:autoSpaceDE w:val="0"/>
              <w:autoSpaceDN w:val="0"/>
              <w:adjustRightInd w:val="0"/>
              <w:snapToGrid w:val="0"/>
              <w:spacing w:line="480" w:lineRule="exact"/>
              <w:jc w:val="center"/>
              <w:rPr>
                <w:rFonts w:hint="default" w:ascii="Times New Roman" w:hAnsi="Times New Roman" w:cs="Times New Roman"/>
                <w:b/>
                <w:bCs/>
                <w:color w:val="auto"/>
                <w:kern w:val="2"/>
                <w:sz w:val="24"/>
                <w:szCs w:val="24"/>
              </w:rPr>
            </w:pPr>
          </w:p>
          <w:p w14:paraId="71B3AEC1">
            <w:pPr>
              <w:autoSpaceDE w:val="0"/>
              <w:autoSpaceDN w:val="0"/>
              <w:adjustRightInd w:val="0"/>
              <w:snapToGrid w:val="0"/>
              <w:spacing w:line="480" w:lineRule="exact"/>
              <w:jc w:val="center"/>
              <w:rPr>
                <w:rFonts w:hint="default" w:ascii="Times New Roman" w:hAnsi="Times New Roman" w:cs="Times New Roman"/>
                <w:b/>
                <w:bCs/>
                <w:color w:val="auto"/>
                <w:kern w:val="2"/>
                <w:sz w:val="24"/>
                <w:szCs w:val="24"/>
              </w:rPr>
            </w:pPr>
          </w:p>
          <w:p w14:paraId="7CE79337">
            <w:pPr>
              <w:autoSpaceDE w:val="0"/>
              <w:autoSpaceDN w:val="0"/>
              <w:adjustRightInd w:val="0"/>
              <w:snapToGrid w:val="0"/>
              <w:spacing w:line="480" w:lineRule="exact"/>
              <w:jc w:val="center"/>
              <w:rPr>
                <w:rFonts w:hint="default" w:ascii="Times New Roman" w:hAnsi="Times New Roman" w:cs="Times New Roman"/>
                <w:b/>
                <w:bCs/>
                <w:color w:val="auto"/>
                <w:kern w:val="2"/>
                <w:sz w:val="24"/>
                <w:szCs w:val="24"/>
              </w:rPr>
            </w:pPr>
          </w:p>
          <w:p w14:paraId="6066E605">
            <w:pPr>
              <w:pStyle w:val="4"/>
              <w:ind w:firstLine="0" w:firstLineChars="0"/>
              <w:jc w:val="center"/>
              <w:rPr>
                <w:rFonts w:hint="default" w:ascii="Times New Roman" w:hAnsi="Times New Roman" w:cs="Times New Roman" w:eastAsiaTheme="majorEastAsia"/>
                <w:color w:val="auto"/>
                <w:sz w:val="24"/>
                <w:szCs w:val="24"/>
              </w:rPr>
            </w:pPr>
            <w:r>
              <w:rPr>
                <w:rFonts w:hint="default" w:ascii="Times New Roman" w:hAnsi="Times New Roman" w:cs="Times New Roman" w:eastAsiaTheme="majorEastAsia"/>
                <w:b/>
                <w:bCs/>
                <w:color w:val="auto"/>
                <w:sz w:val="24"/>
                <w:szCs w:val="24"/>
              </w:rPr>
              <w:t>图</w:t>
            </w:r>
            <w:r>
              <w:rPr>
                <w:rFonts w:hint="eastAsia" w:ascii="Times New Roman" w:hAnsi="Times New Roman" w:cs="Times New Roman" w:eastAsiaTheme="majorEastAsia"/>
                <w:b/>
                <w:bCs/>
                <w:color w:val="auto"/>
                <w:sz w:val="24"/>
                <w:szCs w:val="24"/>
                <w:lang w:val="en-US" w:eastAsia="zh-CN"/>
              </w:rPr>
              <w:t>2</w:t>
            </w:r>
            <w:r>
              <w:rPr>
                <w:rFonts w:hint="eastAsia"/>
                <w:b/>
                <w:bCs/>
                <w:color w:val="auto"/>
                <w:sz w:val="24"/>
                <w:szCs w:val="24"/>
                <w:highlight w:val="none"/>
                <w:lang w:val="en-US" w:eastAsia="zh-CN"/>
              </w:rPr>
              <w:t>本项目在廊坊市环境管控分布图中位置</w:t>
            </w:r>
          </w:p>
          <w:p w14:paraId="108AB681">
            <w:pPr>
              <w:autoSpaceDE w:val="0"/>
              <w:autoSpaceDN w:val="0"/>
              <w:adjustRightInd w:val="0"/>
              <w:snapToGrid w:val="0"/>
              <w:spacing w:line="480" w:lineRule="exact"/>
              <w:jc w:val="center"/>
              <w:rPr>
                <w:rFonts w:hint="default" w:ascii="Times New Roman" w:hAnsi="Times New Roman" w:cs="Times New Roman"/>
                <w:b/>
                <w:bCs/>
                <w:color w:val="auto"/>
                <w:kern w:val="2"/>
                <w:sz w:val="24"/>
                <w:szCs w:val="24"/>
              </w:rPr>
            </w:pPr>
          </w:p>
          <w:p w14:paraId="43C9E822">
            <w:pPr>
              <w:autoSpaceDE w:val="0"/>
              <w:autoSpaceDN w:val="0"/>
              <w:adjustRightInd w:val="0"/>
              <w:snapToGrid w:val="0"/>
              <w:spacing w:line="480" w:lineRule="exact"/>
              <w:jc w:val="center"/>
              <w:rPr>
                <w:rFonts w:hint="default" w:ascii="Times New Roman" w:hAnsi="Times New Roman" w:cs="Times New Roman"/>
                <w:b/>
                <w:bCs/>
                <w:color w:val="auto"/>
                <w:sz w:val="24"/>
                <w:szCs w:val="24"/>
              </w:rPr>
            </w:pPr>
            <w:r>
              <w:rPr>
                <w:rFonts w:hint="default" w:ascii="Times New Roman" w:hAnsi="Times New Roman" w:cs="Times New Roman"/>
                <w:b/>
                <w:bCs/>
                <w:color w:val="auto"/>
                <w:kern w:val="2"/>
                <w:sz w:val="24"/>
                <w:szCs w:val="24"/>
              </w:rPr>
              <w:t>表</w:t>
            </w:r>
            <w:r>
              <w:rPr>
                <w:rFonts w:hint="eastAsia" w:ascii="Times New Roman" w:hAnsi="Times New Roman" w:cs="Times New Roman"/>
                <w:b/>
                <w:bCs/>
                <w:color w:val="auto"/>
                <w:kern w:val="2"/>
                <w:sz w:val="24"/>
                <w:szCs w:val="24"/>
                <w:lang w:val="en-US" w:eastAsia="zh-CN"/>
              </w:rPr>
              <w:t>1</w:t>
            </w:r>
            <w:r>
              <w:rPr>
                <w:rFonts w:hint="default" w:ascii="Times New Roman" w:hAnsi="Times New Roman" w:cs="Times New Roman"/>
                <w:b/>
                <w:bCs/>
                <w:color w:val="auto"/>
                <w:kern w:val="2"/>
                <w:sz w:val="24"/>
                <w:szCs w:val="24"/>
              </w:rPr>
              <w:t>本项目与《廊坊市区域空间生态环境评价暨</w:t>
            </w:r>
            <w:r>
              <w:rPr>
                <w:rFonts w:hint="default" w:ascii="Times New Roman" w:hAnsi="Times New Roman" w:cs="Times New Roman"/>
                <w:b/>
                <w:bCs/>
                <w:color w:val="auto"/>
                <w:kern w:val="2"/>
                <w:sz w:val="24"/>
                <w:szCs w:val="24"/>
                <w:lang w:eastAsia="zh-CN"/>
              </w:rPr>
              <w:t>“</w:t>
            </w:r>
            <w:r>
              <w:rPr>
                <w:rFonts w:hint="default" w:ascii="Times New Roman" w:hAnsi="Times New Roman" w:cs="Times New Roman"/>
                <w:b/>
                <w:bCs/>
                <w:color w:val="auto"/>
                <w:kern w:val="2"/>
                <w:sz w:val="24"/>
                <w:szCs w:val="24"/>
              </w:rPr>
              <w:t>三线一单</w:t>
            </w:r>
            <w:r>
              <w:rPr>
                <w:rFonts w:hint="default" w:ascii="Times New Roman" w:hAnsi="Times New Roman" w:cs="Times New Roman"/>
                <w:b/>
                <w:bCs/>
                <w:color w:val="auto"/>
                <w:kern w:val="2"/>
                <w:sz w:val="24"/>
                <w:szCs w:val="24"/>
                <w:lang w:eastAsia="zh-CN"/>
              </w:rPr>
              <w:t>”</w:t>
            </w:r>
            <w:r>
              <w:rPr>
                <w:rFonts w:hint="default" w:ascii="Times New Roman" w:hAnsi="Times New Roman" w:cs="Times New Roman"/>
                <w:b/>
                <w:bCs/>
                <w:color w:val="auto"/>
                <w:kern w:val="2"/>
                <w:sz w:val="24"/>
                <w:szCs w:val="24"/>
              </w:rPr>
              <w:t>生态环境准入清单》</w:t>
            </w:r>
            <w:r>
              <w:rPr>
                <w:rFonts w:hint="default" w:ascii="Times New Roman" w:hAnsi="Times New Roman" w:cs="Times New Roman"/>
                <w:b/>
                <w:bCs/>
                <w:color w:val="auto"/>
                <w:sz w:val="24"/>
                <w:szCs w:val="24"/>
              </w:rPr>
              <w:t>一般生态空间总体管控要求</w:t>
            </w:r>
            <w:r>
              <w:rPr>
                <w:rFonts w:hint="default" w:ascii="Times New Roman" w:hAnsi="Times New Roman" w:cs="Times New Roman"/>
                <w:b/>
                <w:bCs/>
                <w:color w:val="auto"/>
                <w:kern w:val="2"/>
                <w:sz w:val="24"/>
                <w:szCs w:val="24"/>
              </w:rPr>
              <w:t>对照情况</w:t>
            </w:r>
          </w:p>
          <w:tbl>
            <w:tblPr>
              <w:tblStyle w:val="3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426"/>
              <w:gridCol w:w="490"/>
              <w:gridCol w:w="3096"/>
              <w:gridCol w:w="1217"/>
              <w:gridCol w:w="875"/>
            </w:tblGrid>
            <w:tr w14:paraId="54C3B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826" w:type="pct"/>
                  <w:vAlign w:val="center"/>
                </w:tcPr>
                <w:p w14:paraId="19CF602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cs="Times New Roman"/>
                      <w:b/>
                      <w:bCs/>
                      <w:color w:val="auto"/>
                      <w:sz w:val="24"/>
                      <w:szCs w:val="24"/>
                      <w:vertAlign w:val="baseline"/>
                      <w:lang w:bidi="ar"/>
                    </w:rPr>
                  </w:pPr>
                  <w:r>
                    <w:rPr>
                      <w:rFonts w:hint="default" w:ascii="Times New Roman" w:hAnsi="Times New Roman" w:eastAsia="宋体" w:cs="Times New Roman"/>
                      <w:b/>
                      <w:bCs/>
                      <w:i w:val="0"/>
                      <w:iCs w:val="0"/>
                      <w:color w:val="auto"/>
                      <w:kern w:val="0"/>
                      <w:sz w:val="21"/>
                      <w:szCs w:val="21"/>
                      <w:u w:val="none"/>
                      <w:lang w:val="en-US" w:eastAsia="zh-CN" w:bidi="ar"/>
                    </w:rPr>
                    <w:t>类别</w:t>
                  </w:r>
                </w:p>
              </w:tc>
              <w:tc>
                <w:tcPr>
                  <w:tcW w:w="2733" w:type="pct"/>
                  <w:gridSpan w:val="3"/>
                  <w:vAlign w:val="center"/>
                </w:tcPr>
                <w:p w14:paraId="1180164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cs="Times New Roman"/>
                      <w:b/>
                      <w:bCs/>
                      <w:color w:val="auto"/>
                      <w:sz w:val="24"/>
                      <w:szCs w:val="24"/>
                      <w:vertAlign w:val="baseline"/>
                      <w:lang w:bidi="ar"/>
                    </w:rPr>
                  </w:pPr>
                  <w:r>
                    <w:rPr>
                      <w:rFonts w:hint="default" w:ascii="Times New Roman" w:hAnsi="Times New Roman" w:eastAsia="宋体" w:cs="Times New Roman"/>
                      <w:b/>
                      <w:bCs/>
                      <w:i w:val="0"/>
                      <w:iCs w:val="0"/>
                      <w:color w:val="auto"/>
                      <w:kern w:val="0"/>
                      <w:sz w:val="21"/>
                      <w:szCs w:val="21"/>
                      <w:u w:val="none"/>
                      <w:lang w:val="en-US" w:eastAsia="zh-CN" w:bidi="ar"/>
                    </w:rPr>
                    <w:t>管控要求</w:t>
                  </w:r>
                </w:p>
              </w:tc>
              <w:tc>
                <w:tcPr>
                  <w:tcW w:w="836" w:type="pct"/>
                  <w:vAlign w:val="center"/>
                </w:tcPr>
                <w:p w14:paraId="4A753A0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cs="Times New Roman"/>
                      <w:b/>
                      <w:bCs/>
                      <w:color w:val="auto"/>
                      <w:sz w:val="24"/>
                      <w:szCs w:val="24"/>
                      <w:highlight w:val="none"/>
                      <w:vertAlign w:val="baseline"/>
                      <w:lang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本项目</w:t>
                  </w:r>
                </w:p>
              </w:tc>
              <w:tc>
                <w:tcPr>
                  <w:tcW w:w="602" w:type="pct"/>
                  <w:vAlign w:val="center"/>
                </w:tcPr>
                <w:p w14:paraId="5B9ECAC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cs="Times New Roman"/>
                      <w:b/>
                      <w:bCs/>
                      <w:color w:val="auto"/>
                      <w:sz w:val="24"/>
                      <w:szCs w:val="24"/>
                      <w:vertAlign w:val="baseline"/>
                      <w:lang w:bidi="ar"/>
                    </w:rPr>
                  </w:pPr>
                  <w:r>
                    <w:rPr>
                      <w:rFonts w:hint="default" w:ascii="Times New Roman" w:hAnsi="Times New Roman" w:eastAsia="宋体" w:cs="Times New Roman"/>
                      <w:b/>
                      <w:bCs/>
                      <w:i w:val="0"/>
                      <w:iCs w:val="0"/>
                      <w:color w:val="auto"/>
                      <w:kern w:val="0"/>
                      <w:sz w:val="21"/>
                      <w:szCs w:val="21"/>
                      <w:u w:val="none"/>
                      <w:lang w:val="en-US" w:eastAsia="zh-CN" w:bidi="ar"/>
                    </w:rPr>
                    <w:t>符合性</w:t>
                  </w:r>
                </w:p>
              </w:tc>
            </w:tr>
            <w:tr w14:paraId="3BDBA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826" w:type="pct"/>
                  <w:vAlign w:val="center"/>
                </w:tcPr>
                <w:p w14:paraId="26CBA18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cs="Times New Roman"/>
                      <w:b/>
                      <w:bCs/>
                      <w:color w:val="auto"/>
                      <w:sz w:val="24"/>
                      <w:szCs w:val="24"/>
                      <w:vertAlign w:val="baseline"/>
                      <w:lang w:bidi="ar"/>
                    </w:rPr>
                  </w:pPr>
                  <w:r>
                    <w:rPr>
                      <w:rFonts w:hint="default" w:ascii="Times New Roman" w:hAnsi="Times New Roman" w:eastAsia="宋体" w:cs="Times New Roman"/>
                      <w:i w:val="0"/>
                      <w:iCs w:val="0"/>
                      <w:color w:val="auto"/>
                      <w:kern w:val="0"/>
                      <w:sz w:val="21"/>
                      <w:szCs w:val="21"/>
                      <w:u w:val="none"/>
                      <w:lang w:val="en-US" w:eastAsia="zh-CN" w:bidi="ar"/>
                    </w:rPr>
                    <w:t>地表水环境总体管控要求</w:t>
                  </w:r>
                </w:p>
              </w:tc>
              <w:tc>
                <w:tcPr>
                  <w:tcW w:w="272" w:type="pct"/>
                  <w:vAlign w:val="center"/>
                </w:tcPr>
                <w:p w14:paraId="136D395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cs="Times New Roman"/>
                      <w:b/>
                      <w:bCs/>
                      <w:color w:val="auto"/>
                      <w:sz w:val="24"/>
                      <w:szCs w:val="24"/>
                      <w:vertAlign w:val="baseline"/>
                      <w:lang w:bidi="ar"/>
                    </w:rPr>
                  </w:pPr>
                  <w:r>
                    <w:rPr>
                      <w:rFonts w:hint="default" w:ascii="Times New Roman" w:hAnsi="Times New Roman" w:eastAsia="宋体" w:cs="Times New Roman"/>
                      <w:i w:val="0"/>
                      <w:iCs w:val="0"/>
                      <w:color w:val="auto"/>
                      <w:kern w:val="0"/>
                      <w:sz w:val="21"/>
                      <w:szCs w:val="21"/>
                      <w:u w:val="none"/>
                      <w:lang w:val="en-US" w:eastAsia="zh-CN" w:bidi="ar"/>
                    </w:rPr>
                    <w:t>污染物排放管控</w:t>
                  </w:r>
                </w:p>
              </w:tc>
              <w:tc>
                <w:tcPr>
                  <w:tcW w:w="338" w:type="pct"/>
                  <w:vAlign w:val="center"/>
                </w:tcPr>
                <w:p w14:paraId="16AE412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cs="Times New Roman"/>
                      <w:color w:val="auto"/>
                    </w:rPr>
                  </w:pPr>
                  <w:r>
                    <w:rPr>
                      <w:rFonts w:hint="default" w:ascii="Times New Roman" w:hAnsi="Times New Roman" w:eastAsia="宋体" w:cs="Times New Roman"/>
                      <w:i w:val="0"/>
                      <w:iCs w:val="0"/>
                      <w:color w:val="auto"/>
                      <w:kern w:val="0"/>
                      <w:sz w:val="21"/>
                      <w:szCs w:val="21"/>
                      <w:u w:val="none"/>
                      <w:lang w:val="en-US" w:eastAsia="zh-CN" w:bidi="ar"/>
                    </w:rPr>
                    <w:t>工业源</w:t>
                  </w:r>
                </w:p>
              </w:tc>
              <w:tc>
                <w:tcPr>
                  <w:tcW w:w="2122" w:type="pct"/>
                  <w:vAlign w:val="center"/>
                </w:tcPr>
                <w:p w14:paraId="7FE6492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cs="Times New Roman"/>
                      <w:b/>
                      <w:bCs/>
                      <w:color w:val="auto"/>
                      <w:sz w:val="24"/>
                      <w:szCs w:val="24"/>
                      <w:vertAlign w:val="baseline"/>
                      <w:lang w:bidi="ar"/>
                    </w:rPr>
                  </w:pPr>
                  <w:r>
                    <w:rPr>
                      <w:rFonts w:hint="default" w:ascii="Times New Roman" w:hAnsi="Times New Roman" w:eastAsia="宋体" w:cs="Times New Roman"/>
                      <w:i w:val="0"/>
                      <w:iCs w:val="0"/>
                      <w:color w:val="auto"/>
                      <w:kern w:val="0"/>
                      <w:sz w:val="21"/>
                      <w:szCs w:val="21"/>
                      <w:u w:val="none"/>
                      <w:lang w:val="en-US" w:eastAsia="zh-CN" w:bidi="ar"/>
                    </w:rPr>
                    <w:t>1.新建、改建、扩建重点行业建设项目实行主要污染物排放等量或倍量置换。2.全面推行清洁生产审核，对超标、超总量排污和使用、排放有毒有害物质的企业实施强制性清洁生产审核，扩大自愿性清洁生产审核范围。3.严格限制高风险化学品生产使用，并逐步淘汰或替代。4.严格执行子牙河、大清河流域水污染物特别排放限值。所有废水直排企业一律执行行业排放标准水污染物特别排放限值；没有行业标准或行业标准中没有水污染物排放特别限值的，一律执行《城镇污水处理厂污染物排放标准》</w:t>
                  </w:r>
                  <w:r>
                    <w:rPr>
                      <w:rFonts w:hint="default"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GB18918</w:t>
                  </w:r>
                  <w:r>
                    <w:rPr>
                      <w:rFonts w:hint="default"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一级A标准；行业标准中水污染物特别排放限值比《城镇污水处理厂污染物排放标准》</w:t>
                  </w:r>
                  <w:r>
                    <w:rPr>
                      <w:rFonts w:hint="default"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GB18918</w:t>
                  </w:r>
                  <w:r>
                    <w:rPr>
                      <w:rFonts w:hint="default"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一级A标准中相应控制因子宽松的，执行《城镇污水处理厂污染物排放标准》</w:t>
                  </w:r>
                  <w:r>
                    <w:rPr>
                      <w:rFonts w:hint="default"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GB18918</w:t>
                  </w:r>
                  <w:r>
                    <w:rPr>
                      <w:rFonts w:hint="default"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一级A标准。5.推进园区外涉水工业企业向工业集聚区集中，对不具备入园条件需要原地保留的涉水工业企业，实施深度治理，执行最严格的排放标准，否则一律予以关停。6.加强重点行业项目建设审批管理，对园区外新建造纸、金属制品、食品、危废、化工及涉及重金属等行业涉水工业项目原则上不予审批。</w:t>
                  </w:r>
                </w:p>
              </w:tc>
              <w:tc>
                <w:tcPr>
                  <w:tcW w:w="836" w:type="pct"/>
                  <w:vAlign w:val="center"/>
                </w:tcPr>
                <w:p w14:paraId="2669C59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cs="Times New Roman"/>
                      <w:b/>
                      <w:bCs/>
                      <w:color w:val="auto"/>
                      <w:sz w:val="24"/>
                      <w:szCs w:val="24"/>
                      <w:vertAlign w:val="baseline"/>
                      <w:lang w:bidi="ar"/>
                    </w:rPr>
                  </w:pPr>
                  <w:r>
                    <w:rPr>
                      <w:rFonts w:hint="default" w:ascii="Times New Roman" w:hAnsi="Times New Roman" w:eastAsia="宋体" w:cs="Times New Roman"/>
                      <w:i w:val="0"/>
                      <w:iCs w:val="0"/>
                      <w:color w:val="auto"/>
                      <w:kern w:val="0"/>
                      <w:sz w:val="21"/>
                      <w:szCs w:val="21"/>
                      <w:u w:val="none"/>
                      <w:lang w:val="en-US" w:eastAsia="zh-CN" w:bidi="ar"/>
                    </w:rPr>
                    <w:t>本项目生产冷却水循环使用，定期补充，不外排；生活污水</w:t>
                  </w:r>
                  <w:r>
                    <w:rPr>
                      <w:rFonts w:hint="eastAsia" w:ascii="Times New Roman" w:hAnsi="Times New Roman" w:cs="Times New Roman"/>
                      <w:i w:val="0"/>
                      <w:iCs w:val="0"/>
                      <w:color w:val="auto"/>
                      <w:kern w:val="0"/>
                      <w:sz w:val="21"/>
                      <w:szCs w:val="21"/>
                      <w:u w:val="none"/>
                      <w:lang w:val="en-US" w:eastAsia="zh-CN" w:bidi="ar"/>
                    </w:rPr>
                    <w:t>排入化粪池，定期清掏</w:t>
                  </w:r>
                  <w:r>
                    <w:rPr>
                      <w:rFonts w:hint="default" w:ascii="Times New Roman" w:hAnsi="Times New Roman" w:eastAsia="宋体" w:cs="Times New Roman"/>
                      <w:i w:val="0"/>
                      <w:iCs w:val="0"/>
                      <w:color w:val="auto"/>
                      <w:kern w:val="0"/>
                      <w:sz w:val="21"/>
                      <w:szCs w:val="21"/>
                      <w:u w:val="none"/>
                      <w:lang w:val="en-US" w:eastAsia="zh-CN" w:bidi="ar"/>
                    </w:rPr>
                    <w:t>，不外排。本项目不属于高耗水、高排放项目。</w:t>
                  </w:r>
                </w:p>
              </w:tc>
              <w:tc>
                <w:tcPr>
                  <w:tcW w:w="602" w:type="pct"/>
                  <w:vAlign w:val="center"/>
                </w:tcPr>
                <w:p w14:paraId="0B0AE4D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cs="Times New Roman"/>
                      <w:b/>
                      <w:bCs/>
                      <w:color w:val="auto"/>
                      <w:sz w:val="24"/>
                      <w:szCs w:val="24"/>
                      <w:vertAlign w:val="baseline"/>
                      <w:lang w:bidi="ar"/>
                    </w:rPr>
                  </w:pPr>
                  <w:r>
                    <w:rPr>
                      <w:rFonts w:hint="default" w:ascii="Times New Roman" w:hAnsi="Times New Roman" w:eastAsia="宋体" w:cs="Times New Roman"/>
                      <w:i w:val="0"/>
                      <w:iCs w:val="0"/>
                      <w:color w:val="auto"/>
                      <w:kern w:val="0"/>
                      <w:sz w:val="21"/>
                      <w:szCs w:val="21"/>
                      <w:u w:val="none"/>
                      <w:lang w:val="en-US" w:eastAsia="zh-CN" w:bidi="ar"/>
                    </w:rPr>
                    <w:t>符合</w:t>
                  </w:r>
                </w:p>
              </w:tc>
            </w:tr>
            <w:tr w14:paraId="6491A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826" w:type="pct"/>
                  <w:vAlign w:val="center"/>
                </w:tcPr>
                <w:p w14:paraId="65CEBDA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cs="Times New Roman"/>
                      <w:b/>
                      <w:bCs/>
                      <w:color w:val="auto"/>
                      <w:sz w:val="24"/>
                      <w:szCs w:val="24"/>
                      <w:vertAlign w:val="baseline"/>
                      <w:lang w:bidi="ar"/>
                    </w:rPr>
                  </w:pPr>
                  <w:r>
                    <w:rPr>
                      <w:rFonts w:hint="default" w:ascii="Times New Roman" w:hAnsi="Times New Roman" w:eastAsia="宋体" w:cs="Times New Roman"/>
                      <w:i w:val="0"/>
                      <w:iCs w:val="0"/>
                      <w:color w:val="auto"/>
                      <w:kern w:val="0"/>
                      <w:sz w:val="21"/>
                      <w:szCs w:val="21"/>
                      <w:u w:val="none"/>
                      <w:lang w:val="en-US" w:eastAsia="zh-CN" w:bidi="ar"/>
                    </w:rPr>
                    <w:t>大气环境总体管控要求</w:t>
                  </w:r>
                </w:p>
              </w:tc>
              <w:tc>
                <w:tcPr>
                  <w:tcW w:w="272" w:type="pct"/>
                  <w:vAlign w:val="center"/>
                </w:tcPr>
                <w:p w14:paraId="45291DC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cs="Times New Roman"/>
                      <w:b/>
                      <w:bCs/>
                      <w:color w:val="auto"/>
                      <w:sz w:val="24"/>
                      <w:szCs w:val="24"/>
                      <w:vertAlign w:val="baseline"/>
                      <w:lang w:bidi="ar"/>
                    </w:rPr>
                  </w:pPr>
                  <w:r>
                    <w:rPr>
                      <w:rFonts w:hint="default" w:ascii="Times New Roman" w:hAnsi="Times New Roman" w:eastAsia="宋体" w:cs="Times New Roman"/>
                      <w:i w:val="0"/>
                      <w:iCs w:val="0"/>
                      <w:color w:val="auto"/>
                      <w:kern w:val="0"/>
                      <w:sz w:val="21"/>
                      <w:szCs w:val="21"/>
                      <w:u w:val="none"/>
                      <w:lang w:val="en-US" w:eastAsia="zh-CN" w:bidi="ar"/>
                    </w:rPr>
                    <w:t>污染物排放管控</w:t>
                  </w:r>
                </w:p>
              </w:tc>
              <w:tc>
                <w:tcPr>
                  <w:tcW w:w="338" w:type="pct"/>
                  <w:vAlign w:val="center"/>
                </w:tcPr>
                <w:p w14:paraId="01DDADB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cs="Times New Roman"/>
                      <w:color w:val="auto"/>
                    </w:rPr>
                  </w:pPr>
                  <w:r>
                    <w:rPr>
                      <w:rFonts w:hint="default" w:ascii="Times New Roman" w:hAnsi="Times New Roman" w:eastAsia="宋体" w:cs="Times New Roman"/>
                      <w:i w:val="0"/>
                      <w:iCs w:val="0"/>
                      <w:color w:val="auto"/>
                      <w:kern w:val="0"/>
                      <w:sz w:val="21"/>
                      <w:szCs w:val="21"/>
                      <w:u w:val="none"/>
                      <w:lang w:val="en-US" w:eastAsia="zh-CN" w:bidi="ar"/>
                    </w:rPr>
                    <w:t>工业源</w:t>
                  </w:r>
                </w:p>
              </w:tc>
              <w:tc>
                <w:tcPr>
                  <w:tcW w:w="2122" w:type="pct"/>
                  <w:vAlign w:val="center"/>
                </w:tcPr>
                <w:p w14:paraId="5E32FF0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cs="Times New Roman"/>
                      <w:b/>
                      <w:bCs/>
                      <w:color w:val="auto"/>
                      <w:sz w:val="24"/>
                      <w:szCs w:val="24"/>
                      <w:vertAlign w:val="baseline"/>
                      <w:lang w:bidi="ar"/>
                    </w:rPr>
                  </w:pPr>
                  <w:r>
                    <w:rPr>
                      <w:rFonts w:hint="default" w:ascii="Times New Roman" w:hAnsi="Times New Roman" w:eastAsia="宋体" w:cs="Times New Roman"/>
                      <w:i w:val="0"/>
                      <w:iCs w:val="0"/>
                      <w:color w:val="auto"/>
                      <w:kern w:val="0"/>
                      <w:sz w:val="21"/>
                      <w:szCs w:val="21"/>
                      <w:u w:val="none"/>
                      <w:lang w:val="en-US" w:eastAsia="zh-CN" w:bidi="ar"/>
                    </w:rPr>
                    <w:t>1.加强电力、水泥等重点行业有组织、无组织、清洁运输等全面超低排放改造，到2021年底前在产企业全部完成有组织、无组织超低排放改造，推进其他重点行业企业全面超低排放改造，努力实现超净排放。到2021年底前两家燃煤电厂铁路运输比例达到95%以上，铁路运输比例达不到要求或不具备铁路运输的，运输车辆全部采用新能源汽车或达到国六排放标准的汽车</w:t>
                  </w:r>
                  <w:r>
                    <w:rPr>
                      <w:rFonts w:hint="default"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到2021年底前可采用国五排放标准的汽车</w:t>
                  </w:r>
                  <w:r>
                    <w:rPr>
                      <w:rFonts w:hint="default"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2.具备条件的玻璃、水泥和陶瓷企业基本完成固定源超低排放改造。3.全面提升砖瓦、石灰、耐火材料等行业工业窑炉的治污设施处理能力，到2021年50%以上企业完成提升改造。淘汰不达标工业炉窑，推进工业炉窑节能和环保提标改造，鼓励清洁能源替代，优化产业结构和布局，强化无组织排放管控，严格新建项目准入管理，工业炉窑全面达到国家和省重点区域特别排放限值要求。4.制定“一厂一策”治理方案，开展治理效果后评估，不断提高企业VOCs治理水平。鼓励涉VOCs排放重点行业企业，夏季高温时段实行生产调控、错时生产。5.PM</w:t>
                  </w:r>
                  <w:r>
                    <w:rPr>
                      <w:rFonts w:hint="default" w:ascii="Times New Roman" w:hAnsi="Times New Roman" w:eastAsia="宋体" w:cs="Times New Roman"/>
                      <w:i w:val="0"/>
                      <w:iCs w:val="0"/>
                      <w:color w:val="auto"/>
                      <w:kern w:val="0"/>
                      <w:sz w:val="21"/>
                      <w:szCs w:val="21"/>
                      <w:u w:val="none"/>
                      <w:vertAlign w:val="subscript"/>
                      <w:lang w:val="en-US" w:eastAsia="zh-CN" w:bidi="ar"/>
                    </w:rPr>
                    <w:t>2.5</w:t>
                  </w:r>
                  <w:r>
                    <w:rPr>
                      <w:rFonts w:hint="default" w:ascii="Times New Roman" w:hAnsi="Times New Roman" w:eastAsia="宋体" w:cs="Times New Roman"/>
                      <w:i w:val="0"/>
                      <w:iCs w:val="0"/>
                      <w:color w:val="auto"/>
                      <w:kern w:val="0"/>
                      <w:sz w:val="21"/>
                      <w:szCs w:val="21"/>
                      <w:u w:val="none"/>
                      <w:lang w:val="en-US" w:eastAsia="zh-CN" w:bidi="ar"/>
                    </w:rPr>
                    <w:t>年均浓度达标之前，二氧化硫、氮氧化物、烟粉尘、挥发性有机物四项污染物均需进行倍量削减替代</w:t>
                  </w:r>
                  <w:r>
                    <w:rPr>
                      <w:rFonts w:hint="default"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燃煤发电机组大气污染物排放浓度基本达到燃气轮机组排放限值的除外</w:t>
                  </w:r>
                  <w:r>
                    <w:rPr>
                      <w:rFonts w:hint="default" w:ascii="Times New Roman" w:hAnsi="Times New Roman" w:cs="Times New Roman"/>
                      <w:i w:val="0"/>
                      <w:iCs w:val="0"/>
                      <w:color w:val="auto"/>
                      <w:kern w:val="0"/>
                      <w:sz w:val="21"/>
                      <w:szCs w:val="21"/>
                      <w:u w:val="none"/>
                      <w:lang w:val="en-US" w:eastAsia="zh-CN" w:bidi="ar"/>
                    </w:rPr>
                    <w:t>）</w:t>
                  </w:r>
                </w:p>
              </w:tc>
              <w:tc>
                <w:tcPr>
                  <w:tcW w:w="836" w:type="pct"/>
                  <w:vAlign w:val="center"/>
                </w:tcPr>
                <w:p w14:paraId="3DAFA9C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cs="Times New Roman"/>
                      <w:b/>
                      <w:bCs/>
                      <w:color w:val="auto"/>
                      <w:sz w:val="24"/>
                      <w:szCs w:val="24"/>
                      <w:vertAlign w:val="baseline"/>
                      <w:lang w:bidi="ar"/>
                    </w:rPr>
                  </w:pPr>
                  <w:r>
                    <w:rPr>
                      <w:rFonts w:hint="default" w:ascii="Times New Roman" w:hAnsi="Times New Roman" w:eastAsia="宋体" w:cs="Times New Roman"/>
                      <w:i w:val="0"/>
                      <w:iCs w:val="0"/>
                      <w:color w:val="auto"/>
                      <w:kern w:val="0"/>
                      <w:sz w:val="21"/>
                      <w:szCs w:val="21"/>
                      <w:u w:val="none"/>
                      <w:lang w:val="en-US" w:eastAsia="zh-CN" w:bidi="ar"/>
                    </w:rPr>
                    <w:t>本项目产生废气经处理后均达标排放。废气污染物不会对周围大气环境造成明显不利</w:t>
                  </w:r>
                  <w:r>
                    <w:rPr>
                      <w:rFonts w:hint="eastAsia" w:ascii="Times New Roman" w:hAnsi="Times New Roman" w:cs="Times New Roman"/>
                      <w:i w:val="0"/>
                      <w:iCs w:val="0"/>
                      <w:color w:val="auto"/>
                      <w:kern w:val="0"/>
                      <w:sz w:val="21"/>
                      <w:szCs w:val="21"/>
                      <w:u w:val="none"/>
                      <w:lang w:val="en-US" w:eastAsia="zh-CN" w:bidi="ar"/>
                    </w:rPr>
                    <w:t>影响</w:t>
                  </w:r>
                  <w:r>
                    <w:rPr>
                      <w:rFonts w:hint="default" w:ascii="Times New Roman" w:hAnsi="Times New Roman" w:eastAsia="宋体" w:cs="Times New Roman"/>
                      <w:i w:val="0"/>
                      <w:iCs w:val="0"/>
                      <w:color w:val="auto"/>
                      <w:kern w:val="0"/>
                      <w:sz w:val="21"/>
                      <w:szCs w:val="21"/>
                      <w:u w:val="none"/>
                      <w:lang w:val="en-US" w:eastAsia="zh-CN" w:bidi="ar"/>
                    </w:rPr>
                    <w:t>。</w:t>
                  </w:r>
                </w:p>
              </w:tc>
              <w:tc>
                <w:tcPr>
                  <w:tcW w:w="602" w:type="pct"/>
                  <w:vAlign w:val="center"/>
                </w:tcPr>
                <w:p w14:paraId="4A23AA7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cs="Times New Roman"/>
                      <w:b/>
                      <w:bCs/>
                      <w:color w:val="auto"/>
                      <w:sz w:val="24"/>
                      <w:szCs w:val="24"/>
                      <w:vertAlign w:val="baseline"/>
                      <w:lang w:bidi="ar"/>
                    </w:rPr>
                  </w:pPr>
                  <w:r>
                    <w:rPr>
                      <w:rFonts w:hint="default" w:ascii="Times New Roman" w:hAnsi="Times New Roman" w:eastAsia="宋体" w:cs="Times New Roman"/>
                      <w:i w:val="0"/>
                      <w:iCs w:val="0"/>
                      <w:color w:val="auto"/>
                      <w:kern w:val="0"/>
                      <w:sz w:val="21"/>
                      <w:szCs w:val="21"/>
                      <w:u w:val="none"/>
                      <w:lang w:val="en-US" w:eastAsia="zh-CN" w:bidi="ar"/>
                    </w:rPr>
                    <w:t>符合</w:t>
                  </w:r>
                </w:p>
              </w:tc>
            </w:tr>
            <w:tr w14:paraId="7E043A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826" w:type="pct"/>
                  <w:vMerge w:val="restart"/>
                  <w:vAlign w:val="center"/>
                </w:tcPr>
                <w:p w14:paraId="49BB0EF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cs="Times New Roman"/>
                      <w:b/>
                      <w:bCs/>
                      <w:color w:val="auto"/>
                      <w:sz w:val="24"/>
                      <w:szCs w:val="24"/>
                      <w:vertAlign w:val="baseline"/>
                      <w:lang w:bidi="ar"/>
                    </w:rPr>
                  </w:pPr>
                  <w:r>
                    <w:rPr>
                      <w:rFonts w:hint="default" w:ascii="Times New Roman" w:hAnsi="Times New Roman" w:eastAsia="宋体" w:cs="Times New Roman"/>
                      <w:i w:val="0"/>
                      <w:iCs w:val="0"/>
                      <w:color w:val="auto"/>
                      <w:kern w:val="0"/>
                      <w:sz w:val="21"/>
                      <w:szCs w:val="21"/>
                      <w:u w:val="none"/>
                      <w:lang w:val="en-US" w:eastAsia="zh-CN" w:bidi="ar"/>
                    </w:rPr>
                    <w:t>产业总体管控要求</w:t>
                  </w:r>
                </w:p>
              </w:tc>
              <w:tc>
                <w:tcPr>
                  <w:tcW w:w="611" w:type="pct"/>
                  <w:gridSpan w:val="2"/>
                  <w:vAlign w:val="center"/>
                </w:tcPr>
                <w:p w14:paraId="32B902A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cs="Times New Roman"/>
                      <w:b/>
                      <w:bCs/>
                      <w:color w:val="auto"/>
                      <w:sz w:val="24"/>
                      <w:szCs w:val="24"/>
                      <w:vertAlign w:val="baseline"/>
                      <w:lang w:bidi="ar"/>
                    </w:rPr>
                  </w:pPr>
                  <w:r>
                    <w:rPr>
                      <w:rFonts w:hint="default" w:ascii="Times New Roman" w:hAnsi="Times New Roman" w:eastAsia="宋体" w:cs="Times New Roman"/>
                      <w:i w:val="0"/>
                      <w:iCs w:val="0"/>
                      <w:color w:val="auto"/>
                      <w:kern w:val="0"/>
                      <w:sz w:val="21"/>
                      <w:szCs w:val="21"/>
                      <w:u w:val="none"/>
                      <w:lang w:val="en-US" w:eastAsia="zh-CN" w:bidi="ar"/>
                    </w:rPr>
                    <w:t>产业总体布局要求</w:t>
                  </w:r>
                </w:p>
              </w:tc>
              <w:tc>
                <w:tcPr>
                  <w:tcW w:w="2122" w:type="pct"/>
                  <w:vAlign w:val="center"/>
                </w:tcPr>
                <w:p w14:paraId="057FE50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cs="Times New Roman"/>
                      <w:b/>
                      <w:bCs/>
                      <w:color w:val="auto"/>
                      <w:sz w:val="24"/>
                      <w:szCs w:val="24"/>
                      <w:vertAlign w:val="baseline"/>
                      <w:lang w:bidi="ar"/>
                    </w:rPr>
                  </w:pPr>
                  <w:r>
                    <w:rPr>
                      <w:rFonts w:hint="default" w:ascii="Times New Roman" w:hAnsi="Times New Roman" w:eastAsia="宋体" w:cs="Times New Roman"/>
                      <w:i w:val="0"/>
                      <w:iCs w:val="0"/>
                      <w:color w:val="auto"/>
                      <w:kern w:val="0"/>
                      <w:sz w:val="21"/>
                      <w:szCs w:val="21"/>
                      <w:u w:val="none"/>
                      <w:lang w:val="en-US" w:eastAsia="zh-CN" w:bidi="ar"/>
                    </w:rPr>
                    <w:t>1.禁止建设《产业结构调整指导目录》中限制类、淘汰类产业项目，《市场准入负面清单》中禁止准入类及《河北省禁止投资的产业目录》、《河北省新增限制和淘汰类产业目录》中的产业项目。2.严格控制生态脆弱或环境敏感地区建设《环境保护综合名录》中“高污染、高环境风险”行业项目。3.禁止建设《产业发展与转移指导目录》中引导逐步调整退出的产业和引导不再承接的产业。4.禁止建设《禁止用地项目目录》中产业项目和不符合《限制用地项目目录》规定条件的产业项目。5.禁止建设《河北省京冀交界地区新增产业的禁止和限制目录》中禁止、限制类产业。6.境外投资者不得从事《外商投资产业指导目录》</w:t>
                  </w:r>
                  <w:r>
                    <w:rPr>
                      <w:rFonts w:hint="default"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外商投资准入负面清单</w:t>
                  </w:r>
                  <w:r>
                    <w:rPr>
                      <w:rFonts w:hint="default"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中的禁止类项目和不符合《外商投资产业指导目录》</w:t>
                  </w:r>
                  <w:r>
                    <w:rPr>
                      <w:rFonts w:hint="default"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外商投资准入负面清单</w:t>
                  </w:r>
                  <w:r>
                    <w:rPr>
                      <w:rFonts w:hint="default"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中规定条件的限制类项目。</w:t>
                  </w:r>
                </w:p>
              </w:tc>
              <w:tc>
                <w:tcPr>
                  <w:tcW w:w="836" w:type="pct"/>
                  <w:vAlign w:val="center"/>
                </w:tcPr>
                <w:p w14:paraId="1A48E7E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cs="Times New Roman"/>
                      <w:b/>
                      <w:bCs/>
                      <w:color w:val="auto"/>
                      <w:sz w:val="24"/>
                      <w:szCs w:val="24"/>
                      <w:vertAlign w:val="baseline"/>
                      <w:lang w:bidi="ar"/>
                    </w:rPr>
                  </w:pPr>
                  <w:r>
                    <w:rPr>
                      <w:rFonts w:hint="default" w:ascii="Times New Roman" w:hAnsi="Times New Roman" w:eastAsia="宋体" w:cs="Times New Roman"/>
                      <w:i w:val="0"/>
                      <w:iCs w:val="0"/>
                      <w:color w:val="auto"/>
                      <w:kern w:val="0"/>
                      <w:sz w:val="21"/>
                      <w:szCs w:val="21"/>
                      <w:u w:val="none"/>
                      <w:lang w:val="en-US" w:eastAsia="zh-CN" w:bidi="ar"/>
                    </w:rPr>
                    <w:t>本项目不在禁止类、限制类企业目录内。</w:t>
                  </w:r>
                </w:p>
              </w:tc>
              <w:tc>
                <w:tcPr>
                  <w:tcW w:w="602" w:type="pct"/>
                  <w:vAlign w:val="center"/>
                </w:tcPr>
                <w:p w14:paraId="70F56C6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cs="Times New Roman"/>
                      <w:b/>
                      <w:bCs/>
                      <w:color w:val="auto"/>
                      <w:sz w:val="24"/>
                      <w:szCs w:val="24"/>
                      <w:vertAlign w:val="baseline"/>
                      <w:lang w:bidi="ar"/>
                    </w:rPr>
                  </w:pPr>
                  <w:r>
                    <w:rPr>
                      <w:rFonts w:hint="default" w:ascii="Times New Roman" w:hAnsi="Times New Roman" w:eastAsia="宋体" w:cs="Times New Roman"/>
                      <w:i w:val="0"/>
                      <w:iCs w:val="0"/>
                      <w:color w:val="auto"/>
                      <w:kern w:val="0"/>
                      <w:sz w:val="21"/>
                      <w:szCs w:val="21"/>
                      <w:u w:val="none"/>
                      <w:lang w:val="en-US" w:eastAsia="zh-CN" w:bidi="ar"/>
                    </w:rPr>
                    <w:t>符合</w:t>
                  </w:r>
                </w:p>
              </w:tc>
            </w:tr>
            <w:tr w14:paraId="639B0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826" w:type="pct"/>
                  <w:vMerge w:val="continue"/>
                  <w:vAlign w:val="center"/>
                </w:tcPr>
                <w:p w14:paraId="5387B86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cs="Times New Roman"/>
                      <w:b/>
                      <w:bCs/>
                      <w:color w:val="auto"/>
                      <w:sz w:val="24"/>
                      <w:szCs w:val="24"/>
                      <w:vertAlign w:val="baseline"/>
                      <w:lang w:bidi="ar"/>
                    </w:rPr>
                  </w:pPr>
                </w:p>
              </w:tc>
              <w:tc>
                <w:tcPr>
                  <w:tcW w:w="611" w:type="pct"/>
                  <w:gridSpan w:val="2"/>
                  <w:vAlign w:val="center"/>
                </w:tcPr>
                <w:p w14:paraId="7E6B438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cs="Times New Roman"/>
                      <w:b/>
                      <w:bCs/>
                      <w:color w:val="auto"/>
                      <w:sz w:val="24"/>
                      <w:szCs w:val="24"/>
                      <w:vertAlign w:val="baseline"/>
                      <w:lang w:bidi="ar"/>
                    </w:rPr>
                  </w:pPr>
                  <w:r>
                    <w:rPr>
                      <w:rFonts w:hint="default" w:ascii="Times New Roman" w:hAnsi="Times New Roman" w:eastAsia="宋体" w:cs="Times New Roman"/>
                      <w:i w:val="0"/>
                      <w:iCs w:val="0"/>
                      <w:color w:val="auto"/>
                      <w:kern w:val="0"/>
                      <w:sz w:val="21"/>
                      <w:szCs w:val="21"/>
                      <w:u w:val="none"/>
                      <w:lang w:val="en-US" w:eastAsia="zh-CN" w:bidi="ar"/>
                    </w:rPr>
                    <w:t>项目入园准入要求</w:t>
                  </w:r>
                </w:p>
              </w:tc>
              <w:tc>
                <w:tcPr>
                  <w:tcW w:w="2122" w:type="pct"/>
                  <w:vAlign w:val="center"/>
                </w:tcPr>
                <w:p w14:paraId="31AD995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cs="Times New Roman"/>
                      <w:b/>
                      <w:bCs/>
                      <w:color w:val="auto"/>
                      <w:sz w:val="24"/>
                      <w:szCs w:val="24"/>
                      <w:vertAlign w:val="baseline"/>
                      <w:lang w:bidi="ar"/>
                    </w:rPr>
                  </w:pPr>
                  <w:r>
                    <w:rPr>
                      <w:rFonts w:hint="default" w:ascii="Times New Roman" w:hAnsi="Times New Roman" w:eastAsia="宋体" w:cs="Times New Roman"/>
                      <w:i w:val="0"/>
                      <w:iCs w:val="0"/>
                      <w:color w:val="auto"/>
                      <w:kern w:val="0"/>
                      <w:sz w:val="21"/>
                      <w:szCs w:val="21"/>
                      <w:u w:val="none"/>
                      <w:lang w:val="en-US" w:eastAsia="zh-CN" w:bidi="ar"/>
                    </w:rPr>
                    <w:t>1.县级以下一律不再建设新的园区，造纸、氮肥、有色金属冶炼、印染、原料药制造、皮革、农药、电镀、钢铁、石灰、平板玻璃、石化、化工等高污染工业项目必须入园进区，其他工业项目原则上也不在园区外布局。2.推动工业企业入园进区。按照《廊坊市工业集聚区外涉水工业企业入园实施方案》要求，推进园区外涉水工业企业向工业集聚区集中，对不具备入园条件需要原地保留的涉水工业企业，实施深度治理，执行最严格的排放标准，否则一律予以关停。3.加强重点行业项目建设审批管理，对园区外新建造纸、金属制品、食品、危废、化工及涉及重金属等行业涉水工业项目原则上不予审批。4.废水含难降解的有机污染物、“三致”污染物项目禁止入园；生产工艺或设备落后、不符合国家产业政策、达不到规模经济的项目禁止入园。</w:t>
                  </w:r>
                </w:p>
              </w:tc>
              <w:tc>
                <w:tcPr>
                  <w:tcW w:w="836" w:type="pct"/>
                  <w:vAlign w:val="center"/>
                </w:tcPr>
                <w:p w14:paraId="6116C39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本项目主要生产</w:t>
                  </w:r>
                  <w:r>
                    <w:rPr>
                      <w:rFonts w:hint="eastAsia" w:ascii="Times New Roman" w:hAnsi="Times New Roman" w:cs="Times New Roman"/>
                      <w:i w:val="0"/>
                      <w:iCs w:val="0"/>
                      <w:color w:val="auto"/>
                      <w:kern w:val="0"/>
                      <w:sz w:val="21"/>
                      <w:szCs w:val="21"/>
                      <w:u w:val="none"/>
                      <w:lang w:val="en-US" w:eastAsia="zh-CN" w:bidi="ar"/>
                    </w:rPr>
                    <w:t>塑料制品</w:t>
                  </w:r>
                  <w:r>
                    <w:rPr>
                      <w:rFonts w:hint="eastAsia" w:ascii="Times New Roman" w:hAnsi="Times New Roman" w:eastAsia="宋体" w:cs="Times New Roman"/>
                      <w:i w:val="0"/>
                      <w:iCs w:val="0"/>
                      <w:color w:val="auto"/>
                      <w:kern w:val="0"/>
                      <w:sz w:val="21"/>
                      <w:szCs w:val="21"/>
                      <w:u w:val="none"/>
                      <w:lang w:val="en-US" w:eastAsia="zh-CN" w:bidi="ar"/>
                    </w:rPr>
                    <w:t>，</w:t>
                  </w:r>
                  <w:r>
                    <w:rPr>
                      <w:rFonts w:hint="eastAsia" w:ascii="Times New Roman" w:hAnsi="Times New Roman" w:cs="Times New Roman"/>
                      <w:i w:val="0"/>
                      <w:iCs w:val="0"/>
                      <w:color w:val="auto"/>
                      <w:kern w:val="0"/>
                      <w:sz w:val="21"/>
                      <w:szCs w:val="21"/>
                      <w:u w:val="none"/>
                      <w:lang w:val="en-US" w:eastAsia="zh-CN" w:bidi="ar"/>
                    </w:rPr>
                    <w:t>位于</w:t>
                  </w:r>
                  <w:r>
                    <w:rPr>
                      <w:rFonts w:hint="eastAsia" w:ascii="Times New Roman" w:hAnsi="Times New Roman" w:eastAsia="宋体" w:cs="Times New Roman"/>
                      <w:i w:val="0"/>
                      <w:iCs w:val="0"/>
                      <w:color w:val="auto"/>
                      <w:kern w:val="0"/>
                      <w:sz w:val="21"/>
                      <w:szCs w:val="21"/>
                      <w:u w:val="none"/>
                      <w:lang w:val="en-US" w:eastAsia="zh-CN" w:bidi="ar"/>
                    </w:rPr>
                    <w:t>河北省廊坊市永清县刘街乡小五间房村北</w:t>
                  </w:r>
                  <w:r>
                    <w:rPr>
                      <w:rFonts w:hint="default" w:ascii="Times New Roman" w:hAnsi="Times New Roman" w:eastAsia="宋体" w:cs="Times New Roman"/>
                      <w:i w:val="0"/>
                      <w:iCs w:val="0"/>
                      <w:color w:val="auto"/>
                      <w:kern w:val="0"/>
                      <w:sz w:val="21"/>
                      <w:szCs w:val="21"/>
                      <w:u w:val="none"/>
                      <w:lang w:val="en-US" w:eastAsia="zh-CN" w:bidi="ar"/>
                    </w:rPr>
                    <w:t>。</w:t>
                  </w:r>
                </w:p>
              </w:tc>
              <w:tc>
                <w:tcPr>
                  <w:tcW w:w="602" w:type="pct"/>
                  <w:vAlign w:val="center"/>
                </w:tcPr>
                <w:p w14:paraId="195E5CC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符合</w:t>
                  </w:r>
                </w:p>
              </w:tc>
            </w:tr>
          </w:tbl>
          <w:p w14:paraId="42D252B1">
            <w:pPr>
              <w:autoSpaceDE w:val="0"/>
              <w:autoSpaceDN w:val="0"/>
              <w:spacing w:line="480" w:lineRule="atLeast"/>
              <w:jc w:val="center"/>
              <w:rPr>
                <w:rFonts w:hint="default" w:ascii="Times New Roman" w:hAnsi="Times New Roman" w:cs="Times New Roman"/>
                <w:b/>
                <w:bCs/>
                <w:color w:val="auto"/>
                <w:sz w:val="24"/>
                <w:szCs w:val="24"/>
                <w:lang w:bidi="ar"/>
              </w:rPr>
            </w:pPr>
            <w:r>
              <w:rPr>
                <w:rFonts w:hint="default" w:ascii="Times New Roman" w:hAnsi="Times New Roman" w:cs="Times New Roman"/>
                <w:b/>
                <w:bCs/>
                <w:color w:val="auto"/>
                <w:sz w:val="24"/>
                <w:szCs w:val="24"/>
                <w:lang w:bidi="ar"/>
              </w:rPr>
              <w:t>表</w:t>
            </w:r>
            <w:r>
              <w:rPr>
                <w:rFonts w:hint="eastAsia" w:ascii="Times New Roman" w:hAnsi="Times New Roman" w:cs="Times New Roman"/>
                <w:b/>
                <w:bCs/>
                <w:color w:val="auto"/>
                <w:sz w:val="24"/>
                <w:szCs w:val="24"/>
                <w:lang w:val="en-US" w:eastAsia="zh-CN" w:bidi="ar"/>
              </w:rPr>
              <w:t>2</w:t>
            </w:r>
            <w:r>
              <w:rPr>
                <w:rFonts w:hint="default" w:ascii="Times New Roman" w:hAnsi="Times New Roman" w:cs="Times New Roman"/>
                <w:b/>
                <w:bCs/>
                <w:color w:val="auto"/>
                <w:kern w:val="2"/>
                <w:sz w:val="24"/>
                <w:szCs w:val="24"/>
              </w:rPr>
              <w:t>项目与《廊坊市区域空间生态环境评价暨</w:t>
            </w:r>
            <w:r>
              <w:rPr>
                <w:rFonts w:hint="default" w:ascii="Times New Roman" w:hAnsi="Times New Roman" w:cs="Times New Roman"/>
                <w:b/>
                <w:bCs/>
                <w:color w:val="auto"/>
                <w:kern w:val="2"/>
                <w:sz w:val="24"/>
                <w:szCs w:val="24"/>
                <w:lang w:eastAsia="zh-CN"/>
              </w:rPr>
              <w:t>“</w:t>
            </w:r>
            <w:r>
              <w:rPr>
                <w:rFonts w:hint="default" w:ascii="Times New Roman" w:hAnsi="Times New Roman" w:cs="Times New Roman"/>
                <w:b/>
                <w:bCs/>
                <w:color w:val="auto"/>
                <w:kern w:val="2"/>
                <w:sz w:val="24"/>
                <w:szCs w:val="24"/>
              </w:rPr>
              <w:t>三线一单</w:t>
            </w:r>
            <w:r>
              <w:rPr>
                <w:rFonts w:hint="default" w:ascii="Times New Roman" w:hAnsi="Times New Roman" w:cs="Times New Roman"/>
                <w:b/>
                <w:bCs/>
                <w:color w:val="auto"/>
                <w:kern w:val="2"/>
                <w:sz w:val="24"/>
                <w:szCs w:val="24"/>
                <w:lang w:eastAsia="zh-CN"/>
              </w:rPr>
              <w:t>”</w:t>
            </w:r>
            <w:r>
              <w:rPr>
                <w:rFonts w:hint="default" w:ascii="Times New Roman" w:hAnsi="Times New Roman" w:cs="Times New Roman"/>
                <w:b/>
                <w:bCs/>
                <w:color w:val="auto"/>
                <w:kern w:val="2"/>
                <w:sz w:val="24"/>
                <w:szCs w:val="24"/>
              </w:rPr>
              <w:t>生态环境准入清单》</w:t>
            </w:r>
            <w:r>
              <w:rPr>
                <w:rFonts w:hint="default" w:ascii="Times New Roman" w:hAnsi="Times New Roman" w:cs="Times New Roman"/>
                <w:b/>
                <w:bCs/>
                <w:color w:val="auto"/>
                <w:sz w:val="24"/>
                <w:szCs w:val="24"/>
              </w:rPr>
              <w:t>廊坊市</w:t>
            </w:r>
            <w:r>
              <w:rPr>
                <w:rFonts w:hint="default" w:ascii="Times New Roman" w:hAnsi="Times New Roman" w:cs="Times New Roman"/>
                <w:b/>
                <w:bCs/>
                <w:color w:val="auto"/>
                <w:sz w:val="24"/>
                <w:szCs w:val="24"/>
                <w:lang w:bidi="ar"/>
              </w:rPr>
              <w:t>管控单元生态环境准入要求</w:t>
            </w:r>
            <w:r>
              <w:rPr>
                <w:rFonts w:hint="default" w:ascii="Times New Roman" w:hAnsi="Times New Roman" w:cs="Times New Roman"/>
                <w:b/>
                <w:bCs/>
                <w:color w:val="auto"/>
                <w:kern w:val="2"/>
                <w:sz w:val="24"/>
                <w:szCs w:val="24"/>
              </w:rPr>
              <w:t>对照情况</w:t>
            </w:r>
          </w:p>
          <w:tbl>
            <w:tblPr>
              <w:tblStyle w:val="35"/>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1549"/>
              <w:gridCol w:w="403"/>
              <w:gridCol w:w="443"/>
              <w:gridCol w:w="449"/>
              <w:gridCol w:w="2125"/>
              <w:gridCol w:w="2009"/>
              <w:gridCol w:w="325"/>
            </w:tblGrid>
            <w:tr w14:paraId="54CB1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1060" w:type="pct"/>
                  <w:vAlign w:val="center"/>
                </w:tcPr>
                <w:p w14:paraId="3CDEBE9A">
                  <w:pPr>
                    <w:keepNext w:val="0"/>
                    <w:keepLines w:val="0"/>
                    <w:pageBreakBefore w:val="0"/>
                    <w:widowControl/>
                    <w:kinsoku/>
                    <w:wordWrap w:val="0"/>
                    <w:overflowPunct/>
                    <w:topLinePunct w:val="0"/>
                    <w:autoSpaceDE/>
                    <w:autoSpaceDN/>
                    <w:bidi w:val="0"/>
                    <w:snapToGrid/>
                    <w:spacing w:line="240" w:lineRule="exact"/>
                    <w:jc w:val="center"/>
                    <w:rPr>
                      <w:rFonts w:hint="default" w:ascii="Times New Roman" w:hAnsi="Times New Roman" w:cs="Times New Roman"/>
                      <w:b/>
                      <w:color w:val="auto"/>
                      <w:sz w:val="21"/>
                      <w:szCs w:val="21"/>
                      <w:lang w:bidi="ar"/>
                    </w:rPr>
                  </w:pPr>
                  <w:r>
                    <w:rPr>
                      <w:rFonts w:hint="default" w:ascii="Times New Roman" w:hAnsi="Times New Roman" w:cs="Times New Roman"/>
                      <w:b/>
                      <w:color w:val="auto"/>
                      <w:sz w:val="21"/>
                      <w:szCs w:val="21"/>
                      <w:lang w:bidi="ar"/>
                    </w:rPr>
                    <w:t>编号</w:t>
                  </w:r>
                </w:p>
              </w:tc>
              <w:tc>
                <w:tcPr>
                  <w:tcW w:w="276" w:type="pct"/>
                  <w:vAlign w:val="center"/>
                </w:tcPr>
                <w:p w14:paraId="00204B0F">
                  <w:pPr>
                    <w:keepNext w:val="0"/>
                    <w:keepLines w:val="0"/>
                    <w:pageBreakBefore w:val="0"/>
                    <w:widowControl/>
                    <w:kinsoku/>
                    <w:wordWrap w:val="0"/>
                    <w:overflowPunct/>
                    <w:topLinePunct w:val="0"/>
                    <w:autoSpaceDE/>
                    <w:autoSpaceDN/>
                    <w:bidi w:val="0"/>
                    <w:snapToGrid/>
                    <w:spacing w:line="240" w:lineRule="exact"/>
                    <w:jc w:val="center"/>
                    <w:rPr>
                      <w:rFonts w:hint="default" w:ascii="Times New Roman" w:hAnsi="Times New Roman" w:cs="Times New Roman"/>
                      <w:color w:val="auto"/>
                      <w:sz w:val="21"/>
                      <w:szCs w:val="21"/>
                    </w:rPr>
                  </w:pPr>
                  <w:r>
                    <w:rPr>
                      <w:rFonts w:hint="default" w:ascii="Times New Roman" w:hAnsi="Times New Roman" w:cs="Times New Roman"/>
                      <w:b/>
                      <w:color w:val="auto"/>
                      <w:sz w:val="21"/>
                      <w:szCs w:val="21"/>
                      <w:lang w:bidi="ar"/>
                    </w:rPr>
                    <w:t>乡镇</w:t>
                  </w:r>
                </w:p>
              </w:tc>
              <w:tc>
                <w:tcPr>
                  <w:tcW w:w="303" w:type="pct"/>
                  <w:vAlign w:val="center"/>
                </w:tcPr>
                <w:p w14:paraId="3C8B0A9A">
                  <w:pPr>
                    <w:keepNext w:val="0"/>
                    <w:keepLines w:val="0"/>
                    <w:pageBreakBefore w:val="0"/>
                    <w:widowControl/>
                    <w:kinsoku/>
                    <w:wordWrap w:val="0"/>
                    <w:overflowPunct/>
                    <w:topLinePunct w:val="0"/>
                    <w:autoSpaceDE/>
                    <w:autoSpaceDN/>
                    <w:bidi w:val="0"/>
                    <w:snapToGrid/>
                    <w:spacing w:line="240" w:lineRule="exact"/>
                    <w:jc w:val="center"/>
                    <w:rPr>
                      <w:rFonts w:hint="default" w:ascii="Times New Roman" w:hAnsi="Times New Roman" w:cs="Times New Roman"/>
                      <w:color w:val="auto"/>
                      <w:sz w:val="21"/>
                      <w:szCs w:val="21"/>
                    </w:rPr>
                  </w:pPr>
                  <w:r>
                    <w:rPr>
                      <w:rFonts w:hint="default" w:ascii="Times New Roman" w:hAnsi="Times New Roman" w:cs="Times New Roman"/>
                      <w:b/>
                      <w:color w:val="auto"/>
                      <w:sz w:val="21"/>
                      <w:szCs w:val="21"/>
                      <w:lang w:bidi="ar"/>
                    </w:rPr>
                    <w:t>管控单元</w:t>
                  </w:r>
                </w:p>
              </w:tc>
              <w:tc>
                <w:tcPr>
                  <w:tcW w:w="307" w:type="pct"/>
                  <w:vAlign w:val="center"/>
                </w:tcPr>
                <w:p w14:paraId="06328F85">
                  <w:pPr>
                    <w:keepNext w:val="0"/>
                    <w:keepLines w:val="0"/>
                    <w:pageBreakBefore w:val="0"/>
                    <w:widowControl/>
                    <w:kinsoku/>
                    <w:wordWrap w:val="0"/>
                    <w:overflowPunct/>
                    <w:topLinePunct w:val="0"/>
                    <w:autoSpaceDE/>
                    <w:autoSpaceDN/>
                    <w:bidi w:val="0"/>
                    <w:snapToGrid/>
                    <w:spacing w:line="240" w:lineRule="exact"/>
                    <w:jc w:val="center"/>
                    <w:rPr>
                      <w:rFonts w:hint="default" w:ascii="Times New Roman" w:hAnsi="Times New Roman" w:cs="Times New Roman"/>
                      <w:color w:val="auto"/>
                      <w:sz w:val="21"/>
                      <w:szCs w:val="21"/>
                    </w:rPr>
                  </w:pPr>
                  <w:r>
                    <w:rPr>
                      <w:rFonts w:hint="default" w:ascii="Times New Roman" w:hAnsi="Times New Roman" w:cs="Times New Roman"/>
                      <w:b/>
                      <w:color w:val="auto"/>
                      <w:sz w:val="21"/>
                      <w:szCs w:val="21"/>
                      <w:lang w:bidi="ar"/>
                    </w:rPr>
                    <w:t>维度</w:t>
                  </w:r>
                </w:p>
              </w:tc>
              <w:tc>
                <w:tcPr>
                  <w:tcW w:w="1454" w:type="pct"/>
                  <w:vAlign w:val="center"/>
                </w:tcPr>
                <w:p w14:paraId="1F9AACA1">
                  <w:pPr>
                    <w:keepNext w:val="0"/>
                    <w:keepLines w:val="0"/>
                    <w:pageBreakBefore w:val="0"/>
                    <w:widowControl/>
                    <w:kinsoku/>
                    <w:wordWrap w:val="0"/>
                    <w:overflowPunct/>
                    <w:topLinePunct w:val="0"/>
                    <w:autoSpaceDE/>
                    <w:autoSpaceDN/>
                    <w:bidi w:val="0"/>
                    <w:snapToGrid/>
                    <w:spacing w:line="240" w:lineRule="exact"/>
                    <w:jc w:val="center"/>
                    <w:rPr>
                      <w:rFonts w:hint="default" w:ascii="Times New Roman" w:hAnsi="Times New Roman" w:cs="Times New Roman"/>
                      <w:color w:val="auto"/>
                      <w:sz w:val="21"/>
                      <w:szCs w:val="21"/>
                    </w:rPr>
                  </w:pPr>
                  <w:r>
                    <w:rPr>
                      <w:rFonts w:hint="default" w:ascii="Times New Roman" w:hAnsi="Times New Roman" w:cs="Times New Roman"/>
                      <w:b/>
                      <w:color w:val="auto"/>
                      <w:sz w:val="21"/>
                      <w:szCs w:val="21"/>
                      <w:lang w:bidi="ar"/>
                    </w:rPr>
                    <w:t>管控措施</w:t>
                  </w:r>
                </w:p>
              </w:tc>
              <w:tc>
                <w:tcPr>
                  <w:tcW w:w="1374" w:type="pct"/>
                  <w:vAlign w:val="center"/>
                </w:tcPr>
                <w:p w14:paraId="5DCE195F">
                  <w:pPr>
                    <w:keepNext w:val="0"/>
                    <w:keepLines w:val="0"/>
                    <w:pageBreakBefore w:val="0"/>
                    <w:widowControl/>
                    <w:tabs>
                      <w:tab w:val="left" w:pos="3429"/>
                    </w:tabs>
                    <w:kinsoku/>
                    <w:wordWrap w:val="0"/>
                    <w:overflowPunct/>
                    <w:topLinePunct w:val="0"/>
                    <w:autoSpaceDE/>
                    <w:autoSpaceDN/>
                    <w:bidi w:val="0"/>
                    <w:snapToGrid/>
                    <w:spacing w:line="240" w:lineRule="exact"/>
                    <w:jc w:val="center"/>
                    <w:rPr>
                      <w:rFonts w:hint="default" w:ascii="Times New Roman" w:hAnsi="Times New Roman" w:cs="Times New Roman"/>
                      <w:color w:val="auto"/>
                      <w:sz w:val="21"/>
                      <w:szCs w:val="21"/>
                    </w:rPr>
                  </w:pPr>
                  <w:r>
                    <w:rPr>
                      <w:rFonts w:hint="default" w:ascii="Times New Roman" w:hAnsi="Times New Roman" w:cs="Times New Roman"/>
                      <w:b/>
                      <w:color w:val="auto"/>
                      <w:sz w:val="21"/>
                      <w:szCs w:val="21"/>
                    </w:rPr>
                    <w:t>项目</w:t>
                  </w:r>
                </w:p>
              </w:tc>
              <w:tc>
                <w:tcPr>
                  <w:tcW w:w="222" w:type="pct"/>
                  <w:vAlign w:val="center"/>
                </w:tcPr>
                <w:p w14:paraId="0BD45E1A">
                  <w:pPr>
                    <w:keepNext w:val="0"/>
                    <w:keepLines w:val="0"/>
                    <w:pageBreakBefore w:val="0"/>
                    <w:widowControl/>
                    <w:tabs>
                      <w:tab w:val="left" w:pos="3429"/>
                    </w:tabs>
                    <w:kinsoku/>
                    <w:wordWrap w:val="0"/>
                    <w:overflowPunct/>
                    <w:topLinePunct w:val="0"/>
                    <w:autoSpaceDE/>
                    <w:autoSpaceDN/>
                    <w:bidi w:val="0"/>
                    <w:snapToGrid/>
                    <w:spacing w:line="240" w:lineRule="exact"/>
                    <w:jc w:val="center"/>
                    <w:rPr>
                      <w:rFonts w:hint="default" w:ascii="Times New Roman" w:hAnsi="Times New Roman" w:cs="Times New Roman"/>
                      <w:color w:val="auto"/>
                      <w:sz w:val="21"/>
                      <w:szCs w:val="21"/>
                    </w:rPr>
                  </w:pPr>
                  <w:r>
                    <w:rPr>
                      <w:rFonts w:hint="default" w:ascii="Times New Roman" w:hAnsi="Times New Roman" w:cs="Times New Roman"/>
                      <w:b/>
                      <w:color w:val="auto"/>
                      <w:sz w:val="21"/>
                      <w:szCs w:val="21"/>
                    </w:rPr>
                    <w:t>符合性</w:t>
                  </w:r>
                </w:p>
              </w:tc>
            </w:tr>
            <w:tr w14:paraId="72484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1060" w:type="pct"/>
                  <w:vMerge w:val="restart"/>
                  <w:vAlign w:val="center"/>
                </w:tcPr>
                <w:p w14:paraId="72FE363D">
                  <w:pPr>
                    <w:keepNext w:val="0"/>
                    <w:keepLines w:val="0"/>
                    <w:pageBreakBefore w:val="0"/>
                    <w:widowControl/>
                    <w:kinsoku/>
                    <w:overflowPunct/>
                    <w:topLinePunct w:val="0"/>
                    <w:autoSpaceDE/>
                    <w:autoSpaceDN/>
                    <w:bidi w:val="0"/>
                    <w:snapToGrid/>
                    <w:spacing w:line="240" w:lineRule="exact"/>
                    <w:jc w:val="center"/>
                    <w:rPr>
                      <w:rFonts w:hint="default" w:ascii="Times New Roman" w:hAnsi="Times New Roman" w:eastAsia="宋体" w:cs="Times New Roman"/>
                      <w:color w:val="auto"/>
                      <w:sz w:val="21"/>
                      <w:szCs w:val="21"/>
                      <w:lang w:bidi="ar"/>
                    </w:rPr>
                  </w:pPr>
                  <w:r>
                    <w:rPr>
                      <w:rFonts w:hint="default" w:ascii="Times New Roman" w:hAnsi="Times New Roman" w:eastAsia="宋体" w:cs="Times New Roman"/>
                      <w:color w:val="auto"/>
                      <w:sz w:val="21"/>
                      <w:szCs w:val="21"/>
                      <w:lang w:val="en-US" w:eastAsia="zh-CN" w:bidi="ar"/>
                    </w:rPr>
                    <w:t>ZH13102330047</w:t>
                  </w:r>
                </w:p>
                <w:p w14:paraId="38CC9DA4">
                  <w:pPr>
                    <w:keepNext w:val="0"/>
                    <w:keepLines w:val="0"/>
                    <w:pageBreakBefore w:val="0"/>
                    <w:widowControl/>
                    <w:kinsoku/>
                    <w:overflowPunct/>
                    <w:topLinePunct w:val="0"/>
                    <w:autoSpaceDE/>
                    <w:autoSpaceDN/>
                    <w:bidi w:val="0"/>
                    <w:snapToGrid/>
                    <w:spacing w:line="240" w:lineRule="exact"/>
                    <w:jc w:val="center"/>
                    <w:rPr>
                      <w:rFonts w:hint="default" w:ascii="Times New Roman" w:hAnsi="Times New Roman" w:cs="Times New Roman"/>
                      <w:b/>
                      <w:color w:val="auto"/>
                      <w:sz w:val="21"/>
                      <w:szCs w:val="21"/>
                      <w:lang w:bidi="ar"/>
                    </w:rPr>
                  </w:pPr>
                </w:p>
              </w:tc>
              <w:tc>
                <w:tcPr>
                  <w:tcW w:w="276" w:type="pct"/>
                  <w:vMerge w:val="restart"/>
                  <w:vAlign w:val="center"/>
                </w:tcPr>
                <w:p w14:paraId="2A14662E">
                  <w:pPr>
                    <w:keepNext w:val="0"/>
                    <w:keepLines w:val="0"/>
                    <w:pageBreakBefore w:val="0"/>
                    <w:widowControl/>
                    <w:kinsoku/>
                    <w:wordWrap w:val="0"/>
                    <w:overflowPunct/>
                    <w:topLinePunct w:val="0"/>
                    <w:autoSpaceDE/>
                    <w:autoSpaceDN/>
                    <w:bidi w:val="0"/>
                    <w:snapToGrid/>
                    <w:spacing w:line="240" w:lineRule="exact"/>
                    <w:jc w:val="center"/>
                    <w:rPr>
                      <w:rFonts w:hint="default" w:ascii="Times New Roman" w:hAnsi="Times New Roman" w:eastAsia="宋体" w:cs="Times New Roman"/>
                      <w:color w:val="auto"/>
                      <w:sz w:val="21"/>
                      <w:szCs w:val="21"/>
                      <w:lang w:eastAsia="zh-CN" w:bidi="ar"/>
                    </w:rPr>
                  </w:pPr>
                  <w:r>
                    <w:rPr>
                      <w:rFonts w:hint="eastAsia" w:ascii="Times New Roman" w:hAnsi="Times New Roman" w:cs="Times New Roman"/>
                      <w:color w:val="auto"/>
                      <w:sz w:val="21"/>
                      <w:szCs w:val="21"/>
                      <w:lang w:eastAsia="zh-CN" w:bidi="ar"/>
                    </w:rPr>
                    <w:t>刘街乡</w:t>
                  </w:r>
                </w:p>
              </w:tc>
              <w:tc>
                <w:tcPr>
                  <w:tcW w:w="303" w:type="pct"/>
                  <w:vMerge w:val="restart"/>
                  <w:vAlign w:val="center"/>
                </w:tcPr>
                <w:p w14:paraId="5DFF8537">
                  <w:pPr>
                    <w:keepNext w:val="0"/>
                    <w:keepLines w:val="0"/>
                    <w:pageBreakBefore w:val="0"/>
                    <w:widowControl/>
                    <w:kinsoku/>
                    <w:wordWrap w:val="0"/>
                    <w:overflowPunct/>
                    <w:topLinePunct w:val="0"/>
                    <w:autoSpaceDE/>
                    <w:autoSpaceDN/>
                    <w:bidi w:val="0"/>
                    <w:snapToGrid/>
                    <w:spacing w:line="240" w:lineRule="exact"/>
                    <w:jc w:val="center"/>
                    <w:rPr>
                      <w:rFonts w:hint="eastAsia" w:ascii="Times New Roman" w:hAnsi="Times New Roman" w:eastAsia="宋体" w:cs="Times New Roman"/>
                      <w:color w:val="auto"/>
                      <w:sz w:val="21"/>
                      <w:szCs w:val="21"/>
                      <w:lang w:eastAsia="zh-CN" w:bidi="ar"/>
                    </w:rPr>
                  </w:pPr>
                  <w:r>
                    <w:rPr>
                      <w:rFonts w:hint="eastAsia" w:ascii="Times New Roman" w:hAnsi="Times New Roman" w:cs="Times New Roman"/>
                      <w:color w:val="000000" w:themeColor="text1"/>
                      <w:sz w:val="21"/>
                      <w:szCs w:val="21"/>
                      <w:lang w:eastAsia="zh-CN" w:bidi="ar"/>
                      <w14:textFill>
                        <w14:solidFill>
                          <w14:schemeClr w14:val="tx1"/>
                        </w14:solidFill>
                      </w14:textFill>
                    </w:rPr>
                    <w:t>一般管控单元</w:t>
                  </w:r>
                </w:p>
              </w:tc>
              <w:tc>
                <w:tcPr>
                  <w:tcW w:w="307" w:type="pct"/>
                  <w:vAlign w:val="center"/>
                </w:tcPr>
                <w:p w14:paraId="6D712686">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b/>
                      <w:color w:val="auto"/>
                      <w:sz w:val="21"/>
                      <w:szCs w:val="21"/>
                      <w:lang w:bidi="ar"/>
                    </w:rPr>
                  </w:pPr>
                  <w:r>
                    <w:rPr>
                      <w:rFonts w:hint="eastAsia" w:ascii="Times New Roman" w:hAnsi="Times New Roman" w:eastAsia="宋体" w:cs="Times New Roman"/>
                      <w:color w:val="auto"/>
                      <w:sz w:val="21"/>
                      <w:szCs w:val="21"/>
                      <w:lang w:val="en-US" w:eastAsia="zh-CN" w:bidi="ar"/>
                    </w:rPr>
                    <w:t>空间布局约束</w:t>
                  </w:r>
                </w:p>
              </w:tc>
              <w:tc>
                <w:tcPr>
                  <w:tcW w:w="1454" w:type="pct"/>
                  <w:vAlign w:val="center"/>
                </w:tcPr>
                <w:p w14:paraId="53CB7A61">
                  <w:pPr>
                    <w:keepNext w:val="0"/>
                    <w:keepLines w:val="0"/>
                    <w:pageBreakBefore w:val="0"/>
                    <w:numPr>
                      <w:ilvl w:val="0"/>
                      <w:numId w:val="0"/>
                    </w:numPr>
                    <w:kinsoku/>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color w:val="auto"/>
                      <w:sz w:val="21"/>
                      <w:szCs w:val="21"/>
                      <w:lang w:bidi="ar"/>
                    </w:rPr>
                  </w:pPr>
                  <w:r>
                    <w:rPr>
                      <w:rFonts w:hint="default" w:ascii="Times New Roman" w:hAnsi="Times New Roman" w:eastAsia="宋体" w:cs="Times New Roman"/>
                      <w:color w:val="auto"/>
                      <w:sz w:val="21"/>
                      <w:szCs w:val="21"/>
                      <w:lang w:bidi="ar"/>
                    </w:rPr>
                    <w:t>1. 禁止建设生产和使用高 VOCs 含量的溶剂型涂料、油墨、胶粘剂等项目。</w:t>
                  </w:r>
                </w:p>
                <w:p w14:paraId="68BD1BF2">
                  <w:pPr>
                    <w:keepNext w:val="0"/>
                    <w:keepLines w:val="0"/>
                    <w:pageBreakBefore w:val="0"/>
                    <w:numPr>
                      <w:ilvl w:val="0"/>
                      <w:numId w:val="0"/>
                    </w:numPr>
                    <w:kinsoku/>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color w:val="auto"/>
                      <w:sz w:val="21"/>
                      <w:szCs w:val="21"/>
                      <w:lang w:bidi="ar"/>
                    </w:rPr>
                  </w:pPr>
                  <w:r>
                    <w:rPr>
                      <w:rFonts w:hint="default" w:ascii="Times New Roman" w:hAnsi="Times New Roman" w:eastAsia="宋体" w:cs="Times New Roman"/>
                      <w:color w:val="auto"/>
                      <w:sz w:val="21"/>
                      <w:szCs w:val="21"/>
                      <w:lang w:bidi="ar"/>
                    </w:rPr>
                    <w:t>2.新建项目一律不得违规占用河道管理范围，留足河道管理和保护范围。</w:t>
                  </w:r>
                </w:p>
                <w:p w14:paraId="70942378">
                  <w:pPr>
                    <w:keepNext w:val="0"/>
                    <w:keepLines w:val="0"/>
                    <w:pageBreakBefore w:val="0"/>
                    <w:numPr>
                      <w:ilvl w:val="0"/>
                      <w:numId w:val="0"/>
                    </w:numPr>
                    <w:kinsoku/>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cs="Times New Roman"/>
                      <w:b/>
                      <w:color w:val="auto"/>
                      <w:sz w:val="21"/>
                      <w:szCs w:val="21"/>
                      <w:lang w:bidi="ar"/>
                    </w:rPr>
                  </w:pPr>
                  <w:r>
                    <w:rPr>
                      <w:rFonts w:hint="default" w:ascii="Times New Roman" w:hAnsi="Times New Roman" w:eastAsia="宋体" w:cs="Times New Roman"/>
                      <w:color w:val="auto"/>
                      <w:sz w:val="21"/>
                      <w:szCs w:val="21"/>
                      <w:lang w:bidi="ar"/>
                    </w:rPr>
                    <w:t>3.南水北调输水工程沿线严格控制造纸等高耗水、高污染行业发展。</w:t>
                  </w:r>
                </w:p>
              </w:tc>
              <w:tc>
                <w:tcPr>
                  <w:tcW w:w="1374" w:type="pct"/>
                  <w:vAlign w:val="center"/>
                </w:tcPr>
                <w:p w14:paraId="68C29CA5">
                  <w:pPr>
                    <w:keepNext w:val="0"/>
                    <w:keepLines w:val="0"/>
                    <w:pageBreakBefore w:val="0"/>
                    <w:widowControl/>
                    <w:tabs>
                      <w:tab w:val="left" w:pos="3429"/>
                    </w:tabs>
                    <w:kinsoku/>
                    <w:wordWrap w:val="0"/>
                    <w:overflowPunct/>
                    <w:topLinePunct w:val="0"/>
                    <w:autoSpaceDE/>
                    <w:autoSpaceDN/>
                    <w:bidi w:val="0"/>
                    <w:snapToGrid/>
                    <w:spacing w:line="240" w:lineRule="exact"/>
                    <w:jc w:val="center"/>
                    <w:rPr>
                      <w:rFonts w:hint="default" w:ascii="Times New Roman" w:hAnsi="Times New Roman" w:cs="Times New Roman"/>
                      <w:b/>
                      <w:color w:val="auto"/>
                      <w:sz w:val="21"/>
                      <w:szCs w:val="21"/>
                    </w:rPr>
                  </w:pPr>
                  <w:r>
                    <w:rPr>
                      <w:rFonts w:hint="default" w:ascii="Times New Roman" w:hAnsi="Times New Roman" w:eastAsia="宋体" w:cs="Times New Roman"/>
                      <w:color w:val="auto"/>
                      <w:sz w:val="21"/>
                      <w:szCs w:val="21"/>
                      <w:lang w:bidi="ar"/>
                    </w:rPr>
                    <w:t>本</w:t>
                  </w:r>
                  <w:r>
                    <w:rPr>
                      <w:rFonts w:hint="default" w:ascii="Times New Roman" w:hAnsi="Times New Roman" w:cs="Times New Roman"/>
                      <w:color w:val="auto"/>
                      <w:sz w:val="21"/>
                      <w:szCs w:val="21"/>
                      <w:highlight w:val="none"/>
                      <w:lang w:eastAsia="zh-CN" w:bidi="ar"/>
                    </w:rPr>
                    <w:t>项目</w:t>
                  </w:r>
                  <w:r>
                    <w:rPr>
                      <w:rFonts w:hint="eastAsia" w:ascii="Times New Roman" w:hAnsi="Times New Roman" w:cs="Times New Roman"/>
                      <w:color w:val="auto"/>
                      <w:sz w:val="21"/>
                      <w:szCs w:val="21"/>
                      <w:highlight w:val="none"/>
                      <w:lang w:eastAsia="zh-CN" w:bidi="ar"/>
                    </w:rPr>
                    <w:t>不涉及</w:t>
                  </w:r>
                  <w:r>
                    <w:rPr>
                      <w:rFonts w:hint="default" w:ascii="Times New Roman" w:hAnsi="Times New Roman" w:eastAsia="宋体" w:cs="Times New Roman"/>
                      <w:color w:val="auto"/>
                      <w:sz w:val="21"/>
                      <w:szCs w:val="21"/>
                      <w:lang w:bidi="ar"/>
                    </w:rPr>
                    <w:t>VOCs 含量的溶剂型涂料、油墨、胶粘剂</w:t>
                  </w:r>
                  <w:r>
                    <w:rPr>
                      <w:rFonts w:hint="default" w:ascii="Times New Roman" w:hAnsi="Times New Roman" w:cs="Times New Roman"/>
                      <w:b/>
                      <w:bCs/>
                      <w:color w:val="auto"/>
                      <w:sz w:val="21"/>
                      <w:szCs w:val="21"/>
                      <w:highlight w:val="none"/>
                      <w:lang w:bidi="ar"/>
                    </w:rPr>
                    <w:t>。</w:t>
                  </w:r>
                  <w:r>
                    <w:rPr>
                      <w:rFonts w:hint="default" w:ascii="Times New Roman" w:hAnsi="Times New Roman" w:eastAsia="宋体" w:cs="Times New Roman"/>
                      <w:color w:val="auto"/>
                      <w:sz w:val="21"/>
                      <w:szCs w:val="21"/>
                      <w:lang w:bidi="ar"/>
                    </w:rPr>
                    <w:t>本项目选址位</w:t>
                  </w:r>
                  <w:r>
                    <w:rPr>
                      <w:rFonts w:hint="default" w:ascii="Times New Roman" w:hAnsi="Times New Roman" w:eastAsia="宋体" w:cs="Times New Roman"/>
                      <w:color w:val="auto"/>
                      <w:sz w:val="21"/>
                      <w:szCs w:val="21"/>
                      <w:lang w:val="en-US" w:eastAsia="zh-CN" w:bidi="ar"/>
                    </w:rPr>
                    <w:t>于</w:t>
                  </w:r>
                  <w:r>
                    <w:rPr>
                      <w:rFonts w:hint="eastAsia" w:ascii="Times New Roman" w:hAnsi="Times New Roman" w:cs="Times New Roman"/>
                      <w:color w:val="auto"/>
                      <w:sz w:val="21"/>
                      <w:szCs w:val="21"/>
                      <w:lang w:val="en-US" w:eastAsia="zh-CN" w:bidi="ar"/>
                    </w:rPr>
                    <w:t>河北省廊坊市永清县刘街乡小五间房村北</w:t>
                  </w:r>
                  <w:r>
                    <w:rPr>
                      <w:rFonts w:hint="eastAsia" w:ascii="Times New Roman" w:hAnsi="Times New Roman" w:eastAsia="宋体" w:cs="Times New Roman"/>
                      <w:color w:val="auto"/>
                      <w:sz w:val="21"/>
                      <w:szCs w:val="21"/>
                      <w:lang w:val="en-US" w:eastAsia="zh-CN" w:bidi="ar"/>
                    </w:rPr>
                    <w:t>，不涉及占用</w:t>
                  </w:r>
                  <w:r>
                    <w:rPr>
                      <w:rFonts w:hint="eastAsia" w:ascii="Times New Roman" w:hAnsi="Times New Roman" w:cs="Times New Roman"/>
                      <w:color w:val="auto"/>
                      <w:sz w:val="21"/>
                      <w:szCs w:val="21"/>
                      <w:lang w:val="en-US" w:eastAsia="zh-CN" w:bidi="ar"/>
                    </w:rPr>
                    <w:t>河流廊道</w:t>
                  </w:r>
                  <w:r>
                    <w:rPr>
                      <w:rFonts w:hint="eastAsia" w:ascii="Times New Roman" w:hAnsi="Times New Roman" w:eastAsia="宋体" w:cs="Times New Roman"/>
                      <w:color w:val="auto"/>
                      <w:sz w:val="21"/>
                      <w:szCs w:val="21"/>
                      <w:lang w:val="en-US" w:eastAsia="zh-CN" w:bidi="ar"/>
                    </w:rPr>
                    <w:t>范围。本项目不属于</w:t>
                  </w:r>
                  <w:r>
                    <w:rPr>
                      <w:rFonts w:hint="default" w:ascii="Times New Roman" w:hAnsi="Times New Roman" w:eastAsia="宋体" w:cs="Times New Roman"/>
                      <w:color w:val="auto"/>
                      <w:sz w:val="21"/>
                      <w:szCs w:val="21"/>
                      <w:lang w:bidi="ar"/>
                    </w:rPr>
                    <w:t>高耗水、高污染行业</w:t>
                  </w:r>
                </w:p>
              </w:tc>
              <w:tc>
                <w:tcPr>
                  <w:tcW w:w="222" w:type="pct"/>
                  <w:vAlign w:val="center"/>
                </w:tcPr>
                <w:p w14:paraId="3B6DFE31">
                  <w:pPr>
                    <w:keepNext w:val="0"/>
                    <w:keepLines w:val="0"/>
                    <w:pageBreakBefore w:val="0"/>
                    <w:widowControl/>
                    <w:tabs>
                      <w:tab w:val="left" w:pos="3429"/>
                    </w:tabs>
                    <w:kinsoku/>
                    <w:wordWrap w:val="0"/>
                    <w:overflowPunct/>
                    <w:topLinePunct w:val="0"/>
                    <w:autoSpaceDE/>
                    <w:autoSpaceDN/>
                    <w:bidi w:val="0"/>
                    <w:snapToGrid/>
                    <w:spacing w:line="240" w:lineRule="exact"/>
                    <w:jc w:val="center"/>
                    <w:rPr>
                      <w:rFonts w:hint="default" w:ascii="Times New Roman" w:hAnsi="Times New Roman" w:cs="Times New Roman"/>
                      <w:b/>
                      <w:color w:val="auto"/>
                      <w:sz w:val="21"/>
                      <w:szCs w:val="21"/>
                    </w:rPr>
                  </w:pPr>
                  <w:r>
                    <w:rPr>
                      <w:rFonts w:hint="eastAsia" w:ascii="Times New Roman" w:hAnsi="Times New Roman" w:eastAsia="宋体" w:cs="Times New Roman"/>
                      <w:color w:val="auto"/>
                      <w:sz w:val="21"/>
                      <w:szCs w:val="21"/>
                      <w:highlight w:val="none"/>
                      <w:lang w:eastAsia="zh-CN" w:bidi="ar"/>
                    </w:rPr>
                    <w:t>符合</w:t>
                  </w:r>
                </w:p>
              </w:tc>
            </w:tr>
            <w:tr w14:paraId="0D6FC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1060" w:type="pct"/>
                  <w:vMerge w:val="continue"/>
                  <w:vAlign w:val="center"/>
                </w:tcPr>
                <w:p w14:paraId="6B4143D1">
                  <w:pPr>
                    <w:keepNext w:val="0"/>
                    <w:keepLines w:val="0"/>
                    <w:pageBreakBefore w:val="0"/>
                    <w:widowControl/>
                    <w:kinsoku/>
                    <w:wordWrap w:val="0"/>
                    <w:overflowPunct/>
                    <w:topLinePunct w:val="0"/>
                    <w:autoSpaceDE/>
                    <w:autoSpaceDN/>
                    <w:bidi w:val="0"/>
                    <w:snapToGrid/>
                    <w:spacing w:line="240" w:lineRule="exact"/>
                    <w:jc w:val="center"/>
                    <w:rPr>
                      <w:rFonts w:hint="default" w:ascii="Times New Roman" w:hAnsi="Times New Roman" w:cs="Times New Roman"/>
                      <w:b/>
                      <w:color w:val="auto"/>
                      <w:sz w:val="21"/>
                      <w:szCs w:val="21"/>
                      <w:lang w:bidi="ar"/>
                    </w:rPr>
                  </w:pPr>
                </w:p>
              </w:tc>
              <w:tc>
                <w:tcPr>
                  <w:tcW w:w="276" w:type="pct"/>
                  <w:vMerge w:val="continue"/>
                  <w:vAlign w:val="center"/>
                </w:tcPr>
                <w:p w14:paraId="4A61AAAC">
                  <w:pPr>
                    <w:keepNext w:val="0"/>
                    <w:keepLines w:val="0"/>
                    <w:pageBreakBefore w:val="0"/>
                    <w:widowControl/>
                    <w:kinsoku/>
                    <w:wordWrap w:val="0"/>
                    <w:overflowPunct/>
                    <w:topLinePunct w:val="0"/>
                    <w:autoSpaceDE/>
                    <w:autoSpaceDN/>
                    <w:bidi w:val="0"/>
                    <w:snapToGrid/>
                    <w:spacing w:line="240" w:lineRule="exact"/>
                    <w:jc w:val="center"/>
                    <w:rPr>
                      <w:rFonts w:hint="default" w:ascii="Times New Roman" w:hAnsi="Times New Roman" w:cs="Times New Roman"/>
                      <w:b/>
                      <w:color w:val="auto"/>
                      <w:sz w:val="21"/>
                      <w:szCs w:val="21"/>
                      <w:lang w:bidi="ar"/>
                    </w:rPr>
                  </w:pPr>
                </w:p>
              </w:tc>
              <w:tc>
                <w:tcPr>
                  <w:tcW w:w="303" w:type="pct"/>
                  <w:vMerge w:val="continue"/>
                  <w:vAlign w:val="center"/>
                </w:tcPr>
                <w:p w14:paraId="7510C4DE">
                  <w:pPr>
                    <w:keepNext w:val="0"/>
                    <w:keepLines w:val="0"/>
                    <w:pageBreakBefore w:val="0"/>
                    <w:widowControl/>
                    <w:kinsoku/>
                    <w:wordWrap w:val="0"/>
                    <w:overflowPunct/>
                    <w:topLinePunct w:val="0"/>
                    <w:autoSpaceDE/>
                    <w:autoSpaceDN/>
                    <w:bidi w:val="0"/>
                    <w:snapToGrid/>
                    <w:spacing w:line="240" w:lineRule="exact"/>
                    <w:jc w:val="center"/>
                    <w:rPr>
                      <w:rFonts w:hint="default" w:ascii="Times New Roman" w:hAnsi="Times New Roman" w:cs="Times New Roman"/>
                      <w:b/>
                      <w:color w:val="auto"/>
                      <w:sz w:val="21"/>
                      <w:szCs w:val="21"/>
                      <w:lang w:bidi="ar"/>
                    </w:rPr>
                  </w:pPr>
                </w:p>
              </w:tc>
              <w:tc>
                <w:tcPr>
                  <w:tcW w:w="307" w:type="pct"/>
                  <w:vAlign w:val="center"/>
                </w:tcPr>
                <w:p w14:paraId="3EAA75A9">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bidi="ar"/>
                    </w:rPr>
                  </w:pPr>
                  <w:r>
                    <w:rPr>
                      <w:rFonts w:hint="eastAsia" w:ascii="Times New Roman" w:hAnsi="Times New Roman" w:eastAsia="宋体" w:cs="Times New Roman"/>
                      <w:color w:val="auto"/>
                      <w:sz w:val="21"/>
                      <w:szCs w:val="21"/>
                      <w:lang w:val="en-US" w:eastAsia="zh-CN" w:bidi="ar"/>
                    </w:rPr>
                    <w:t>污染物排放管控</w:t>
                  </w:r>
                </w:p>
                <w:p w14:paraId="0DC4C8AA">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b/>
                      <w:color w:val="auto"/>
                      <w:sz w:val="21"/>
                      <w:szCs w:val="21"/>
                      <w:lang w:bidi="ar"/>
                    </w:rPr>
                  </w:pPr>
                </w:p>
              </w:tc>
              <w:tc>
                <w:tcPr>
                  <w:tcW w:w="1454" w:type="pct"/>
                  <w:vAlign w:val="center"/>
                </w:tcPr>
                <w:p w14:paraId="6EA09BC6">
                  <w:pPr>
                    <w:keepNext w:val="0"/>
                    <w:keepLines w:val="0"/>
                    <w:pageBreakBefore w:val="0"/>
                    <w:numPr>
                      <w:ilvl w:val="0"/>
                      <w:numId w:val="0"/>
                    </w:numPr>
                    <w:kinsoku/>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color w:val="auto"/>
                      <w:sz w:val="21"/>
                      <w:szCs w:val="21"/>
                      <w:lang w:bidi="ar"/>
                    </w:rPr>
                  </w:pPr>
                  <w:r>
                    <w:rPr>
                      <w:rFonts w:hint="default" w:ascii="Times New Roman" w:hAnsi="Times New Roman" w:eastAsia="宋体" w:cs="Times New Roman"/>
                      <w:color w:val="auto"/>
                      <w:sz w:val="21"/>
                      <w:szCs w:val="21"/>
                      <w:lang w:bidi="ar"/>
                    </w:rPr>
                    <w:t>1.积极推广使用低 VOCs含量或低反应活性的原辅材料，加快工艺改进和产品升级。2.涉 VOCs工业企业大气污染物排放执行《工业企业挥发性有机物排放控制标准》(DB13/2322)。</w:t>
                  </w:r>
                </w:p>
                <w:p w14:paraId="00B8C559">
                  <w:pPr>
                    <w:keepNext w:val="0"/>
                    <w:keepLines w:val="0"/>
                    <w:pageBreakBefore w:val="0"/>
                    <w:numPr>
                      <w:ilvl w:val="0"/>
                      <w:numId w:val="0"/>
                    </w:numPr>
                    <w:kinsoku/>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cs="Times New Roman"/>
                      <w:b/>
                      <w:color w:val="auto"/>
                      <w:sz w:val="21"/>
                      <w:szCs w:val="21"/>
                      <w:lang w:bidi="ar"/>
                    </w:rPr>
                  </w:pPr>
                  <w:r>
                    <w:rPr>
                      <w:rFonts w:hint="default" w:ascii="Times New Roman" w:hAnsi="Times New Roman" w:eastAsia="宋体" w:cs="Times New Roman"/>
                      <w:color w:val="auto"/>
                      <w:sz w:val="21"/>
                      <w:szCs w:val="21"/>
                      <w:lang w:bidi="ar"/>
                    </w:rPr>
                    <w:t>3.完善雨污基础设施体系建设，加快推进城区老旧管网雨污分流改造;加强入河排污口整治，采取雨水与污水截流、调蓄与治理等措施:有序推动城区、园区周边区域城乡污水一体化建设，因地制宜推动农村污水设施建设。</w:t>
                  </w:r>
                </w:p>
              </w:tc>
              <w:tc>
                <w:tcPr>
                  <w:tcW w:w="1374" w:type="pct"/>
                  <w:vAlign w:val="center"/>
                </w:tcPr>
                <w:p w14:paraId="4E4A3A1F">
                  <w:pPr>
                    <w:keepNext w:val="0"/>
                    <w:keepLines w:val="0"/>
                    <w:pageBreakBefore w:val="0"/>
                    <w:widowControl/>
                    <w:tabs>
                      <w:tab w:val="left" w:pos="3429"/>
                    </w:tabs>
                    <w:kinsoku/>
                    <w:wordWrap w:val="0"/>
                    <w:overflowPunct/>
                    <w:topLinePunct w:val="0"/>
                    <w:autoSpaceDE/>
                    <w:autoSpaceDN/>
                    <w:bidi w:val="0"/>
                    <w:snapToGrid/>
                    <w:spacing w:line="240" w:lineRule="exact"/>
                    <w:jc w:val="center"/>
                    <w:rPr>
                      <w:rFonts w:hint="eastAsia" w:ascii="Times New Roman" w:hAnsi="Times New Roman" w:eastAsia="宋体" w:cs="Times New Roman"/>
                      <w:b/>
                      <w:color w:val="auto"/>
                      <w:sz w:val="21"/>
                      <w:szCs w:val="21"/>
                      <w:lang w:eastAsia="zh-CN"/>
                    </w:rPr>
                  </w:pPr>
                  <w:r>
                    <w:rPr>
                      <w:rFonts w:hint="eastAsia" w:ascii="Times New Roman" w:hAnsi="Times New Roman" w:cs="Times New Roman"/>
                      <w:color w:val="auto"/>
                      <w:sz w:val="21"/>
                      <w:szCs w:val="21"/>
                      <w:lang w:eastAsia="zh-CN" w:bidi="ar"/>
                    </w:rPr>
                    <w:t>本项目原材料为塑料原包料，</w:t>
                  </w:r>
                  <w:r>
                    <w:rPr>
                      <w:rFonts w:hint="eastAsia" w:ascii="Times New Roman" w:hAnsi="Times New Roman" w:eastAsia="宋体" w:cs="Times New Roman"/>
                      <w:color w:val="auto"/>
                      <w:sz w:val="21"/>
                      <w:szCs w:val="21"/>
                      <w:lang w:eastAsia="zh-CN" w:bidi="ar"/>
                    </w:rPr>
                    <w:t>本项目</w:t>
                  </w:r>
                  <w:r>
                    <w:rPr>
                      <w:rFonts w:hint="default" w:ascii="Times New Roman" w:hAnsi="Times New Roman" w:eastAsia="宋体" w:cs="Times New Roman"/>
                      <w:i w:val="0"/>
                      <w:iCs w:val="0"/>
                      <w:color w:val="auto"/>
                      <w:kern w:val="0"/>
                      <w:sz w:val="21"/>
                      <w:szCs w:val="21"/>
                      <w:u w:val="none"/>
                      <w:lang w:val="en-US" w:eastAsia="zh-CN" w:bidi="ar"/>
                    </w:rPr>
                    <w:t>非甲烷总烃执行</w:t>
                  </w:r>
                  <w:r>
                    <w:rPr>
                      <w:rFonts w:hint="eastAsia" w:ascii="Times New Roman" w:hAnsi="Times New Roman" w:cs="Times New Roman"/>
                      <w:bCs/>
                      <w:color w:val="auto"/>
                      <w:sz w:val="21"/>
                      <w:szCs w:val="21"/>
                      <w:lang w:eastAsia="zh-CN"/>
                    </w:rPr>
                    <w:t>《合成树脂工业污染物排放标准》(GB31572-2015)及修改单</w:t>
                  </w:r>
                  <w:r>
                    <w:rPr>
                      <w:rFonts w:ascii="Times New Roman" w:hAnsi="Times New Roman" w:cs="Times New Roman"/>
                      <w:bCs/>
                      <w:color w:val="auto"/>
                      <w:sz w:val="21"/>
                      <w:szCs w:val="21"/>
                    </w:rPr>
                    <w:t>表5大气污染物特别排放限值、《工业企业挥发性有机物排放控制标准》（DB13/2322-201</w:t>
                  </w:r>
                  <w:r>
                    <w:rPr>
                      <w:rFonts w:ascii="Times New Roman" w:hAnsi="Times New Roman" w:cs="Times New Roman"/>
                      <w:bCs/>
                      <w:color w:val="auto"/>
                      <w:sz w:val="21"/>
                      <w:szCs w:val="21"/>
                      <w:lang w:bidi="ar"/>
                    </w:rPr>
                    <w:t>6）表1有机化工行业去除效率标准</w:t>
                  </w:r>
                  <w:r>
                    <w:rPr>
                      <w:rFonts w:hint="eastAsia" w:ascii="Times New Roman" w:hAnsi="Times New Roman" w:cs="Times New Roman"/>
                      <w:bCs/>
                      <w:color w:val="auto"/>
                      <w:sz w:val="21"/>
                      <w:szCs w:val="21"/>
                      <w:lang w:eastAsia="zh-CN" w:bidi="ar"/>
                    </w:rPr>
                    <w:t>。</w:t>
                  </w:r>
                  <w:r>
                    <w:rPr>
                      <w:rFonts w:hint="default" w:ascii="Times New Roman" w:hAnsi="Times New Roman" w:eastAsia="宋体" w:cs="Times New Roman"/>
                      <w:i w:val="0"/>
                      <w:iCs w:val="0"/>
                      <w:color w:val="auto"/>
                      <w:kern w:val="0"/>
                      <w:sz w:val="21"/>
                      <w:szCs w:val="21"/>
                      <w:u w:val="none"/>
                      <w:lang w:val="en-US" w:eastAsia="zh-CN" w:bidi="ar"/>
                    </w:rPr>
                    <w:t>本项目生产冷却水循环使用，定期补充，不外排；生活污水</w:t>
                  </w:r>
                  <w:r>
                    <w:rPr>
                      <w:rFonts w:hint="eastAsia" w:ascii="Times New Roman" w:hAnsi="Times New Roman" w:cs="Times New Roman"/>
                      <w:i w:val="0"/>
                      <w:iCs w:val="0"/>
                      <w:color w:val="auto"/>
                      <w:kern w:val="0"/>
                      <w:sz w:val="21"/>
                      <w:szCs w:val="21"/>
                      <w:u w:val="none"/>
                      <w:lang w:val="en-US" w:eastAsia="zh-CN" w:bidi="ar"/>
                    </w:rPr>
                    <w:t>排入化粪池，定期清掏</w:t>
                  </w:r>
                  <w:r>
                    <w:rPr>
                      <w:rFonts w:hint="default" w:ascii="Times New Roman" w:hAnsi="Times New Roman" w:eastAsia="宋体" w:cs="Times New Roman"/>
                      <w:i w:val="0"/>
                      <w:iCs w:val="0"/>
                      <w:color w:val="auto"/>
                      <w:kern w:val="0"/>
                      <w:sz w:val="21"/>
                      <w:szCs w:val="21"/>
                      <w:u w:val="none"/>
                      <w:lang w:val="en-US" w:eastAsia="zh-CN" w:bidi="ar"/>
                    </w:rPr>
                    <w:t>，不外排。</w:t>
                  </w:r>
                </w:p>
              </w:tc>
              <w:tc>
                <w:tcPr>
                  <w:tcW w:w="222" w:type="pct"/>
                  <w:vAlign w:val="center"/>
                </w:tcPr>
                <w:p w14:paraId="153FE78F">
                  <w:pPr>
                    <w:keepNext w:val="0"/>
                    <w:keepLines w:val="0"/>
                    <w:pageBreakBefore w:val="0"/>
                    <w:widowControl/>
                    <w:tabs>
                      <w:tab w:val="left" w:pos="3429"/>
                    </w:tabs>
                    <w:kinsoku/>
                    <w:wordWrap w:val="0"/>
                    <w:overflowPunct/>
                    <w:topLinePunct w:val="0"/>
                    <w:autoSpaceDE/>
                    <w:autoSpaceDN/>
                    <w:bidi w:val="0"/>
                    <w:snapToGrid/>
                    <w:spacing w:line="240" w:lineRule="exact"/>
                    <w:jc w:val="center"/>
                    <w:rPr>
                      <w:rFonts w:hint="default" w:ascii="Times New Roman" w:hAnsi="Times New Roman" w:cs="Times New Roman"/>
                      <w:b/>
                      <w:color w:val="auto"/>
                      <w:sz w:val="21"/>
                      <w:szCs w:val="21"/>
                    </w:rPr>
                  </w:pPr>
                  <w:r>
                    <w:rPr>
                      <w:rFonts w:hint="eastAsia" w:ascii="Times New Roman" w:hAnsi="Times New Roman" w:eastAsia="宋体" w:cs="Times New Roman"/>
                      <w:color w:val="auto"/>
                      <w:sz w:val="21"/>
                      <w:szCs w:val="21"/>
                      <w:highlight w:val="none"/>
                      <w:lang w:eastAsia="zh-CN" w:bidi="ar"/>
                    </w:rPr>
                    <w:t>符合</w:t>
                  </w:r>
                </w:p>
              </w:tc>
            </w:tr>
            <w:tr w14:paraId="003D3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1" w:hRule="atLeast"/>
                <w:jc w:val="center"/>
              </w:trPr>
              <w:tc>
                <w:tcPr>
                  <w:tcW w:w="1060" w:type="pct"/>
                  <w:vMerge w:val="continue"/>
                  <w:vAlign w:val="center"/>
                </w:tcPr>
                <w:p w14:paraId="273B4E73">
                  <w:pPr>
                    <w:keepNext w:val="0"/>
                    <w:keepLines w:val="0"/>
                    <w:pageBreakBefore w:val="0"/>
                    <w:widowControl/>
                    <w:kinsoku/>
                    <w:wordWrap w:val="0"/>
                    <w:overflowPunct/>
                    <w:topLinePunct w:val="0"/>
                    <w:autoSpaceDE/>
                    <w:autoSpaceDN/>
                    <w:bidi w:val="0"/>
                    <w:snapToGrid/>
                    <w:spacing w:line="240" w:lineRule="exact"/>
                    <w:jc w:val="center"/>
                    <w:rPr>
                      <w:rFonts w:hint="default" w:ascii="Times New Roman" w:hAnsi="Times New Roman" w:cs="Times New Roman"/>
                      <w:b/>
                      <w:color w:val="auto"/>
                      <w:sz w:val="21"/>
                      <w:szCs w:val="21"/>
                      <w:lang w:bidi="ar"/>
                    </w:rPr>
                  </w:pPr>
                </w:p>
              </w:tc>
              <w:tc>
                <w:tcPr>
                  <w:tcW w:w="276" w:type="pct"/>
                  <w:vMerge w:val="continue"/>
                  <w:vAlign w:val="center"/>
                </w:tcPr>
                <w:p w14:paraId="13226AD3">
                  <w:pPr>
                    <w:keepNext w:val="0"/>
                    <w:keepLines w:val="0"/>
                    <w:pageBreakBefore w:val="0"/>
                    <w:widowControl/>
                    <w:kinsoku/>
                    <w:wordWrap w:val="0"/>
                    <w:overflowPunct/>
                    <w:topLinePunct w:val="0"/>
                    <w:autoSpaceDE/>
                    <w:autoSpaceDN/>
                    <w:bidi w:val="0"/>
                    <w:snapToGrid/>
                    <w:spacing w:line="240" w:lineRule="exact"/>
                    <w:jc w:val="center"/>
                    <w:rPr>
                      <w:rFonts w:hint="default" w:ascii="Times New Roman" w:hAnsi="Times New Roman" w:cs="Times New Roman"/>
                      <w:b/>
                      <w:color w:val="auto"/>
                      <w:sz w:val="21"/>
                      <w:szCs w:val="21"/>
                      <w:lang w:bidi="ar"/>
                    </w:rPr>
                  </w:pPr>
                </w:p>
              </w:tc>
              <w:tc>
                <w:tcPr>
                  <w:tcW w:w="303" w:type="pct"/>
                  <w:vMerge w:val="continue"/>
                  <w:vAlign w:val="center"/>
                </w:tcPr>
                <w:p w14:paraId="5D0A67F4">
                  <w:pPr>
                    <w:keepNext w:val="0"/>
                    <w:keepLines w:val="0"/>
                    <w:pageBreakBefore w:val="0"/>
                    <w:widowControl/>
                    <w:kinsoku/>
                    <w:wordWrap w:val="0"/>
                    <w:overflowPunct/>
                    <w:topLinePunct w:val="0"/>
                    <w:autoSpaceDE/>
                    <w:autoSpaceDN/>
                    <w:bidi w:val="0"/>
                    <w:snapToGrid/>
                    <w:spacing w:line="240" w:lineRule="exact"/>
                    <w:jc w:val="center"/>
                    <w:rPr>
                      <w:rFonts w:hint="default" w:ascii="Times New Roman" w:hAnsi="Times New Roman" w:cs="Times New Roman"/>
                      <w:b/>
                      <w:color w:val="auto"/>
                      <w:sz w:val="21"/>
                      <w:szCs w:val="21"/>
                      <w:lang w:bidi="ar"/>
                    </w:rPr>
                  </w:pPr>
                </w:p>
              </w:tc>
              <w:tc>
                <w:tcPr>
                  <w:tcW w:w="307" w:type="pct"/>
                  <w:vAlign w:val="center"/>
                </w:tcPr>
                <w:p w14:paraId="3400F450">
                  <w:pPr>
                    <w:keepNext w:val="0"/>
                    <w:keepLines w:val="0"/>
                    <w:pageBreakBefore w:val="0"/>
                    <w:numPr>
                      <w:ilvl w:val="0"/>
                      <w:numId w:val="0"/>
                    </w:numPr>
                    <w:kinsoku/>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color w:val="auto"/>
                      <w:sz w:val="21"/>
                      <w:szCs w:val="21"/>
                      <w:lang w:bidi="ar"/>
                    </w:rPr>
                  </w:pPr>
                  <w:r>
                    <w:rPr>
                      <w:rFonts w:hint="eastAsia" w:ascii="Times New Roman" w:hAnsi="Times New Roman" w:eastAsia="宋体" w:cs="Times New Roman"/>
                      <w:color w:val="auto"/>
                      <w:sz w:val="21"/>
                      <w:szCs w:val="21"/>
                      <w:lang w:val="en-US" w:eastAsia="zh-CN" w:bidi="ar"/>
                    </w:rPr>
                    <w:t>资源利用效率</w:t>
                  </w:r>
                </w:p>
                <w:p w14:paraId="24529647">
                  <w:pPr>
                    <w:keepNext w:val="0"/>
                    <w:keepLines w:val="0"/>
                    <w:pageBreakBefore w:val="0"/>
                    <w:numPr>
                      <w:ilvl w:val="0"/>
                      <w:numId w:val="0"/>
                    </w:numPr>
                    <w:kinsoku/>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color w:val="auto"/>
                      <w:sz w:val="21"/>
                      <w:szCs w:val="21"/>
                      <w:lang w:bidi="ar"/>
                    </w:rPr>
                  </w:pPr>
                </w:p>
              </w:tc>
              <w:tc>
                <w:tcPr>
                  <w:tcW w:w="1454" w:type="pct"/>
                  <w:vAlign w:val="center"/>
                </w:tcPr>
                <w:p w14:paraId="66284D0F">
                  <w:pPr>
                    <w:keepNext w:val="0"/>
                    <w:keepLines w:val="0"/>
                    <w:pageBreakBefore w:val="0"/>
                    <w:numPr>
                      <w:ilvl w:val="0"/>
                      <w:numId w:val="0"/>
                    </w:numPr>
                    <w:kinsoku/>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color w:val="auto"/>
                      <w:sz w:val="21"/>
                      <w:szCs w:val="21"/>
                      <w:lang w:bidi="ar"/>
                    </w:rPr>
                  </w:pPr>
                  <w:r>
                    <w:rPr>
                      <w:rFonts w:hint="eastAsia" w:ascii="Times New Roman" w:hAnsi="Times New Roman" w:eastAsia="宋体" w:cs="Times New Roman"/>
                      <w:color w:val="auto"/>
                      <w:sz w:val="21"/>
                      <w:szCs w:val="21"/>
                      <w:lang w:val="en-US" w:eastAsia="zh-CN" w:bidi="ar"/>
                    </w:rPr>
                    <w:t>里澜城镇、三圣口乡落实深层地下水限采要求。</w:t>
                  </w:r>
                </w:p>
                <w:p w14:paraId="1C8DF82C">
                  <w:pPr>
                    <w:keepNext w:val="0"/>
                    <w:keepLines w:val="0"/>
                    <w:pageBreakBefore w:val="0"/>
                    <w:numPr>
                      <w:ilvl w:val="0"/>
                      <w:numId w:val="0"/>
                    </w:numPr>
                    <w:kinsoku/>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color w:val="auto"/>
                      <w:sz w:val="21"/>
                      <w:szCs w:val="21"/>
                      <w:lang w:bidi="ar"/>
                    </w:rPr>
                  </w:pPr>
                </w:p>
              </w:tc>
              <w:tc>
                <w:tcPr>
                  <w:tcW w:w="1374" w:type="pct"/>
                  <w:vAlign w:val="center"/>
                </w:tcPr>
                <w:p w14:paraId="3B0F489E">
                  <w:pPr>
                    <w:keepNext w:val="0"/>
                    <w:keepLines w:val="0"/>
                    <w:pageBreakBefore w:val="0"/>
                    <w:widowControl/>
                    <w:tabs>
                      <w:tab w:val="left" w:pos="3429"/>
                    </w:tabs>
                    <w:kinsoku/>
                    <w:wordWrap w:val="0"/>
                    <w:overflowPunct/>
                    <w:topLinePunct w:val="0"/>
                    <w:autoSpaceDE/>
                    <w:autoSpaceDN/>
                    <w:bidi w:val="0"/>
                    <w:snapToGrid/>
                    <w:spacing w:line="240" w:lineRule="exact"/>
                    <w:jc w:val="center"/>
                    <w:rPr>
                      <w:rFonts w:hint="default" w:ascii="Times New Roman" w:hAnsi="Times New Roman" w:cs="Times New Roman"/>
                      <w:b/>
                      <w:color w:val="auto"/>
                      <w:sz w:val="21"/>
                      <w:szCs w:val="21"/>
                    </w:rPr>
                  </w:pPr>
                  <w:r>
                    <w:rPr>
                      <w:rFonts w:hint="eastAsia" w:ascii="Times New Roman" w:hAnsi="Times New Roman" w:eastAsia="宋体" w:cs="Times New Roman"/>
                      <w:color w:val="auto"/>
                      <w:sz w:val="21"/>
                      <w:szCs w:val="21"/>
                      <w:lang w:val="en-US" w:eastAsia="zh-CN" w:bidi="ar"/>
                    </w:rPr>
                    <w:t>本项目用水由当地供水管网供给，不取用地下水</w:t>
                  </w:r>
                </w:p>
              </w:tc>
              <w:tc>
                <w:tcPr>
                  <w:tcW w:w="222" w:type="pct"/>
                  <w:vAlign w:val="center"/>
                </w:tcPr>
                <w:p w14:paraId="61AD6EB1">
                  <w:pPr>
                    <w:keepNext w:val="0"/>
                    <w:keepLines w:val="0"/>
                    <w:pageBreakBefore w:val="0"/>
                    <w:widowControl/>
                    <w:tabs>
                      <w:tab w:val="left" w:pos="3429"/>
                    </w:tabs>
                    <w:kinsoku/>
                    <w:wordWrap w:val="0"/>
                    <w:overflowPunct/>
                    <w:topLinePunct w:val="0"/>
                    <w:autoSpaceDE/>
                    <w:autoSpaceDN/>
                    <w:bidi w:val="0"/>
                    <w:snapToGrid/>
                    <w:spacing w:line="240" w:lineRule="exact"/>
                    <w:jc w:val="center"/>
                    <w:rPr>
                      <w:rFonts w:hint="default" w:ascii="Times New Roman" w:hAnsi="Times New Roman" w:cs="Times New Roman"/>
                      <w:b/>
                      <w:color w:val="auto"/>
                      <w:sz w:val="21"/>
                      <w:szCs w:val="21"/>
                    </w:rPr>
                  </w:pPr>
                  <w:r>
                    <w:rPr>
                      <w:rFonts w:hint="eastAsia" w:ascii="Times New Roman" w:hAnsi="Times New Roman" w:eastAsia="宋体" w:cs="Times New Roman"/>
                      <w:color w:val="auto"/>
                      <w:sz w:val="21"/>
                      <w:szCs w:val="21"/>
                      <w:highlight w:val="none"/>
                      <w:lang w:eastAsia="zh-CN" w:bidi="ar"/>
                    </w:rPr>
                    <w:t>符合</w:t>
                  </w:r>
                </w:p>
              </w:tc>
            </w:tr>
          </w:tbl>
          <w:p w14:paraId="790781F9">
            <w:pPr>
              <w:autoSpaceDE w:val="0"/>
              <w:autoSpaceDN w:val="0"/>
              <w:spacing w:line="480" w:lineRule="atLeast"/>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本项目</w:t>
            </w:r>
            <w:r>
              <w:rPr>
                <w:rFonts w:hint="default" w:ascii="Times New Roman" w:hAnsi="Times New Roman" w:eastAsia="宋体" w:cs="Times New Roman"/>
                <w:color w:val="auto"/>
                <w:sz w:val="24"/>
                <w:szCs w:val="24"/>
                <w:highlight w:val="none"/>
              </w:rPr>
              <w:t>符合《廊坊市区域空间生态环境评价暨</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三线一单</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生态</w:t>
            </w:r>
            <w:r>
              <w:rPr>
                <w:rFonts w:hint="default" w:ascii="Times New Roman" w:hAnsi="Times New Roman" w:cs="Times New Roman"/>
                <w:color w:val="auto"/>
                <w:sz w:val="24"/>
                <w:szCs w:val="24"/>
                <w:highlight w:val="none"/>
              </w:rPr>
              <w:t>环境准入清单》廊坊市管控单元生态环境准入要求，项目不在负面清单范围内。</w:t>
            </w:r>
          </w:p>
          <w:p w14:paraId="3E9F6935">
            <w:pPr>
              <w:autoSpaceDE w:val="0"/>
              <w:autoSpaceDN w:val="0"/>
              <w:spacing w:line="480" w:lineRule="atLeas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highlight w:val="none"/>
              </w:rPr>
              <w:t>综上所述，项目不在环境准入负面清单之列，</w:t>
            </w:r>
            <w:r>
              <w:rPr>
                <w:rFonts w:hint="default" w:ascii="Times New Roman" w:hAnsi="Times New Roman" w:cs="Times New Roman"/>
                <w:color w:val="auto"/>
                <w:sz w:val="24"/>
                <w:szCs w:val="24"/>
                <w:highlight w:val="none"/>
                <w:lang w:bidi="ar"/>
              </w:rPr>
              <w:t>符合</w:t>
            </w:r>
            <w:r>
              <w:rPr>
                <w:rFonts w:hint="default" w:ascii="Times New Roman" w:hAnsi="Times New Roman" w:cs="Times New Roman"/>
                <w:color w:val="auto"/>
                <w:sz w:val="24"/>
                <w:szCs w:val="24"/>
                <w:highlight w:val="none"/>
                <w:lang w:eastAsia="zh-CN" w:bidi="ar"/>
              </w:rPr>
              <w:t>“</w:t>
            </w:r>
            <w:r>
              <w:rPr>
                <w:rFonts w:hint="default" w:ascii="Times New Roman" w:hAnsi="Times New Roman" w:cs="Times New Roman"/>
                <w:color w:val="auto"/>
                <w:sz w:val="24"/>
                <w:szCs w:val="24"/>
                <w:highlight w:val="none"/>
                <w:lang w:bidi="ar"/>
              </w:rPr>
              <w:t>三线一单</w:t>
            </w:r>
            <w:r>
              <w:rPr>
                <w:rFonts w:hint="default" w:ascii="Times New Roman" w:hAnsi="Times New Roman" w:cs="Times New Roman"/>
                <w:color w:val="auto"/>
                <w:sz w:val="24"/>
                <w:szCs w:val="24"/>
                <w:lang w:eastAsia="zh-CN" w:bidi="ar"/>
              </w:rPr>
              <w:t>”</w:t>
            </w:r>
            <w:r>
              <w:rPr>
                <w:rFonts w:hint="default" w:ascii="Times New Roman" w:hAnsi="Times New Roman" w:cs="Times New Roman"/>
                <w:color w:val="auto"/>
                <w:sz w:val="24"/>
                <w:szCs w:val="24"/>
                <w:lang w:bidi="ar"/>
              </w:rPr>
              <w:t>要求。</w:t>
            </w:r>
          </w:p>
          <w:p w14:paraId="35DEE641">
            <w:pPr>
              <w:spacing w:line="480" w:lineRule="atLeast"/>
              <w:ind w:firstLine="482" w:firstLineChars="200"/>
              <w:jc w:val="left"/>
              <w:rPr>
                <w:rFonts w:hint="default" w:ascii="Times New Roman" w:hAnsi="Times New Roman" w:cs="Times New Roman" w:eastAsiaTheme="majorEastAsia"/>
                <w:b/>
                <w:color w:val="auto"/>
                <w:sz w:val="24"/>
                <w:szCs w:val="24"/>
              </w:rPr>
            </w:pPr>
            <w:r>
              <w:rPr>
                <w:rFonts w:hint="default" w:ascii="Times New Roman" w:hAnsi="Times New Roman" w:cs="Times New Roman" w:eastAsiaTheme="majorEastAsia"/>
                <w:b/>
                <w:bCs/>
                <w:color w:val="auto"/>
                <w:sz w:val="24"/>
                <w:szCs w:val="24"/>
              </w:rPr>
              <w:t>4、</w:t>
            </w:r>
            <w:r>
              <w:rPr>
                <w:rFonts w:hint="default" w:ascii="Times New Roman" w:hAnsi="Times New Roman" w:cs="Times New Roman" w:eastAsiaTheme="majorEastAsia"/>
                <w:b/>
                <w:color w:val="auto"/>
                <w:sz w:val="24"/>
                <w:szCs w:val="24"/>
              </w:rPr>
              <w:t>其他符合性分析</w:t>
            </w:r>
          </w:p>
          <w:p w14:paraId="651D1925">
            <w:pPr>
              <w:spacing w:line="480" w:lineRule="exact"/>
              <w:ind w:firstLine="480" w:firstLineChars="200"/>
              <w:rPr>
                <w:rFonts w:hint="default" w:ascii="Times New Roman" w:hAnsi="Times New Roman" w:eastAsia="宋体" w:cs="Times New Roman"/>
                <w:color w:val="auto"/>
                <w:sz w:val="24"/>
                <w:lang w:eastAsia="zh-CN"/>
              </w:rPr>
            </w:pPr>
            <w:r>
              <w:rPr>
                <w:rFonts w:hint="default" w:ascii="Times New Roman" w:hAnsi="Times New Roman" w:cs="Times New Roman"/>
                <w:color w:val="auto"/>
                <w:sz w:val="24"/>
              </w:rPr>
              <w:t>本项目与现行大气污染防治政策符合性分析详见下表。</w:t>
            </w:r>
          </w:p>
          <w:p w14:paraId="09C6283C">
            <w:pPr>
              <w:spacing w:line="480" w:lineRule="exact"/>
              <w:jc w:val="center"/>
              <w:rPr>
                <w:rFonts w:hint="default" w:ascii="Times New Roman" w:hAnsi="Times New Roman" w:cs="Times New Roman"/>
                <w:b/>
                <w:bCs/>
                <w:color w:val="auto"/>
                <w:sz w:val="24"/>
              </w:rPr>
            </w:pPr>
            <w:r>
              <w:rPr>
                <w:rFonts w:hint="default" w:ascii="Times New Roman" w:hAnsi="Times New Roman" w:cs="Times New Roman"/>
                <w:b/>
                <w:bCs/>
                <w:color w:val="auto"/>
                <w:sz w:val="24"/>
              </w:rPr>
              <w:t>表</w:t>
            </w:r>
            <w:r>
              <w:rPr>
                <w:rFonts w:hint="eastAsia" w:ascii="Times New Roman" w:hAnsi="Times New Roman" w:cs="Times New Roman"/>
                <w:b/>
                <w:bCs/>
                <w:color w:val="auto"/>
                <w:sz w:val="24"/>
                <w:lang w:val="en-US" w:eastAsia="zh-CN"/>
              </w:rPr>
              <w:t>3</w:t>
            </w:r>
            <w:r>
              <w:rPr>
                <w:rFonts w:hint="default" w:ascii="Times New Roman" w:hAnsi="Times New Roman" w:cs="Times New Roman"/>
                <w:b/>
                <w:bCs/>
                <w:color w:val="auto"/>
                <w:sz w:val="24"/>
              </w:rPr>
              <w:t>本项目与现行大气污染防治政策符合性分析表</w:t>
            </w:r>
          </w:p>
          <w:tbl>
            <w:tblPr>
              <w:tblStyle w:val="3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4730"/>
              <w:gridCol w:w="1799"/>
              <w:gridCol w:w="777"/>
            </w:tblGrid>
            <w:tr w14:paraId="0740A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237" w:type="pct"/>
                  <w:vAlign w:val="center"/>
                </w:tcPr>
                <w:p w14:paraId="18CEDFE6">
                  <w:pPr>
                    <w:keepNext w:val="0"/>
                    <w:keepLines w:val="0"/>
                    <w:pageBreakBefore w:val="0"/>
                    <w:widowControl/>
                    <w:kinsoku/>
                    <w:wordWrap/>
                    <w:overflowPunct/>
                    <w:topLinePunct w:val="0"/>
                    <w:bidi w:val="0"/>
                    <w:adjustRightInd/>
                    <w:snapToGrid/>
                    <w:spacing w:line="240" w:lineRule="exact"/>
                    <w:jc w:val="center"/>
                    <w:rPr>
                      <w:rFonts w:hint="default" w:ascii="Times New Roman" w:hAnsi="Times New Roman" w:cs="Times New Roman"/>
                      <w:color w:val="auto"/>
                      <w:sz w:val="21"/>
                      <w:szCs w:val="21"/>
                    </w:rPr>
                  </w:pPr>
                  <w:r>
                    <w:rPr>
                      <w:rFonts w:hint="default" w:ascii="Times New Roman" w:hAnsi="Times New Roman" w:cs="Times New Roman"/>
                      <w:b/>
                      <w:color w:val="auto"/>
                      <w:sz w:val="21"/>
                      <w:szCs w:val="21"/>
                      <w:lang w:bidi="ar"/>
                    </w:rPr>
                    <w:t>文件要求</w:t>
                  </w:r>
                </w:p>
              </w:tc>
              <w:tc>
                <w:tcPr>
                  <w:tcW w:w="1231" w:type="pct"/>
                  <w:vAlign w:val="center"/>
                </w:tcPr>
                <w:p w14:paraId="7C26AB53">
                  <w:pPr>
                    <w:keepNext w:val="0"/>
                    <w:keepLines w:val="0"/>
                    <w:pageBreakBefore w:val="0"/>
                    <w:widowControl/>
                    <w:kinsoku/>
                    <w:wordWrap/>
                    <w:overflowPunct/>
                    <w:topLinePunct w:val="0"/>
                    <w:bidi w:val="0"/>
                    <w:adjustRightInd/>
                    <w:snapToGrid/>
                    <w:spacing w:line="240" w:lineRule="exact"/>
                    <w:jc w:val="center"/>
                    <w:rPr>
                      <w:rFonts w:hint="default" w:ascii="Times New Roman" w:hAnsi="Times New Roman" w:cs="Times New Roman"/>
                      <w:color w:val="auto"/>
                      <w:sz w:val="21"/>
                      <w:szCs w:val="21"/>
                    </w:rPr>
                  </w:pPr>
                  <w:r>
                    <w:rPr>
                      <w:rFonts w:hint="default" w:ascii="Times New Roman" w:hAnsi="Times New Roman" w:cs="Times New Roman"/>
                      <w:b/>
                      <w:color w:val="auto"/>
                      <w:sz w:val="21"/>
                      <w:szCs w:val="21"/>
                      <w:lang w:bidi="ar"/>
                    </w:rPr>
                    <w:t>本项目情况</w:t>
                  </w:r>
                </w:p>
              </w:tc>
              <w:tc>
                <w:tcPr>
                  <w:tcW w:w="531" w:type="pct"/>
                  <w:vAlign w:val="center"/>
                </w:tcPr>
                <w:p w14:paraId="2AA3BA32">
                  <w:pPr>
                    <w:keepNext w:val="0"/>
                    <w:keepLines w:val="0"/>
                    <w:pageBreakBefore w:val="0"/>
                    <w:widowControl/>
                    <w:kinsoku/>
                    <w:wordWrap/>
                    <w:overflowPunct/>
                    <w:topLinePunct w:val="0"/>
                    <w:bidi w:val="0"/>
                    <w:adjustRightInd/>
                    <w:snapToGrid/>
                    <w:spacing w:line="240" w:lineRule="exact"/>
                    <w:jc w:val="center"/>
                    <w:rPr>
                      <w:rFonts w:hint="default" w:ascii="Times New Roman" w:hAnsi="Times New Roman" w:cs="Times New Roman"/>
                      <w:color w:val="auto"/>
                      <w:sz w:val="21"/>
                      <w:szCs w:val="21"/>
                    </w:rPr>
                  </w:pPr>
                  <w:r>
                    <w:rPr>
                      <w:rFonts w:hint="default" w:ascii="Times New Roman" w:hAnsi="Times New Roman" w:cs="Times New Roman"/>
                      <w:b/>
                      <w:color w:val="auto"/>
                      <w:sz w:val="21"/>
                      <w:szCs w:val="21"/>
                      <w:lang w:bidi="ar"/>
                    </w:rPr>
                    <w:t>符合性</w:t>
                  </w:r>
                </w:p>
                <w:p w14:paraId="429CB0E5">
                  <w:pPr>
                    <w:keepNext w:val="0"/>
                    <w:keepLines w:val="0"/>
                    <w:pageBreakBefore w:val="0"/>
                    <w:widowControl/>
                    <w:kinsoku/>
                    <w:wordWrap/>
                    <w:overflowPunct/>
                    <w:topLinePunct w:val="0"/>
                    <w:bidi w:val="0"/>
                    <w:adjustRightInd/>
                    <w:snapToGrid/>
                    <w:spacing w:line="240" w:lineRule="exact"/>
                    <w:jc w:val="center"/>
                    <w:rPr>
                      <w:rFonts w:hint="default" w:ascii="Times New Roman" w:hAnsi="Times New Roman" w:cs="Times New Roman"/>
                      <w:color w:val="auto"/>
                      <w:sz w:val="21"/>
                      <w:szCs w:val="21"/>
                    </w:rPr>
                  </w:pPr>
                  <w:r>
                    <w:rPr>
                      <w:rFonts w:hint="default" w:ascii="Times New Roman" w:hAnsi="Times New Roman" w:cs="Times New Roman"/>
                      <w:b/>
                      <w:color w:val="auto"/>
                      <w:sz w:val="21"/>
                      <w:szCs w:val="21"/>
                      <w:lang w:bidi="ar"/>
                    </w:rPr>
                    <w:t>分析</w:t>
                  </w:r>
                </w:p>
              </w:tc>
            </w:tr>
            <w:tr w14:paraId="6207B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000" w:type="pct"/>
                  <w:gridSpan w:val="3"/>
                  <w:vAlign w:val="center"/>
                </w:tcPr>
                <w:p w14:paraId="48174A9C">
                  <w:pPr>
                    <w:keepNext w:val="0"/>
                    <w:keepLines w:val="0"/>
                    <w:pageBreakBefore w:val="0"/>
                    <w:kinsoku/>
                    <w:overflowPunct/>
                    <w:topLinePunct w:val="0"/>
                    <w:autoSpaceDE/>
                    <w:autoSpaceDN/>
                    <w:bidi w:val="0"/>
                    <w:snapToGrid/>
                    <w:spacing w:line="240" w:lineRule="exact"/>
                    <w:jc w:val="center"/>
                    <w:rPr>
                      <w:rFonts w:hint="default" w:ascii="Times New Roman" w:hAnsi="Times New Roman" w:cs="Times New Roman"/>
                      <w:b/>
                      <w:color w:val="auto"/>
                      <w:sz w:val="21"/>
                      <w:szCs w:val="21"/>
                      <w:lang w:bidi="ar"/>
                    </w:rPr>
                  </w:pPr>
                  <w:r>
                    <w:rPr>
                      <w:rFonts w:hint="eastAsia" w:ascii="Times New Roman" w:hAnsi="Times New Roman" w:eastAsia="宋体" w:cs="Times New Roman"/>
                      <w:b/>
                      <w:bCs/>
                      <w:color w:val="auto"/>
                      <w:sz w:val="21"/>
                      <w:szCs w:val="21"/>
                      <w:lang w:val="en-US" w:eastAsia="zh-CN" w:bidi="ar"/>
                    </w:rPr>
                    <w:t>《十四五挥发性有机物污染防治工作方案》</w:t>
                  </w:r>
                </w:p>
              </w:tc>
            </w:tr>
            <w:tr w14:paraId="61658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237" w:type="pct"/>
                  <w:vAlign w:val="center"/>
                </w:tcPr>
                <w:p w14:paraId="4C6BE349">
                  <w:pPr>
                    <w:keepNext w:val="0"/>
                    <w:keepLines w:val="0"/>
                    <w:pageBreakBefore w:val="0"/>
                    <w:kinsoku/>
                    <w:overflowPunct/>
                    <w:topLinePunct w:val="0"/>
                    <w:autoSpaceDE/>
                    <w:autoSpaceDN/>
                    <w:bidi w:val="0"/>
                    <w:snapToGrid/>
                    <w:spacing w:line="240" w:lineRule="exact"/>
                    <w:jc w:val="center"/>
                    <w:rPr>
                      <w:rFonts w:hint="default" w:ascii="Times New Roman" w:hAnsi="Times New Roman" w:cs="Times New Roman"/>
                      <w:b/>
                      <w:color w:val="auto"/>
                      <w:sz w:val="21"/>
                      <w:szCs w:val="21"/>
                      <w:lang w:bidi="ar"/>
                    </w:rPr>
                  </w:pPr>
                  <w:r>
                    <w:rPr>
                      <w:rFonts w:hint="eastAsia" w:ascii="Times New Roman" w:hAnsi="Times New Roman" w:eastAsia="宋体" w:cs="Times New Roman"/>
                      <w:color w:val="auto"/>
                      <w:sz w:val="21"/>
                      <w:szCs w:val="21"/>
                      <w:lang w:eastAsia="zh-CN" w:bidi="ar"/>
                    </w:rPr>
                    <w:t>大力推进低</w:t>
                  </w:r>
                  <w:r>
                    <w:rPr>
                      <w:rFonts w:hint="default" w:ascii="Times New Roman" w:hAnsi="Times New Roman" w:eastAsia="宋体" w:cs="Times New Roman"/>
                      <w:color w:val="auto"/>
                      <w:sz w:val="21"/>
                      <w:szCs w:val="21"/>
                      <w:lang w:bidi="ar"/>
                    </w:rPr>
                    <w:t>VOCs</w:t>
                  </w:r>
                  <w:r>
                    <w:rPr>
                      <w:rFonts w:hint="eastAsia" w:ascii="Times New Roman" w:hAnsi="Times New Roman" w:eastAsia="宋体" w:cs="Times New Roman"/>
                      <w:color w:val="auto"/>
                      <w:sz w:val="21"/>
                      <w:szCs w:val="21"/>
                      <w:lang w:eastAsia="zh-CN" w:bidi="ar"/>
                    </w:rPr>
                    <w:t>含量原辅材料的源头替代</w:t>
                  </w:r>
                </w:p>
              </w:tc>
              <w:tc>
                <w:tcPr>
                  <w:tcW w:w="1231" w:type="pct"/>
                  <w:vAlign w:val="center"/>
                </w:tcPr>
                <w:p w14:paraId="22FCDA39">
                  <w:pPr>
                    <w:keepNext w:val="0"/>
                    <w:keepLines w:val="0"/>
                    <w:pageBreakBefore w:val="0"/>
                    <w:kinsoku/>
                    <w:overflowPunct/>
                    <w:topLinePunct w:val="0"/>
                    <w:autoSpaceDE/>
                    <w:autoSpaceDN/>
                    <w:bidi w:val="0"/>
                    <w:snapToGrid/>
                    <w:spacing w:line="240" w:lineRule="exact"/>
                    <w:jc w:val="center"/>
                    <w:rPr>
                      <w:rFonts w:hint="default" w:ascii="Times New Roman" w:hAnsi="Times New Roman" w:cs="Times New Roman"/>
                      <w:b/>
                      <w:color w:val="auto"/>
                      <w:sz w:val="21"/>
                      <w:szCs w:val="21"/>
                      <w:lang w:bidi="ar"/>
                    </w:rPr>
                  </w:pPr>
                  <w:r>
                    <w:rPr>
                      <w:rFonts w:hint="default" w:ascii="Times New Roman" w:hAnsi="Times New Roman" w:eastAsia="宋体" w:cs="Times New Roman"/>
                      <w:color w:val="auto"/>
                      <w:sz w:val="21"/>
                      <w:szCs w:val="21"/>
                      <w:lang w:bidi="ar"/>
                    </w:rPr>
                    <w:t>本项目使用</w:t>
                  </w:r>
                  <w:r>
                    <w:rPr>
                      <w:rFonts w:hint="eastAsia" w:ascii="Times New Roman" w:hAnsi="Times New Roman" w:eastAsia="宋体" w:cs="Times New Roman"/>
                      <w:color w:val="auto"/>
                      <w:sz w:val="21"/>
                      <w:szCs w:val="21"/>
                      <w:lang w:eastAsia="zh-CN" w:bidi="ar"/>
                    </w:rPr>
                    <w:t>的原辅材料均为</w:t>
                  </w:r>
                  <w:r>
                    <w:rPr>
                      <w:rFonts w:hint="default" w:ascii="Times New Roman" w:hAnsi="Times New Roman" w:eastAsia="宋体" w:cs="Times New Roman"/>
                      <w:color w:val="auto"/>
                      <w:sz w:val="21"/>
                      <w:szCs w:val="21"/>
                      <w:lang w:bidi="ar"/>
                    </w:rPr>
                    <w:t>低VOCs原料</w:t>
                  </w:r>
                </w:p>
              </w:tc>
              <w:tc>
                <w:tcPr>
                  <w:tcW w:w="531" w:type="pct"/>
                  <w:vAlign w:val="center"/>
                </w:tcPr>
                <w:p w14:paraId="69CB4CF3">
                  <w:pPr>
                    <w:keepNext w:val="0"/>
                    <w:keepLines w:val="0"/>
                    <w:pageBreakBefore w:val="0"/>
                    <w:kinsoku/>
                    <w:overflowPunct/>
                    <w:topLinePunct w:val="0"/>
                    <w:autoSpaceDE/>
                    <w:autoSpaceDN/>
                    <w:bidi w:val="0"/>
                    <w:snapToGrid/>
                    <w:spacing w:line="240" w:lineRule="exact"/>
                    <w:jc w:val="center"/>
                    <w:rPr>
                      <w:rFonts w:hint="default" w:ascii="Times New Roman" w:hAnsi="Times New Roman" w:cs="Times New Roman"/>
                      <w:b/>
                      <w:color w:val="auto"/>
                      <w:sz w:val="21"/>
                      <w:szCs w:val="21"/>
                      <w:lang w:bidi="ar"/>
                    </w:rPr>
                  </w:pPr>
                  <w:r>
                    <w:rPr>
                      <w:rFonts w:hint="eastAsia" w:ascii="Times New Roman" w:hAnsi="Times New Roman" w:eastAsia="宋体" w:cs="Times New Roman"/>
                      <w:color w:val="auto"/>
                      <w:sz w:val="21"/>
                      <w:szCs w:val="21"/>
                      <w:lang w:eastAsia="zh-CN" w:bidi="ar"/>
                    </w:rPr>
                    <w:t>符合</w:t>
                  </w:r>
                </w:p>
              </w:tc>
            </w:tr>
            <w:tr w14:paraId="34650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237" w:type="pct"/>
                  <w:vAlign w:val="center"/>
                </w:tcPr>
                <w:p w14:paraId="49C24BB5">
                  <w:pPr>
                    <w:keepNext w:val="0"/>
                    <w:keepLines w:val="0"/>
                    <w:pageBreakBefore w:val="0"/>
                    <w:kinsoku/>
                    <w:overflowPunct/>
                    <w:topLinePunct w:val="0"/>
                    <w:autoSpaceDE/>
                    <w:autoSpaceDN/>
                    <w:bidi w:val="0"/>
                    <w:snapToGrid/>
                    <w:spacing w:line="240" w:lineRule="exact"/>
                    <w:jc w:val="center"/>
                    <w:rPr>
                      <w:rFonts w:hint="default" w:ascii="Times New Roman" w:hAnsi="Times New Roman" w:cs="Times New Roman"/>
                      <w:b/>
                      <w:color w:val="auto"/>
                      <w:sz w:val="21"/>
                      <w:szCs w:val="21"/>
                      <w:lang w:bidi="ar"/>
                    </w:rPr>
                  </w:pPr>
                  <w:r>
                    <w:rPr>
                      <w:rFonts w:hint="eastAsia" w:ascii="Times New Roman" w:hAnsi="Times New Roman" w:eastAsia="宋体" w:cs="Times New Roman"/>
                      <w:color w:val="auto"/>
                      <w:sz w:val="21"/>
                      <w:szCs w:val="21"/>
                      <w:lang w:eastAsia="zh-CN" w:bidi="ar"/>
                    </w:rPr>
                    <w:t>严格生产环节控制，减少过程泄漏，严格控制无组织排放</w:t>
                  </w:r>
                </w:p>
              </w:tc>
              <w:tc>
                <w:tcPr>
                  <w:tcW w:w="1231" w:type="pct"/>
                  <w:vAlign w:val="center"/>
                </w:tcPr>
                <w:p w14:paraId="0DDFC876">
                  <w:pPr>
                    <w:keepNext w:val="0"/>
                    <w:keepLines w:val="0"/>
                    <w:pageBreakBefore w:val="0"/>
                    <w:kinsoku/>
                    <w:overflowPunct/>
                    <w:topLinePunct w:val="0"/>
                    <w:autoSpaceDE/>
                    <w:autoSpaceDN/>
                    <w:bidi w:val="0"/>
                    <w:snapToGrid/>
                    <w:spacing w:line="240" w:lineRule="exact"/>
                    <w:jc w:val="center"/>
                    <w:rPr>
                      <w:rFonts w:hint="default" w:ascii="Times New Roman" w:hAnsi="Times New Roman" w:cs="Times New Roman"/>
                      <w:b/>
                      <w:color w:val="auto"/>
                      <w:sz w:val="21"/>
                      <w:szCs w:val="21"/>
                      <w:lang w:bidi="ar"/>
                    </w:rPr>
                  </w:pPr>
                  <w:r>
                    <w:rPr>
                      <w:rFonts w:hint="eastAsia" w:ascii="Times New Roman" w:hAnsi="Times New Roman" w:eastAsia="宋体" w:cs="Times New Roman"/>
                      <w:color w:val="auto"/>
                      <w:sz w:val="21"/>
                      <w:szCs w:val="21"/>
                      <w:lang w:eastAsia="zh-CN" w:bidi="ar"/>
                    </w:rPr>
                    <w:t>本项目生产涉及</w:t>
                  </w:r>
                  <w:r>
                    <w:rPr>
                      <w:rFonts w:hint="default" w:ascii="Times New Roman" w:hAnsi="Times New Roman" w:eastAsia="宋体" w:cs="Times New Roman"/>
                      <w:color w:val="auto"/>
                      <w:sz w:val="21"/>
                      <w:szCs w:val="21"/>
                      <w:lang w:bidi="ar"/>
                    </w:rPr>
                    <w:t>VOCs</w:t>
                  </w:r>
                  <w:r>
                    <w:rPr>
                      <w:rFonts w:hint="eastAsia" w:ascii="Times New Roman" w:hAnsi="Times New Roman" w:eastAsia="宋体" w:cs="Times New Roman"/>
                      <w:color w:val="auto"/>
                      <w:sz w:val="21"/>
                      <w:szCs w:val="21"/>
                      <w:lang w:eastAsia="zh-CN" w:bidi="ar"/>
                    </w:rPr>
                    <w:t>排放，本项目从源头加强控制，</w:t>
                  </w:r>
                  <w:r>
                    <w:rPr>
                      <w:rFonts w:hint="eastAsia" w:ascii="Times New Roman" w:hAnsi="Times New Roman" w:cs="Times New Roman"/>
                      <w:color w:val="auto"/>
                      <w:sz w:val="21"/>
                      <w:szCs w:val="21"/>
                      <w:lang w:eastAsia="zh-CN" w:bidi="ar"/>
                    </w:rPr>
                    <w:t>使用</w:t>
                  </w:r>
                  <w:r>
                    <w:rPr>
                      <w:rFonts w:hint="default" w:ascii="Times New Roman" w:hAnsi="Times New Roman" w:eastAsia="宋体" w:cs="Times New Roman"/>
                      <w:color w:val="auto"/>
                      <w:sz w:val="21"/>
                      <w:szCs w:val="21"/>
                      <w:lang w:bidi="ar"/>
                    </w:rPr>
                    <w:t>低VOCs的原料</w:t>
                  </w:r>
                  <w:r>
                    <w:rPr>
                      <w:rFonts w:hint="eastAsia" w:ascii="Times New Roman" w:hAnsi="Times New Roman" w:eastAsia="宋体" w:cs="Times New Roman"/>
                      <w:color w:val="auto"/>
                      <w:sz w:val="21"/>
                      <w:szCs w:val="21"/>
                      <w:lang w:eastAsia="zh-CN" w:bidi="ar"/>
                    </w:rPr>
                    <w:t>，加强废气收集，废气经治理设施处理后排放</w:t>
                  </w:r>
                </w:p>
              </w:tc>
              <w:tc>
                <w:tcPr>
                  <w:tcW w:w="531" w:type="pct"/>
                  <w:vAlign w:val="center"/>
                </w:tcPr>
                <w:p w14:paraId="229BDABC">
                  <w:pPr>
                    <w:keepNext w:val="0"/>
                    <w:keepLines w:val="0"/>
                    <w:pageBreakBefore w:val="0"/>
                    <w:kinsoku/>
                    <w:overflowPunct/>
                    <w:topLinePunct w:val="0"/>
                    <w:autoSpaceDE/>
                    <w:autoSpaceDN/>
                    <w:bidi w:val="0"/>
                    <w:snapToGrid/>
                    <w:spacing w:line="240" w:lineRule="exact"/>
                    <w:jc w:val="center"/>
                    <w:rPr>
                      <w:rFonts w:hint="default" w:ascii="Times New Roman" w:hAnsi="Times New Roman" w:cs="Times New Roman"/>
                      <w:b/>
                      <w:color w:val="auto"/>
                      <w:sz w:val="21"/>
                      <w:szCs w:val="21"/>
                      <w:lang w:bidi="ar"/>
                    </w:rPr>
                  </w:pPr>
                  <w:r>
                    <w:rPr>
                      <w:rFonts w:hint="eastAsia" w:ascii="Times New Roman" w:hAnsi="Times New Roman" w:eastAsia="宋体" w:cs="Times New Roman"/>
                      <w:color w:val="auto"/>
                      <w:sz w:val="21"/>
                      <w:szCs w:val="21"/>
                      <w:lang w:eastAsia="zh-CN" w:bidi="ar"/>
                    </w:rPr>
                    <w:t>符合</w:t>
                  </w:r>
                </w:p>
              </w:tc>
            </w:tr>
            <w:tr w14:paraId="0397D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000" w:type="pct"/>
                  <w:gridSpan w:val="3"/>
                  <w:vAlign w:val="center"/>
                </w:tcPr>
                <w:p w14:paraId="198614E0">
                  <w:pPr>
                    <w:keepNext w:val="0"/>
                    <w:keepLines w:val="0"/>
                    <w:pageBreakBefore w:val="0"/>
                    <w:widowControl/>
                    <w:kinsoku/>
                    <w:wordWrap/>
                    <w:overflowPunct/>
                    <w:topLinePunct w:val="0"/>
                    <w:bidi w:val="0"/>
                    <w:adjustRightInd/>
                    <w:snapToGrid/>
                    <w:spacing w:line="240" w:lineRule="exact"/>
                    <w:jc w:val="center"/>
                    <w:rPr>
                      <w:rFonts w:hint="default" w:ascii="Times New Roman" w:hAnsi="Times New Roman" w:cs="Times New Roman"/>
                      <w:color w:val="auto"/>
                      <w:sz w:val="21"/>
                      <w:szCs w:val="21"/>
                      <w:lang w:bidi="ar"/>
                    </w:rPr>
                  </w:pPr>
                  <w:r>
                    <w:rPr>
                      <w:rFonts w:hint="default" w:ascii="Times New Roman" w:hAnsi="Times New Roman" w:cs="Times New Roman"/>
                      <w:b/>
                      <w:bCs/>
                      <w:color w:val="auto"/>
                      <w:sz w:val="21"/>
                      <w:szCs w:val="21"/>
                      <w:lang w:bidi="ar"/>
                    </w:rPr>
                    <w:t>《大气污染防治行动计划》</w:t>
                  </w:r>
                </w:p>
              </w:tc>
            </w:tr>
            <w:tr w14:paraId="31115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237" w:type="pct"/>
                  <w:vAlign w:val="center"/>
                </w:tcPr>
                <w:p w14:paraId="2BE484ED">
                  <w:pPr>
                    <w:keepNext w:val="0"/>
                    <w:keepLines w:val="0"/>
                    <w:pageBreakBefore w:val="0"/>
                    <w:widowControl/>
                    <w:kinsoku/>
                    <w:wordWrap/>
                    <w:overflowPunct/>
                    <w:topLinePunct w:val="0"/>
                    <w:bidi w:val="0"/>
                    <w:adjustRightInd/>
                    <w:snapToGrid/>
                    <w:spacing w:line="240" w:lineRule="exact"/>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bidi="ar"/>
                    </w:rPr>
                    <w:t>①原则上不再新建每小时</w:t>
                  </w:r>
                  <w:r>
                    <w:rPr>
                      <w:rStyle w:val="64"/>
                      <w:rFonts w:hint="default" w:ascii="Times New Roman" w:hAnsi="Times New Roman" w:cs="Times New Roman"/>
                      <w:color w:val="auto"/>
                      <w:lang w:bidi="ar"/>
                    </w:rPr>
                    <w:t>10</w:t>
                  </w:r>
                  <w:r>
                    <w:rPr>
                      <w:rFonts w:hint="default" w:ascii="Times New Roman" w:hAnsi="Times New Roman" w:cs="Times New Roman"/>
                      <w:color w:val="auto"/>
                      <w:sz w:val="21"/>
                      <w:szCs w:val="21"/>
                      <w:lang w:bidi="ar"/>
                    </w:rPr>
                    <w:t>蒸吨以下的燃煤锅炉。在供热供气管网不能覆盖的地区，改用电、新能源或洁净煤，推广应用高效节能环保型锅炉；</w:t>
                  </w:r>
                </w:p>
                <w:p w14:paraId="701ECA25">
                  <w:pPr>
                    <w:keepNext w:val="0"/>
                    <w:keepLines w:val="0"/>
                    <w:pageBreakBefore w:val="0"/>
                    <w:widowControl/>
                    <w:kinsoku/>
                    <w:wordWrap/>
                    <w:overflowPunct/>
                    <w:topLinePunct w:val="0"/>
                    <w:bidi w:val="0"/>
                    <w:adjustRightInd/>
                    <w:snapToGrid/>
                    <w:spacing w:line="240" w:lineRule="exact"/>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bidi="ar"/>
                    </w:rPr>
                    <w:t>②推进挥发性有机物污染治理。在石化、有机化工、表面涂装、包装印刷等行业实施挥发性有机物综合整治。</w:t>
                  </w:r>
                </w:p>
              </w:tc>
              <w:tc>
                <w:tcPr>
                  <w:tcW w:w="1231" w:type="pct"/>
                  <w:vAlign w:val="center"/>
                </w:tcPr>
                <w:p w14:paraId="53E995AE">
                  <w:pPr>
                    <w:keepNext w:val="0"/>
                    <w:keepLines w:val="0"/>
                    <w:pageBreakBefore w:val="0"/>
                    <w:widowControl/>
                    <w:kinsoku/>
                    <w:wordWrap/>
                    <w:overflowPunct/>
                    <w:topLinePunct w:val="0"/>
                    <w:bidi w:val="0"/>
                    <w:adjustRightInd/>
                    <w:snapToGrid/>
                    <w:spacing w:line="240" w:lineRule="exact"/>
                    <w:jc w:val="center"/>
                    <w:textAlignment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①本项目生产过程采用电加热</w:t>
                  </w:r>
                  <w:r>
                    <w:rPr>
                      <w:rFonts w:hint="default" w:ascii="Times New Roman" w:hAnsi="Times New Roman" w:cs="Times New Roman"/>
                      <w:color w:val="auto"/>
                      <w:sz w:val="21"/>
                      <w:szCs w:val="21"/>
                      <w:lang w:eastAsia="zh-CN" w:bidi="ar"/>
                    </w:rPr>
                    <w:t>，</w:t>
                  </w:r>
                  <w:r>
                    <w:rPr>
                      <w:rFonts w:hint="default" w:ascii="Times New Roman" w:hAnsi="Times New Roman" w:cs="Times New Roman"/>
                      <w:color w:val="auto"/>
                      <w:sz w:val="21"/>
                      <w:szCs w:val="21"/>
                      <w:lang w:bidi="ar"/>
                    </w:rPr>
                    <w:t>办公室冬季取暖采用空调，不设锅炉；</w:t>
                  </w:r>
                </w:p>
                <w:p w14:paraId="1188D954">
                  <w:pPr>
                    <w:keepNext w:val="0"/>
                    <w:keepLines w:val="0"/>
                    <w:pageBreakBefore w:val="0"/>
                    <w:widowControl/>
                    <w:kinsoku/>
                    <w:wordWrap/>
                    <w:overflowPunct/>
                    <w:topLinePunct w:val="0"/>
                    <w:bidi w:val="0"/>
                    <w:adjustRightInd/>
                    <w:snapToGrid/>
                    <w:spacing w:line="240" w:lineRule="exact"/>
                    <w:jc w:val="center"/>
                    <w:textAlignment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②项目采用</w:t>
                  </w:r>
                  <w:r>
                    <w:rPr>
                      <w:rFonts w:hint="default" w:ascii="Times New Roman" w:hAnsi="Times New Roman" w:cs="Times New Roman"/>
                      <w:color w:val="auto"/>
                      <w:sz w:val="21"/>
                      <w:szCs w:val="21"/>
                      <w:lang w:eastAsia="zh-CN" w:bidi="ar"/>
                    </w:rPr>
                    <w:t>“集气罩+</w:t>
                  </w:r>
                  <w:r>
                    <w:rPr>
                      <w:rFonts w:hint="eastAsia" w:ascii="Times New Roman" w:hAnsi="Times New Roman" w:cs="Times New Roman"/>
                      <w:color w:val="auto"/>
                      <w:sz w:val="21"/>
                      <w:szCs w:val="21"/>
                      <w:lang w:eastAsia="zh-CN" w:bidi="ar"/>
                    </w:rPr>
                    <w:t>二级活性炭装置</w:t>
                  </w:r>
                  <w:r>
                    <w:rPr>
                      <w:rFonts w:hint="default" w:ascii="Times New Roman" w:hAnsi="Times New Roman" w:cs="Times New Roman"/>
                      <w:color w:val="auto"/>
                      <w:sz w:val="21"/>
                      <w:szCs w:val="21"/>
                      <w:lang w:eastAsia="zh-CN" w:bidi="ar"/>
                    </w:rPr>
                    <w:t>+15m排气筒”</w:t>
                  </w:r>
                  <w:r>
                    <w:rPr>
                      <w:rFonts w:hint="default" w:ascii="Times New Roman" w:hAnsi="Times New Roman" w:cs="Times New Roman"/>
                      <w:color w:val="auto"/>
                      <w:sz w:val="21"/>
                      <w:szCs w:val="21"/>
                      <w:lang w:bidi="ar"/>
                    </w:rPr>
                    <w:t>废气治理措施。</w:t>
                  </w:r>
                </w:p>
              </w:tc>
              <w:tc>
                <w:tcPr>
                  <w:tcW w:w="531" w:type="pct"/>
                  <w:vAlign w:val="center"/>
                </w:tcPr>
                <w:p w14:paraId="2545D060">
                  <w:pPr>
                    <w:keepNext w:val="0"/>
                    <w:keepLines w:val="0"/>
                    <w:pageBreakBefore w:val="0"/>
                    <w:widowControl/>
                    <w:kinsoku/>
                    <w:wordWrap/>
                    <w:overflowPunct/>
                    <w:topLinePunct w:val="0"/>
                    <w:bidi w:val="0"/>
                    <w:adjustRightInd/>
                    <w:snapToGrid/>
                    <w:spacing w:line="240" w:lineRule="exact"/>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符合</w:t>
                  </w:r>
                </w:p>
              </w:tc>
            </w:tr>
            <w:tr w14:paraId="233FC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000" w:type="pct"/>
                  <w:gridSpan w:val="3"/>
                  <w:vAlign w:val="center"/>
                </w:tcPr>
                <w:p w14:paraId="36912634">
                  <w:pPr>
                    <w:keepNext w:val="0"/>
                    <w:keepLines w:val="0"/>
                    <w:pageBreakBefore w:val="0"/>
                    <w:widowControl/>
                    <w:kinsoku/>
                    <w:wordWrap/>
                    <w:overflowPunct/>
                    <w:topLinePunct w:val="0"/>
                    <w:bidi w:val="0"/>
                    <w:adjustRightInd/>
                    <w:snapToGrid/>
                    <w:spacing w:line="240" w:lineRule="exact"/>
                    <w:jc w:val="center"/>
                    <w:rPr>
                      <w:rFonts w:hint="default" w:ascii="Times New Roman" w:hAnsi="Times New Roman" w:cs="Times New Roman"/>
                      <w:color w:val="auto"/>
                      <w:sz w:val="21"/>
                      <w:szCs w:val="21"/>
                      <w:lang w:bidi="ar"/>
                    </w:rPr>
                  </w:pPr>
                  <w:r>
                    <w:rPr>
                      <w:rFonts w:hint="default" w:ascii="Times New Roman" w:hAnsi="Times New Roman" w:cs="Times New Roman"/>
                      <w:b/>
                      <w:bCs/>
                      <w:color w:val="auto"/>
                      <w:sz w:val="21"/>
                      <w:szCs w:val="21"/>
                      <w:lang w:bidi="ar"/>
                    </w:rPr>
                    <w:t>《河北省大气污染防治行动计划实施方案》</w:t>
                  </w:r>
                </w:p>
              </w:tc>
            </w:tr>
            <w:tr w14:paraId="2D152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237" w:type="pct"/>
                  <w:vAlign w:val="center"/>
                </w:tcPr>
                <w:p w14:paraId="51DD1300">
                  <w:pPr>
                    <w:keepNext w:val="0"/>
                    <w:keepLines w:val="0"/>
                    <w:pageBreakBefore w:val="0"/>
                    <w:widowControl/>
                    <w:kinsoku/>
                    <w:wordWrap/>
                    <w:overflowPunct/>
                    <w:topLinePunct w:val="0"/>
                    <w:bidi w:val="0"/>
                    <w:adjustRightInd/>
                    <w:snapToGrid/>
                    <w:spacing w:line="240" w:lineRule="exact"/>
                    <w:jc w:val="center"/>
                    <w:textAlignment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加大工业企业治理力度，减少污染物排放。</w:t>
                  </w:r>
                </w:p>
              </w:tc>
              <w:tc>
                <w:tcPr>
                  <w:tcW w:w="1231" w:type="pct"/>
                  <w:vAlign w:val="center"/>
                </w:tcPr>
                <w:p w14:paraId="6ED5C9DB">
                  <w:pPr>
                    <w:keepNext w:val="0"/>
                    <w:keepLines w:val="0"/>
                    <w:pageBreakBefore w:val="0"/>
                    <w:widowControl/>
                    <w:kinsoku/>
                    <w:wordWrap/>
                    <w:overflowPunct/>
                    <w:topLinePunct w:val="0"/>
                    <w:bidi w:val="0"/>
                    <w:adjustRightInd/>
                    <w:snapToGrid/>
                    <w:spacing w:line="240" w:lineRule="exact"/>
                    <w:jc w:val="center"/>
                    <w:textAlignment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本项目涉及VOCs排放。项目采用</w:t>
                  </w:r>
                  <w:r>
                    <w:rPr>
                      <w:rFonts w:hint="default" w:ascii="Times New Roman" w:hAnsi="Times New Roman" w:cs="Times New Roman"/>
                      <w:color w:val="auto"/>
                      <w:sz w:val="21"/>
                      <w:szCs w:val="21"/>
                      <w:lang w:eastAsia="zh-CN" w:bidi="ar"/>
                    </w:rPr>
                    <w:t>“集气罩+</w:t>
                  </w:r>
                  <w:r>
                    <w:rPr>
                      <w:rFonts w:hint="eastAsia" w:ascii="Times New Roman" w:hAnsi="Times New Roman" w:cs="Times New Roman"/>
                      <w:color w:val="auto"/>
                      <w:sz w:val="21"/>
                      <w:szCs w:val="21"/>
                      <w:lang w:eastAsia="zh-CN" w:bidi="ar"/>
                    </w:rPr>
                    <w:t>二级活性炭装置</w:t>
                  </w:r>
                  <w:r>
                    <w:rPr>
                      <w:rFonts w:hint="default" w:ascii="Times New Roman" w:hAnsi="Times New Roman" w:cs="Times New Roman"/>
                      <w:color w:val="auto"/>
                      <w:sz w:val="21"/>
                      <w:szCs w:val="21"/>
                      <w:lang w:eastAsia="zh-CN" w:bidi="ar"/>
                    </w:rPr>
                    <w:t>+15m排气筒”</w:t>
                  </w:r>
                  <w:r>
                    <w:rPr>
                      <w:rFonts w:hint="default" w:ascii="Times New Roman" w:hAnsi="Times New Roman" w:cs="Times New Roman"/>
                      <w:color w:val="auto"/>
                      <w:sz w:val="21"/>
                      <w:szCs w:val="21"/>
                      <w:lang w:bidi="ar"/>
                    </w:rPr>
                    <w:t>废气治理措施。</w:t>
                  </w:r>
                </w:p>
              </w:tc>
              <w:tc>
                <w:tcPr>
                  <w:tcW w:w="531" w:type="pct"/>
                  <w:vAlign w:val="center"/>
                </w:tcPr>
                <w:p w14:paraId="21080B0B">
                  <w:pPr>
                    <w:keepNext w:val="0"/>
                    <w:keepLines w:val="0"/>
                    <w:pageBreakBefore w:val="0"/>
                    <w:widowControl/>
                    <w:kinsoku/>
                    <w:wordWrap/>
                    <w:overflowPunct/>
                    <w:topLinePunct w:val="0"/>
                    <w:bidi w:val="0"/>
                    <w:adjustRightInd/>
                    <w:snapToGrid/>
                    <w:spacing w:line="240" w:lineRule="exact"/>
                    <w:jc w:val="center"/>
                    <w:textAlignment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符合</w:t>
                  </w:r>
                </w:p>
              </w:tc>
            </w:tr>
            <w:tr w14:paraId="2240F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000" w:type="pct"/>
                  <w:gridSpan w:val="3"/>
                  <w:vAlign w:val="center"/>
                </w:tcPr>
                <w:p w14:paraId="4FF386B9">
                  <w:pPr>
                    <w:keepNext w:val="0"/>
                    <w:keepLines w:val="0"/>
                    <w:pageBreakBefore w:val="0"/>
                    <w:widowControl/>
                    <w:kinsoku/>
                    <w:wordWrap/>
                    <w:overflowPunct/>
                    <w:topLinePunct w:val="0"/>
                    <w:bidi w:val="0"/>
                    <w:adjustRightInd/>
                    <w:snapToGrid/>
                    <w:spacing w:line="240" w:lineRule="exact"/>
                    <w:jc w:val="center"/>
                    <w:textAlignment w:val="center"/>
                    <w:rPr>
                      <w:rFonts w:hint="default" w:ascii="Times New Roman" w:hAnsi="Times New Roman" w:cs="Times New Roman"/>
                      <w:color w:val="auto"/>
                      <w:sz w:val="21"/>
                      <w:szCs w:val="21"/>
                      <w:lang w:bidi="ar"/>
                    </w:rPr>
                  </w:pPr>
                  <w:r>
                    <w:rPr>
                      <w:rFonts w:hint="default" w:ascii="Times New Roman" w:hAnsi="Times New Roman" w:cs="Times New Roman"/>
                      <w:b/>
                      <w:bCs/>
                      <w:color w:val="auto"/>
                      <w:sz w:val="21"/>
                      <w:szCs w:val="21"/>
                      <w:lang w:bidi="ar"/>
                    </w:rPr>
                    <w:t>《关于强力推进大气污染综合治理的意见》</w:t>
                  </w:r>
                </w:p>
              </w:tc>
            </w:tr>
            <w:tr w14:paraId="0C0CC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237" w:type="pct"/>
                  <w:vAlign w:val="center"/>
                </w:tcPr>
                <w:p w14:paraId="162697A1">
                  <w:pPr>
                    <w:keepNext w:val="0"/>
                    <w:keepLines w:val="0"/>
                    <w:pageBreakBefore w:val="0"/>
                    <w:widowControl/>
                    <w:kinsoku/>
                    <w:wordWrap/>
                    <w:overflowPunct/>
                    <w:topLinePunct w:val="0"/>
                    <w:bidi w:val="0"/>
                    <w:adjustRightInd/>
                    <w:snapToGrid/>
                    <w:spacing w:line="240" w:lineRule="exact"/>
                    <w:jc w:val="center"/>
                    <w:textAlignment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推进挥发性有机物综合防治，对未完成VOCs治理，排放不达标的企业，一律依法关停整治</w:t>
                  </w:r>
                </w:p>
              </w:tc>
              <w:tc>
                <w:tcPr>
                  <w:tcW w:w="1231" w:type="pct"/>
                  <w:vAlign w:val="center"/>
                </w:tcPr>
                <w:p w14:paraId="5AF39876">
                  <w:pPr>
                    <w:keepNext w:val="0"/>
                    <w:keepLines w:val="0"/>
                    <w:pageBreakBefore w:val="0"/>
                    <w:widowControl/>
                    <w:kinsoku/>
                    <w:wordWrap/>
                    <w:overflowPunct/>
                    <w:topLinePunct w:val="0"/>
                    <w:bidi w:val="0"/>
                    <w:adjustRightInd/>
                    <w:snapToGrid/>
                    <w:spacing w:line="240" w:lineRule="exact"/>
                    <w:jc w:val="center"/>
                    <w:textAlignment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本项目产生的挥发性有机物均采取有效的措施治理后达标排放</w:t>
                  </w:r>
                </w:p>
              </w:tc>
              <w:tc>
                <w:tcPr>
                  <w:tcW w:w="531" w:type="pct"/>
                  <w:vAlign w:val="center"/>
                </w:tcPr>
                <w:p w14:paraId="61AB5EFE">
                  <w:pPr>
                    <w:keepNext w:val="0"/>
                    <w:keepLines w:val="0"/>
                    <w:pageBreakBefore w:val="0"/>
                    <w:widowControl/>
                    <w:kinsoku/>
                    <w:wordWrap/>
                    <w:overflowPunct/>
                    <w:topLinePunct w:val="0"/>
                    <w:bidi w:val="0"/>
                    <w:adjustRightInd/>
                    <w:snapToGrid/>
                    <w:spacing w:line="240" w:lineRule="exact"/>
                    <w:jc w:val="center"/>
                    <w:textAlignment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符合</w:t>
                  </w:r>
                </w:p>
              </w:tc>
            </w:tr>
            <w:tr w14:paraId="474E5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000" w:type="pct"/>
                  <w:gridSpan w:val="3"/>
                  <w:vAlign w:val="center"/>
                </w:tcPr>
                <w:p w14:paraId="14238AEA">
                  <w:pPr>
                    <w:keepNext w:val="0"/>
                    <w:keepLines w:val="0"/>
                    <w:pageBreakBefore w:val="0"/>
                    <w:widowControl/>
                    <w:kinsoku/>
                    <w:wordWrap/>
                    <w:overflowPunct/>
                    <w:topLinePunct w:val="0"/>
                    <w:bidi w:val="0"/>
                    <w:adjustRightInd/>
                    <w:snapToGrid/>
                    <w:spacing w:line="240" w:lineRule="exact"/>
                    <w:jc w:val="center"/>
                    <w:textAlignment w:val="center"/>
                    <w:rPr>
                      <w:rFonts w:hint="default" w:ascii="Times New Roman" w:hAnsi="Times New Roman" w:cs="Times New Roman"/>
                      <w:color w:val="auto"/>
                      <w:sz w:val="21"/>
                      <w:szCs w:val="21"/>
                      <w:lang w:bidi="ar"/>
                    </w:rPr>
                  </w:pPr>
                  <w:r>
                    <w:rPr>
                      <w:rFonts w:hint="default" w:ascii="Times New Roman" w:hAnsi="Times New Roman" w:cs="Times New Roman"/>
                      <w:b/>
                      <w:bCs/>
                      <w:color w:val="auto"/>
                      <w:sz w:val="21"/>
                      <w:szCs w:val="21"/>
                      <w:lang w:bidi="ar"/>
                    </w:rPr>
                    <w:t>《河北省挥发性有机物污染整治专项实施方案》</w:t>
                  </w:r>
                </w:p>
              </w:tc>
            </w:tr>
            <w:tr w14:paraId="10483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237" w:type="pct"/>
                  <w:vAlign w:val="center"/>
                </w:tcPr>
                <w:p w14:paraId="5F688012">
                  <w:pPr>
                    <w:keepNext w:val="0"/>
                    <w:keepLines w:val="0"/>
                    <w:pageBreakBefore w:val="0"/>
                    <w:widowControl/>
                    <w:kinsoku/>
                    <w:wordWrap/>
                    <w:overflowPunct/>
                    <w:topLinePunct w:val="0"/>
                    <w:bidi w:val="0"/>
                    <w:adjustRightInd/>
                    <w:snapToGrid/>
                    <w:spacing w:line="240" w:lineRule="exact"/>
                    <w:jc w:val="center"/>
                    <w:textAlignment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强化工业源挥发性有机物排放管控</w:t>
                  </w:r>
                </w:p>
              </w:tc>
              <w:tc>
                <w:tcPr>
                  <w:tcW w:w="1231" w:type="pct"/>
                  <w:vAlign w:val="center"/>
                </w:tcPr>
                <w:p w14:paraId="0597BBF3">
                  <w:pPr>
                    <w:keepNext w:val="0"/>
                    <w:keepLines w:val="0"/>
                    <w:pageBreakBefore w:val="0"/>
                    <w:widowControl/>
                    <w:kinsoku/>
                    <w:wordWrap/>
                    <w:overflowPunct/>
                    <w:topLinePunct w:val="0"/>
                    <w:bidi w:val="0"/>
                    <w:adjustRightInd/>
                    <w:snapToGrid/>
                    <w:spacing w:line="240" w:lineRule="exact"/>
                    <w:jc w:val="center"/>
                    <w:textAlignment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本项目设置有机废气收集系统，采取有效的措施治理后达标排放</w:t>
                  </w:r>
                </w:p>
              </w:tc>
              <w:tc>
                <w:tcPr>
                  <w:tcW w:w="531" w:type="pct"/>
                  <w:vAlign w:val="center"/>
                </w:tcPr>
                <w:p w14:paraId="059054DC">
                  <w:pPr>
                    <w:keepNext w:val="0"/>
                    <w:keepLines w:val="0"/>
                    <w:pageBreakBefore w:val="0"/>
                    <w:widowControl/>
                    <w:kinsoku/>
                    <w:wordWrap/>
                    <w:overflowPunct/>
                    <w:topLinePunct w:val="0"/>
                    <w:bidi w:val="0"/>
                    <w:adjustRightInd/>
                    <w:snapToGrid/>
                    <w:spacing w:line="240" w:lineRule="exact"/>
                    <w:jc w:val="center"/>
                    <w:textAlignment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符合</w:t>
                  </w:r>
                </w:p>
              </w:tc>
            </w:tr>
            <w:tr w14:paraId="7600B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5000" w:type="pct"/>
                  <w:gridSpan w:val="3"/>
                  <w:vAlign w:val="center"/>
                </w:tcPr>
                <w:p w14:paraId="0C4D27BF">
                  <w:pPr>
                    <w:keepNext w:val="0"/>
                    <w:keepLines w:val="0"/>
                    <w:pageBreakBefore w:val="0"/>
                    <w:widowControl/>
                    <w:kinsoku/>
                    <w:wordWrap/>
                    <w:overflowPunct/>
                    <w:topLinePunct w:val="0"/>
                    <w:bidi w:val="0"/>
                    <w:adjustRightInd/>
                    <w:snapToGrid/>
                    <w:spacing w:line="240" w:lineRule="exact"/>
                    <w:jc w:val="center"/>
                    <w:textAlignment w:val="center"/>
                    <w:rPr>
                      <w:rFonts w:hint="default" w:ascii="Times New Roman" w:hAnsi="Times New Roman" w:cs="Times New Roman"/>
                      <w:color w:val="auto"/>
                      <w:sz w:val="21"/>
                      <w:szCs w:val="21"/>
                      <w:lang w:bidi="ar"/>
                    </w:rPr>
                  </w:pPr>
                  <w:r>
                    <w:rPr>
                      <w:rFonts w:hint="default" w:ascii="Times New Roman" w:hAnsi="Times New Roman" w:cs="Times New Roman"/>
                      <w:b/>
                      <w:bCs/>
                      <w:color w:val="auto"/>
                      <w:sz w:val="21"/>
                      <w:szCs w:val="21"/>
                      <w:lang w:bidi="ar"/>
                    </w:rPr>
                    <w:t>《廊坊市工业企业挥发性有机物综合治理工作方案》</w:t>
                  </w:r>
                </w:p>
              </w:tc>
            </w:tr>
            <w:tr w14:paraId="04187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237" w:type="pct"/>
                  <w:vAlign w:val="center"/>
                </w:tcPr>
                <w:p w14:paraId="51396467">
                  <w:pPr>
                    <w:keepNext w:val="0"/>
                    <w:keepLines w:val="0"/>
                    <w:pageBreakBefore w:val="0"/>
                    <w:kinsoku/>
                    <w:wordWrap/>
                    <w:overflowPunct/>
                    <w:topLinePunct w:val="0"/>
                    <w:autoSpaceDE w:val="0"/>
                    <w:autoSpaceDN w:val="0"/>
                    <w:bidi w:val="0"/>
                    <w:adjustRightInd/>
                    <w:snapToGrid/>
                    <w:spacing w:line="240" w:lineRule="exact"/>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1、塑料行业优先采用环保型原辅料，禁止使用附带污染、有毒有害物质的废塑料作为生产原辅料。限制使用加工过程中产生较大臭味的原料</w:t>
                  </w:r>
                  <w:r>
                    <w:rPr>
                      <w:rFonts w:hint="default" w:ascii="Times New Roman" w:hAnsi="Times New Roman" w:cs="Times New Roman"/>
                      <w:color w:val="auto"/>
                      <w:sz w:val="21"/>
                      <w:szCs w:val="21"/>
                      <w:lang w:eastAsia="zh-CN" w:bidi="ar"/>
                    </w:rPr>
                    <w:t>（</w:t>
                  </w:r>
                  <w:r>
                    <w:rPr>
                      <w:rFonts w:hint="default" w:ascii="Times New Roman" w:hAnsi="Times New Roman" w:cs="Times New Roman"/>
                      <w:color w:val="auto"/>
                      <w:sz w:val="21"/>
                      <w:szCs w:val="21"/>
                      <w:lang w:bidi="ar"/>
                    </w:rPr>
                    <w:t>如聚甲醛等</w:t>
                  </w:r>
                  <w:r>
                    <w:rPr>
                      <w:rFonts w:hint="default" w:ascii="Times New Roman" w:hAnsi="Times New Roman" w:cs="Times New Roman"/>
                      <w:color w:val="auto"/>
                      <w:sz w:val="21"/>
                      <w:szCs w:val="21"/>
                      <w:lang w:eastAsia="zh-CN" w:bidi="ar"/>
                    </w:rPr>
                    <w:t>）</w:t>
                  </w:r>
                  <w:r>
                    <w:rPr>
                      <w:rFonts w:hint="default" w:ascii="Times New Roman" w:hAnsi="Times New Roman" w:cs="Times New Roman"/>
                      <w:color w:val="auto"/>
                      <w:sz w:val="21"/>
                      <w:szCs w:val="21"/>
                      <w:lang w:bidi="ar"/>
                    </w:rPr>
                    <w:t>。增塑剂等含有VOCs组分的物料应密闭储存；涉及大宗有机物料使用的应采用储罐储存，并优先采用管道输送。</w:t>
                  </w:r>
                </w:p>
              </w:tc>
              <w:tc>
                <w:tcPr>
                  <w:tcW w:w="1231" w:type="pct"/>
                  <w:vAlign w:val="center"/>
                </w:tcPr>
                <w:p w14:paraId="1C205592">
                  <w:pPr>
                    <w:keepNext w:val="0"/>
                    <w:keepLines w:val="0"/>
                    <w:pageBreakBefore w:val="0"/>
                    <w:kinsoku/>
                    <w:wordWrap/>
                    <w:overflowPunct/>
                    <w:topLinePunct w:val="0"/>
                    <w:autoSpaceDE w:val="0"/>
                    <w:autoSpaceDN w:val="0"/>
                    <w:bidi w:val="0"/>
                    <w:adjustRightInd/>
                    <w:snapToGrid/>
                    <w:spacing w:line="240" w:lineRule="exact"/>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本项目原料使用</w:t>
                  </w:r>
                  <w:r>
                    <w:rPr>
                      <w:rFonts w:hint="eastAsia" w:ascii="Times New Roman" w:hAnsi="Times New Roman" w:cs="Times New Roman"/>
                      <w:color w:val="auto"/>
                      <w:sz w:val="21"/>
                      <w:szCs w:val="21"/>
                      <w:lang w:eastAsia="zh-CN" w:bidi="ar"/>
                    </w:rPr>
                    <w:t>环保型原辅料</w:t>
                  </w:r>
                  <w:r>
                    <w:rPr>
                      <w:rFonts w:hint="default" w:ascii="Times New Roman" w:hAnsi="Times New Roman" w:cs="Times New Roman"/>
                      <w:color w:val="auto"/>
                      <w:sz w:val="21"/>
                      <w:szCs w:val="21"/>
                      <w:lang w:bidi="ar"/>
                    </w:rPr>
                    <w:t>，不使用方案中限制使用的原料。</w:t>
                  </w:r>
                </w:p>
              </w:tc>
              <w:tc>
                <w:tcPr>
                  <w:tcW w:w="531" w:type="pct"/>
                  <w:vAlign w:val="center"/>
                </w:tcPr>
                <w:p w14:paraId="42287A87">
                  <w:pPr>
                    <w:keepNext w:val="0"/>
                    <w:keepLines w:val="0"/>
                    <w:pageBreakBefore w:val="0"/>
                    <w:kinsoku/>
                    <w:wordWrap/>
                    <w:overflowPunct/>
                    <w:topLinePunct w:val="0"/>
                    <w:autoSpaceDE w:val="0"/>
                    <w:autoSpaceDN w:val="0"/>
                    <w:bidi w:val="0"/>
                    <w:adjustRightInd/>
                    <w:snapToGrid/>
                    <w:spacing w:line="240" w:lineRule="exact"/>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符合</w:t>
                  </w:r>
                </w:p>
              </w:tc>
            </w:tr>
            <w:tr w14:paraId="76E32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237" w:type="pct"/>
                  <w:vAlign w:val="center"/>
                </w:tcPr>
                <w:p w14:paraId="5A5FB7ED">
                  <w:pPr>
                    <w:keepNext w:val="0"/>
                    <w:keepLines w:val="0"/>
                    <w:pageBreakBefore w:val="0"/>
                    <w:widowControl/>
                    <w:kinsoku/>
                    <w:wordWrap/>
                    <w:overflowPunct/>
                    <w:topLinePunct w:val="0"/>
                    <w:bidi w:val="0"/>
                    <w:adjustRightInd/>
                    <w:snapToGrid/>
                    <w:spacing w:line="240" w:lineRule="exact"/>
                    <w:jc w:val="left"/>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2、熔融、塑化挤出工序</w:t>
                  </w:r>
                  <w:r>
                    <w:rPr>
                      <w:rFonts w:hint="default" w:ascii="Times New Roman" w:hAnsi="Times New Roman" w:cs="Times New Roman"/>
                      <w:color w:val="auto"/>
                      <w:sz w:val="21"/>
                      <w:szCs w:val="21"/>
                      <w:lang w:eastAsia="zh-CN" w:bidi="ar"/>
                    </w:rPr>
                    <w:t>（</w:t>
                  </w:r>
                  <w:r>
                    <w:rPr>
                      <w:rFonts w:hint="default" w:ascii="Times New Roman" w:hAnsi="Times New Roman" w:cs="Times New Roman"/>
                      <w:color w:val="auto"/>
                      <w:sz w:val="21"/>
                      <w:szCs w:val="21"/>
                      <w:lang w:bidi="ar"/>
                    </w:rPr>
                    <w:t>包括注塑、挤塑、吸塑、吹塑、滚塑、发泡等</w:t>
                  </w:r>
                  <w:r>
                    <w:rPr>
                      <w:rFonts w:hint="default" w:ascii="Times New Roman" w:hAnsi="Times New Roman" w:cs="Times New Roman"/>
                      <w:color w:val="auto"/>
                      <w:sz w:val="21"/>
                      <w:szCs w:val="21"/>
                      <w:lang w:eastAsia="zh-CN" w:bidi="ar"/>
                    </w:rPr>
                    <w:t>）</w:t>
                  </w:r>
                  <w:r>
                    <w:rPr>
                      <w:rFonts w:hint="default" w:ascii="Times New Roman" w:hAnsi="Times New Roman" w:cs="Times New Roman"/>
                      <w:color w:val="auto"/>
                      <w:sz w:val="21"/>
                      <w:szCs w:val="21"/>
                      <w:lang w:bidi="ar"/>
                    </w:rPr>
                    <w:t>应设置废气收集系统，经降温、除油、除尘等预处理措施后，可采用活性炭吸附、</w:t>
                  </w:r>
                  <w:r>
                    <w:rPr>
                      <w:rFonts w:hint="default" w:ascii="Times New Roman" w:hAnsi="Times New Roman" w:cs="Times New Roman"/>
                      <w:color w:val="auto"/>
                      <w:sz w:val="21"/>
                      <w:szCs w:val="21"/>
                      <w:lang w:eastAsia="zh-CN" w:bidi="ar"/>
                    </w:rPr>
                    <w:t>“</w:t>
                  </w:r>
                  <w:r>
                    <w:rPr>
                      <w:rFonts w:hint="default" w:ascii="Times New Roman" w:hAnsi="Times New Roman" w:cs="Times New Roman"/>
                      <w:color w:val="auto"/>
                      <w:sz w:val="21"/>
                      <w:szCs w:val="21"/>
                      <w:lang w:bidi="ar"/>
                    </w:rPr>
                    <w:t>吸附浓缩+燃烧</w:t>
                  </w:r>
                  <w:r>
                    <w:rPr>
                      <w:rFonts w:hint="default" w:ascii="Times New Roman" w:hAnsi="Times New Roman" w:cs="Times New Roman"/>
                      <w:color w:val="auto"/>
                      <w:sz w:val="21"/>
                      <w:szCs w:val="21"/>
                      <w:lang w:eastAsia="zh-CN" w:bidi="ar"/>
                    </w:rPr>
                    <w:t>”</w:t>
                  </w:r>
                  <w:r>
                    <w:rPr>
                      <w:rFonts w:hint="default" w:ascii="Times New Roman" w:hAnsi="Times New Roman" w:cs="Times New Roman"/>
                      <w:color w:val="auto"/>
                      <w:sz w:val="21"/>
                      <w:szCs w:val="21"/>
                      <w:lang w:bidi="ar"/>
                    </w:rPr>
                    <w:t>催化燃烧等适用技术。水溶性、酸碱VOCs废气宜选用多级化学吸收等处理技术。在反应期间，反应设备的进料口、出料口、检修口、搅拌口、观察孔等开口</w:t>
                  </w:r>
                  <w:r>
                    <w:rPr>
                      <w:rFonts w:hint="default" w:ascii="Times New Roman" w:hAnsi="Times New Roman" w:cs="Times New Roman"/>
                      <w:color w:val="auto"/>
                      <w:sz w:val="21"/>
                      <w:szCs w:val="21"/>
                      <w:lang w:eastAsia="zh-CN" w:bidi="ar"/>
                    </w:rPr>
                    <w:t>（</w:t>
                  </w:r>
                  <w:r>
                    <w:rPr>
                      <w:rFonts w:hint="default" w:ascii="Times New Roman" w:hAnsi="Times New Roman" w:cs="Times New Roman"/>
                      <w:color w:val="auto"/>
                      <w:sz w:val="21"/>
                      <w:szCs w:val="21"/>
                      <w:lang w:bidi="ar"/>
                    </w:rPr>
                    <w:t>扎</w:t>
                  </w:r>
                  <w:r>
                    <w:rPr>
                      <w:rFonts w:hint="default" w:ascii="Times New Roman" w:hAnsi="Times New Roman" w:cs="Times New Roman"/>
                      <w:color w:val="auto"/>
                      <w:sz w:val="21"/>
                      <w:szCs w:val="21"/>
                      <w:lang w:eastAsia="zh-CN" w:bidi="ar"/>
                    </w:rPr>
                    <w:t>）</w:t>
                  </w:r>
                  <w:r>
                    <w:rPr>
                      <w:rFonts w:hint="default" w:ascii="Times New Roman" w:hAnsi="Times New Roman" w:cs="Times New Roman"/>
                      <w:color w:val="auto"/>
                      <w:sz w:val="21"/>
                      <w:szCs w:val="21"/>
                      <w:lang w:bidi="ar"/>
                    </w:rPr>
                    <w:t>在不操作时应保持密闭。需分离精制的化工企业，离心、过滤单元操作应采用密闭式离心机、压滤机等设备。离心、过滤废气应排至VOCs废气收集处理系统。未采用密闭设备的，应在密闭空间内操作，或进行局部气体收集，废气应排至VOCs废气收集处理系统。</w:t>
                  </w:r>
                </w:p>
              </w:tc>
              <w:tc>
                <w:tcPr>
                  <w:tcW w:w="1231" w:type="pct"/>
                  <w:vAlign w:val="center"/>
                </w:tcPr>
                <w:p w14:paraId="4B8E0A47">
                  <w:pPr>
                    <w:keepNext w:val="0"/>
                    <w:keepLines w:val="0"/>
                    <w:pageBreakBefore w:val="0"/>
                    <w:kinsoku/>
                    <w:wordWrap/>
                    <w:overflowPunct/>
                    <w:topLinePunct w:val="0"/>
                    <w:autoSpaceDE w:val="0"/>
                    <w:autoSpaceDN w:val="0"/>
                    <w:bidi w:val="0"/>
                    <w:adjustRightInd/>
                    <w:snapToGrid/>
                    <w:spacing w:line="240" w:lineRule="exact"/>
                    <w:jc w:val="center"/>
                    <w:rPr>
                      <w:rFonts w:hint="default" w:ascii="Times New Roman" w:hAnsi="Times New Roman" w:cs="Times New Roman"/>
                      <w:color w:val="auto"/>
                      <w:sz w:val="21"/>
                      <w:szCs w:val="21"/>
                      <w:lang w:bidi="ar"/>
                    </w:rPr>
                  </w:pPr>
                  <w:r>
                    <w:rPr>
                      <w:rFonts w:hint="default" w:ascii="Times New Roman" w:hAnsi="Times New Roman" w:cs="Times New Roman"/>
                      <w:color w:val="auto"/>
                      <w:kern w:val="24"/>
                      <w:sz w:val="21"/>
                      <w:szCs w:val="21"/>
                    </w:rPr>
                    <w:t>本项目生产过程产生非甲烷总烃，通过车间密闭及</w:t>
                  </w:r>
                  <w:r>
                    <w:rPr>
                      <w:rFonts w:hint="default" w:ascii="Times New Roman" w:hAnsi="Times New Roman" w:cs="Times New Roman"/>
                      <w:color w:val="auto"/>
                      <w:sz w:val="21"/>
                      <w:szCs w:val="21"/>
                      <w:lang w:eastAsia="zh-CN" w:bidi="ar"/>
                    </w:rPr>
                    <w:t>“集气罩+</w:t>
                  </w:r>
                  <w:r>
                    <w:rPr>
                      <w:rFonts w:hint="eastAsia" w:ascii="Times New Roman" w:hAnsi="Times New Roman" w:cs="Times New Roman"/>
                      <w:color w:val="auto"/>
                      <w:sz w:val="21"/>
                      <w:szCs w:val="21"/>
                      <w:lang w:eastAsia="zh-CN" w:bidi="ar"/>
                    </w:rPr>
                    <w:t>二级活性炭装置</w:t>
                  </w:r>
                  <w:r>
                    <w:rPr>
                      <w:rFonts w:hint="default" w:ascii="Times New Roman" w:hAnsi="Times New Roman" w:cs="Times New Roman"/>
                      <w:color w:val="auto"/>
                      <w:sz w:val="21"/>
                      <w:szCs w:val="21"/>
                      <w:lang w:eastAsia="zh-CN" w:bidi="ar"/>
                    </w:rPr>
                    <w:t>+15m排气筒”</w:t>
                  </w:r>
                  <w:r>
                    <w:rPr>
                      <w:rFonts w:hint="default" w:ascii="Times New Roman" w:hAnsi="Times New Roman" w:cs="Times New Roman"/>
                      <w:color w:val="auto"/>
                      <w:kern w:val="24"/>
                      <w:sz w:val="21"/>
                      <w:szCs w:val="21"/>
                    </w:rPr>
                    <w:t>处理后发放，满足要求。</w:t>
                  </w:r>
                </w:p>
              </w:tc>
              <w:tc>
                <w:tcPr>
                  <w:tcW w:w="531" w:type="pct"/>
                  <w:vAlign w:val="center"/>
                </w:tcPr>
                <w:p w14:paraId="673CD62F">
                  <w:pPr>
                    <w:keepNext w:val="0"/>
                    <w:keepLines w:val="0"/>
                    <w:pageBreakBefore w:val="0"/>
                    <w:kinsoku/>
                    <w:wordWrap/>
                    <w:overflowPunct/>
                    <w:topLinePunct w:val="0"/>
                    <w:autoSpaceDE w:val="0"/>
                    <w:autoSpaceDN w:val="0"/>
                    <w:bidi w:val="0"/>
                    <w:adjustRightInd/>
                    <w:snapToGrid/>
                    <w:spacing w:line="240" w:lineRule="exact"/>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符合</w:t>
                  </w:r>
                </w:p>
              </w:tc>
            </w:tr>
            <w:tr w14:paraId="3A761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237" w:type="pct"/>
                  <w:vAlign w:val="center"/>
                </w:tcPr>
                <w:p w14:paraId="6E1EBE51">
                  <w:pPr>
                    <w:keepNext w:val="0"/>
                    <w:keepLines w:val="0"/>
                    <w:pageBreakBefore w:val="0"/>
                    <w:kinsoku/>
                    <w:wordWrap/>
                    <w:overflowPunct/>
                    <w:topLinePunct w:val="0"/>
                    <w:autoSpaceDE w:val="0"/>
                    <w:autoSpaceDN w:val="0"/>
                    <w:bidi w:val="0"/>
                    <w:adjustRightInd/>
                    <w:snapToGrid/>
                    <w:spacing w:line="240" w:lineRule="exact"/>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3、推进生产设备密闭化改造。对进出料、物料输送、搅拌、固液分离、干燥等过程，采取严格密闭措施。加快淘汰敞口式、明流式设施。退料、吹扫、清洗等过程应加强含VOCs物料回收工作，产生的VOCs废气要加大收集处理力度。鼓励采用重力流或</w:t>
                  </w:r>
                  <w:r>
                    <w:rPr>
                      <w:rFonts w:hint="eastAsia" w:ascii="Times New Roman" w:hAnsi="Times New Roman" w:cs="Times New Roman"/>
                      <w:color w:val="auto"/>
                      <w:sz w:val="21"/>
                      <w:szCs w:val="21"/>
                      <w:lang w:eastAsia="zh-CN" w:bidi="ar"/>
                    </w:rPr>
                    <w:t>输送</w:t>
                  </w:r>
                  <w:r>
                    <w:rPr>
                      <w:rFonts w:hint="default" w:ascii="Times New Roman" w:hAnsi="Times New Roman" w:cs="Times New Roman"/>
                      <w:color w:val="auto"/>
                      <w:sz w:val="21"/>
                      <w:szCs w:val="21"/>
                      <w:lang w:bidi="ar"/>
                    </w:rPr>
                    <w:t>方式进行含VOCs物料输送，逐步淘汰真空输送方式；有机液体进料鼓励采用底部、侵入管给料方式，淘汰喷溅式给料，挥发性有机液体必须采用底部装载方式，采用顶部浸没式装载，出料管口距离槽</w:t>
                  </w:r>
                  <w:r>
                    <w:rPr>
                      <w:rFonts w:hint="default" w:ascii="Times New Roman" w:hAnsi="Times New Roman" w:cs="Times New Roman"/>
                      <w:color w:val="auto"/>
                      <w:sz w:val="21"/>
                      <w:szCs w:val="21"/>
                      <w:lang w:eastAsia="zh-CN" w:bidi="ar"/>
                    </w:rPr>
                    <w:t>（</w:t>
                  </w:r>
                  <w:r>
                    <w:rPr>
                      <w:rFonts w:hint="default" w:ascii="Times New Roman" w:hAnsi="Times New Roman" w:cs="Times New Roman"/>
                      <w:color w:val="auto"/>
                      <w:sz w:val="21"/>
                      <w:szCs w:val="21"/>
                      <w:lang w:bidi="ar"/>
                    </w:rPr>
                    <w:t>罐</w:t>
                  </w:r>
                  <w:r>
                    <w:rPr>
                      <w:rFonts w:hint="default" w:ascii="Times New Roman" w:hAnsi="Times New Roman" w:cs="Times New Roman"/>
                      <w:color w:val="auto"/>
                      <w:sz w:val="21"/>
                      <w:szCs w:val="21"/>
                      <w:lang w:eastAsia="zh-CN" w:bidi="ar"/>
                    </w:rPr>
                    <w:t>）</w:t>
                  </w:r>
                  <w:r>
                    <w:rPr>
                      <w:rFonts w:hint="default" w:ascii="Times New Roman" w:hAnsi="Times New Roman" w:cs="Times New Roman"/>
                      <w:color w:val="auto"/>
                      <w:sz w:val="21"/>
                      <w:szCs w:val="21"/>
                      <w:lang w:bidi="ar"/>
                    </w:rPr>
                    <w:t>底部高度小于200mm:固体物料投加逐步推进采用密闭式投料装置。</w:t>
                  </w:r>
                </w:p>
              </w:tc>
              <w:tc>
                <w:tcPr>
                  <w:tcW w:w="1231" w:type="pct"/>
                  <w:vAlign w:val="center"/>
                </w:tcPr>
                <w:p w14:paraId="63D6316E">
                  <w:pPr>
                    <w:keepNext w:val="0"/>
                    <w:keepLines w:val="0"/>
                    <w:pageBreakBefore w:val="0"/>
                    <w:widowControl/>
                    <w:kinsoku/>
                    <w:wordWrap/>
                    <w:overflowPunct/>
                    <w:topLinePunct w:val="0"/>
                    <w:bidi w:val="0"/>
                    <w:adjustRightInd/>
                    <w:snapToGrid/>
                    <w:spacing w:line="240" w:lineRule="exact"/>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本项目选用合适风量风机，增加收集效率，保证集气罩边缘控制风速应不低于0.3米/秒；本项目不使用溶剂型原料</w:t>
                  </w:r>
                </w:p>
              </w:tc>
              <w:tc>
                <w:tcPr>
                  <w:tcW w:w="531" w:type="pct"/>
                  <w:vAlign w:val="center"/>
                </w:tcPr>
                <w:p w14:paraId="7393C9B5">
                  <w:pPr>
                    <w:keepNext w:val="0"/>
                    <w:keepLines w:val="0"/>
                    <w:pageBreakBefore w:val="0"/>
                    <w:kinsoku/>
                    <w:wordWrap/>
                    <w:overflowPunct/>
                    <w:topLinePunct w:val="0"/>
                    <w:autoSpaceDE w:val="0"/>
                    <w:autoSpaceDN w:val="0"/>
                    <w:bidi w:val="0"/>
                    <w:adjustRightInd/>
                    <w:snapToGrid/>
                    <w:spacing w:line="240" w:lineRule="exact"/>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符合</w:t>
                  </w:r>
                </w:p>
              </w:tc>
            </w:tr>
          </w:tbl>
          <w:p w14:paraId="674D01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right="0" w:firstLine="480" w:firstLineChars="200"/>
              <w:textAlignment w:val="auto"/>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对照《十四五挥发性有机物污染防治工作方案》、《大气污染防治行动计划》、《河北省大气污染防治行动计划实施方案》</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color w:val="000000" w:themeColor="text1"/>
                <w:sz w:val="24"/>
                <w:szCs w:val="24"/>
                <w:lang w:val="en-US" w:eastAsia="zh-CN"/>
                <w14:textFill>
                  <w14:solidFill>
                    <w14:schemeClr w14:val="tx1"/>
                  </w14:solidFill>
                </w14:textFill>
              </w:rPr>
              <w:t>《关于强力推进大气污染综合治理的意见》</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color w:val="000000" w:themeColor="text1"/>
                <w:sz w:val="24"/>
                <w:szCs w:val="24"/>
                <w:lang w:val="en-US" w:eastAsia="zh-CN"/>
                <w14:textFill>
                  <w14:solidFill>
                    <w14:schemeClr w14:val="tx1"/>
                  </w14:solidFill>
                </w14:textFill>
              </w:rPr>
              <w:t>《河北省挥发性有机物污染整治专项实施方案》</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color w:val="000000" w:themeColor="text1"/>
                <w:sz w:val="24"/>
                <w:szCs w:val="24"/>
                <w:lang w:val="en-US" w:eastAsia="zh-CN"/>
                <w14:textFill>
                  <w14:solidFill>
                    <w14:schemeClr w14:val="tx1"/>
                  </w14:solidFill>
                </w14:textFill>
              </w:rPr>
              <w:t>《廊坊市工业企业挥发性有机物综合治理工作方案》，本项目符合相关文件环境管理政策的要求。</w:t>
            </w:r>
          </w:p>
          <w:p w14:paraId="7015369B">
            <w:pPr>
              <w:pStyle w:val="24"/>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default" w:ascii="Times New Roman" w:hAnsi="Times New Roman" w:eastAsia="宋体" w:cs="Times New Roman"/>
                <w:snapToGrid w:val="0"/>
                <w:color w:val="000000" w:themeColor="text1"/>
                <w:kern w:val="0"/>
                <w:sz w:val="24"/>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0"/>
                <w:sz w:val="24"/>
                <w:highlight w:val="none"/>
                <w:lang w:val="en-US" w:eastAsia="zh-CN"/>
                <w14:textFill>
                  <w14:solidFill>
                    <w14:schemeClr w14:val="tx1"/>
                  </w14:solidFill>
                </w14:textFill>
              </w:rPr>
              <w:t>根据《十四五挥发性有机物污染防治工作方案》、《河北省人民政府关于加快实施“三线一单”生态环境分区管控的意见》中要求，</w:t>
            </w:r>
          </w:p>
          <w:p w14:paraId="268E6C43">
            <w:pPr>
              <w:pStyle w:val="24"/>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default" w:ascii="Times New Roman" w:hAnsi="Times New Roman" w:eastAsia="宋体" w:cs="Times New Roman"/>
                <w:snapToGrid w:val="0"/>
                <w:color w:val="000000" w:themeColor="text1"/>
                <w:kern w:val="0"/>
                <w:sz w:val="24"/>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0"/>
                <w:sz w:val="24"/>
                <w:highlight w:val="none"/>
                <w:lang w:val="en-US" w:eastAsia="zh-CN"/>
                <w14:textFill>
                  <w14:solidFill>
                    <w14:schemeClr w14:val="tx1"/>
                  </w14:solidFill>
                </w14:textFill>
              </w:rPr>
              <w:t>本项目采取以下措施：</w:t>
            </w:r>
          </w:p>
          <w:p w14:paraId="59ECAFBA">
            <w:pPr>
              <w:pStyle w:val="24"/>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default" w:ascii="Times New Roman" w:hAnsi="Times New Roman" w:eastAsia="宋体" w:cs="Times New Roman"/>
                <w:snapToGrid w:val="0"/>
                <w:color w:val="000000" w:themeColor="text1"/>
                <w:kern w:val="0"/>
                <w:sz w:val="24"/>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0"/>
                <w:sz w:val="24"/>
                <w:highlight w:val="none"/>
                <w:lang w:val="en-US" w:eastAsia="zh-CN"/>
                <w14:textFill>
                  <w14:solidFill>
                    <w14:schemeClr w14:val="tx1"/>
                  </w14:solidFill>
                </w14:textFill>
              </w:rPr>
              <w:t>①采用符合国家标准的低VOCs含量原料；</w:t>
            </w:r>
          </w:p>
          <w:p w14:paraId="0180FC46">
            <w:pPr>
              <w:pStyle w:val="24"/>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default" w:ascii="Times New Roman" w:hAnsi="Times New Roman" w:eastAsia="宋体" w:cs="Times New Roman"/>
                <w:snapToGrid w:val="0"/>
                <w:color w:val="000000" w:themeColor="text1"/>
                <w:kern w:val="0"/>
                <w:sz w:val="24"/>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0"/>
                <w:sz w:val="24"/>
                <w:highlight w:val="none"/>
                <w:lang w:val="en-US" w:eastAsia="zh-CN"/>
                <w14:textFill>
                  <w14:solidFill>
                    <w14:schemeClr w14:val="tx1"/>
                  </w14:solidFill>
                </w14:textFill>
              </w:rPr>
              <w:t>②车间采用封闭设计提高废气收集效率，对产生的有机废气处理采取合理措施处理后达标排放；</w:t>
            </w:r>
          </w:p>
          <w:p w14:paraId="6CE3F401">
            <w:pPr>
              <w:pStyle w:val="24"/>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default" w:ascii="Times New Roman" w:hAnsi="Times New Roman" w:eastAsia="宋体" w:cs="Times New Roman"/>
                <w:snapToGrid w:val="0"/>
                <w:color w:val="000000" w:themeColor="text1"/>
                <w:kern w:val="0"/>
                <w:sz w:val="24"/>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0"/>
                <w:sz w:val="24"/>
                <w:highlight w:val="none"/>
                <w:lang w:val="en-US" w:eastAsia="zh-CN"/>
                <w14:textFill>
                  <w14:solidFill>
                    <w14:schemeClr w14:val="tx1"/>
                  </w14:solidFill>
                </w14:textFill>
              </w:rPr>
              <w:t>③对产污环节设置废气收集处理装置。</w:t>
            </w:r>
          </w:p>
          <w:p w14:paraId="0252608C">
            <w:pPr>
              <w:pStyle w:val="24"/>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default" w:ascii="Times New Roman" w:hAnsi="Times New Roman" w:eastAsia="宋体" w:cs="Times New Roman"/>
                <w:snapToGrid w:val="0"/>
                <w:color w:val="000000" w:themeColor="text1"/>
                <w:kern w:val="0"/>
                <w:sz w:val="24"/>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0"/>
                <w:sz w:val="24"/>
                <w:highlight w:val="none"/>
                <w:lang w:val="en-US" w:eastAsia="zh-CN"/>
                <w14:textFill>
                  <w14:solidFill>
                    <w14:schemeClr w14:val="tx1"/>
                  </w14:solidFill>
                </w14:textFill>
              </w:rPr>
              <w:t>对照《环境保护综合目录（2021年版）》：</w:t>
            </w:r>
          </w:p>
          <w:p w14:paraId="3B09BD4D">
            <w:pPr>
              <w:pStyle w:val="24"/>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default" w:ascii="Times New Roman" w:hAnsi="Times New Roman" w:eastAsia="宋体" w:cs="Times New Roman"/>
                <w:snapToGrid w:val="0"/>
                <w:color w:val="000000" w:themeColor="text1"/>
                <w:kern w:val="0"/>
                <w:sz w:val="24"/>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0"/>
                <w:sz w:val="24"/>
                <w:highlight w:val="none"/>
                <w:lang w:val="en-US" w:eastAsia="zh-CN"/>
                <w14:textFill>
                  <w14:solidFill>
                    <w14:schemeClr w14:val="tx1"/>
                  </w14:solidFill>
                </w14:textFill>
              </w:rPr>
              <w:t>①本项目产品不属于目录中“高污染”“高环境风险”产品目录</w:t>
            </w:r>
          </w:p>
          <w:p w14:paraId="11943BA5">
            <w:pPr>
              <w:pStyle w:val="24"/>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default" w:ascii="Times New Roman" w:hAnsi="Times New Roman" w:eastAsia="宋体" w:cs="Times New Roman"/>
                <w:snapToGrid w:val="0"/>
                <w:color w:val="000000" w:themeColor="text1"/>
                <w:kern w:val="0"/>
                <w:sz w:val="24"/>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0"/>
                <w:sz w:val="24"/>
                <w:highlight w:val="none"/>
                <w:lang w:val="en-US" w:eastAsia="zh-CN"/>
                <w14:textFill>
                  <w14:solidFill>
                    <w14:schemeClr w14:val="tx1"/>
                  </w14:solidFill>
                </w14:textFill>
              </w:rPr>
              <w:t>②对照目录中污染防治设备，本项目采用集气罩+</w:t>
            </w:r>
            <w:r>
              <w:rPr>
                <w:rFonts w:hint="eastAsia" w:ascii="Times New Roman" w:hAnsi="Times New Roman" w:eastAsia="宋体" w:cs="Times New Roman"/>
                <w:snapToGrid w:val="0"/>
                <w:color w:val="000000" w:themeColor="text1"/>
                <w:kern w:val="0"/>
                <w:sz w:val="24"/>
                <w:highlight w:val="none"/>
                <w:lang w:val="en-US" w:eastAsia="zh-CN"/>
                <w14:textFill>
                  <w14:solidFill>
                    <w14:schemeClr w14:val="tx1"/>
                  </w14:solidFill>
                </w14:textFill>
              </w:rPr>
              <w:t>二级活性炭装置</w:t>
            </w:r>
            <w:r>
              <w:rPr>
                <w:rFonts w:hint="default" w:ascii="Times New Roman" w:hAnsi="Times New Roman" w:eastAsia="宋体" w:cs="Times New Roman"/>
                <w:snapToGrid w:val="0"/>
                <w:color w:val="000000" w:themeColor="text1"/>
                <w:kern w:val="0"/>
                <w:sz w:val="24"/>
                <w:highlight w:val="none"/>
                <w:lang w:val="en-US" w:eastAsia="zh-CN"/>
                <w14:textFill>
                  <w14:solidFill>
                    <w14:schemeClr w14:val="tx1"/>
                  </w14:solidFill>
                </w14:textFill>
              </w:rPr>
              <w:t>+15</w:t>
            </w:r>
            <w:r>
              <w:rPr>
                <w:rFonts w:hint="eastAsia" w:ascii="Times New Roman" w:hAnsi="Times New Roman" w:cs="Times New Roman"/>
                <w:snapToGrid w:val="0"/>
                <w:color w:val="000000" w:themeColor="text1"/>
                <w:kern w:val="0"/>
                <w:sz w:val="24"/>
                <w:highlight w:val="none"/>
                <w:lang w:val="en-US" w:eastAsia="zh-CN"/>
                <w14:textFill>
                  <w14:solidFill>
                    <w14:schemeClr w14:val="tx1"/>
                  </w14:solidFill>
                </w14:textFill>
              </w:rPr>
              <w:t>m</w:t>
            </w:r>
            <w:r>
              <w:rPr>
                <w:rFonts w:hint="default" w:ascii="Times New Roman" w:hAnsi="Times New Roman" w:eastAsia="宋体" w:cs="Times New Roman"/>
                <w:snapToGrid w:val="0"/>
                <w:color w:val="000000" w:themeColor="text1"/>
                <w:kern w:val="0"/>
                <w:sz w:val="24"/>
                <w:highlight w:val="none"/>
                <w:lang w:val="en-US" w:eastAsia="zh-CN"/>
                <w14:textFill>
                  <w14:solidFill>
                    <w14:schemeClr w14:val="tx1"/>
                  </w14:solidFill>
                </w14:textFill>
              </w:rPr>
              <w:t>排气筒DA001处理有机废气。</w:t>
            </w:r>
          </w:p>
          <w:p w14:paraId="2141E11C">
            <w:pPr>
              <w:pStyle w:val="9"/>
              <w:rPr>
                <w:rFonts w:hint="default" w:ascii="Times New Roman" w:hAnsi="Times New Roman" w:cs="Times New Roman"/>
                <w:color w:val="auto"/>
                <w:sz w:val="24"/>
                <w:szCs w:val="24"/>
                <w:lang w:val="en-US" w:eastAsia="zh-CN"/>
              </w:rPr>
            </w:pPr>
          </w:p>
          <w:p w14:paraId="1950268D">
            <w:pPr>
              <w:rPr>
                <w:rFonts w:hint="default" w:ascii="Times New Roman" w:hAnsi="Times New Roman" w:cs="Times New Roman"/>
                <w:color w:val="auto"/>
                <w:sz w:val="24"/>
                <w:szCs w:val="24"/>
                <w:lang w:val="en-US" w:eastAsia="zh-CN"/>
              </w:rPr>
            </w:pPr>
          </w:p>
          <w:p w14:paraId="579AA180">
            <w:pPr>
              <w:rPr>
                <w:rFonts w:hint="default" w:ascii="Times New Roman" w:hAnsi="Times New Roman" w:cs="Times New Roman"/>
                <w:color w:val="auto"/>
                <w:sz w:val="24"/>
                <w:szCs w:val="24"/>
                <w:lang w:val="en-US" w:eastAsia="zh-CN"/>
              </w:rPr>
            </w:pPr>
          </w:p>
          <w:p w14:paraId="38A60905">
            <w:pPr>
              <w:rPr>
                <w:rFonts w:hint="default" w:ascii="Times New Roman" w:hAnsi="Times New Roman" w:cs="Times New Roman"/>
                <w:color w:val="auto"/>
                <w:sz w:val="24"/>
                <w:szCs w:val="24"/>
                <w:lang w:val="en-US" w:eastAsia="zh-CN"/>
              </w:rPr>
            </w:pPr>
          </w:p>
          <w:p w14:paraId="5CDFCE2B">
            <w:pPr>
              <w:rPr>
                <w:rFonts w:hint="default" w:ascii="Times New Roman" w:hAnsi="Times New Roman" w:cs="Times New Roman"/>
                <w:color w:val="auto"/>
                <w:sz w:val="24"/>
                <w:szCs w:val="24"/>
                <w:lang w:val="en-US" w:eastAsia="zh-CN"/>
              </w:rPr>
            </w:pPr>
          </w:p>
          <w:p w14:paraId="6FD4AF28">
            <w:pPr>
              <w:rPr>
                <w:rFonts w:hint="default" w:ascii="Times New Roman" w:hAnsi="Times New Roman" w:cs="Times New Roman"/>
                <w:color w:val="auto"/>
                <w:sz w:val="24"/>
                <w:szCs w:val="24"/>
                <w:lang w:val="en-US" w:eastAsia="zh-CN"/>
              </w:rPr>
            </w:pPr>
          </w:p>
          <w:p w14:paraId="74270745">
            <w:pPr>
              <w:pStyle w:val="9"/>
              <w:rPr>
                <w:rFonts w:hint="default"/>
                <w:lang w:val="en-US" w:eastAsia="zh-CN"/>
              </w:rPr>
            </w:pPr>
          </w:p>
          <w:p w14:paraId="7EF15B7B">
            <w:pPr>
              <w:rPr>
                <w:rFonts w:hint="default"/>
                <w:lang w:val="en-US" w:eastAsia="zh-CN"/>
              </w:rPr>
            </w:pPr>
          </w:p>
          <w:p w14:paraId="548FB7D9">
            <w:pPr>
              <w:pStyle w:val="2"/>
              <w:rPr>
                <w:rFonts w:hint="default"/>
                <w:lang w:val="en-US" w:eastAsia="zh-CN"/>
              </w:rPr>
            </w:pPr>
          </w:p>
          <w:p w14:paraId="7CCA4AEB">
            <w:pPr>
              <w:rPr>
                <w:rFonts w:hint="default"/>
                <w:lang w:val="en-US" w:eastAsia="zh-CN"/>
              </w:rPr>
            </w:pPr>
          </w:p>
          <w:p w14:paraId="6CD86B1C">
            <w:pPr>
              <w:pStyle w:val="2"/>
              <w:rPr>
                <w:rFonts w:hint="default"/>
                <w:lang w:val="en-US" w:eastAsia="zh-CN"/>
              </w:rPr>
            </w:pPr>
          </w:p>
          <w:p w14:paraId="679C789F">
            <w:pPr>
              <w:rPr>
                <w:rFonts w:hint="default"/>
                <w:lang w:val="en-US" w:eastAsia="zh-CN"/>
              </w:rPr>
            </w:pPr>
          </w:p>
          <w:p w14:paraId="21EDFD62">
            <w:pPr>
              <w:pStyle w:val="2"/>
              <w:rPr>
                <w:rFonts w:hint="default"/>
                <w:lang w:val="en-US" w:eastAsia="zh-CN"/>
              </w:rPr>
            </w:pPr>
          </w:p>
          <w:p w14:paraId="4780015B">
            <w:pPr>
              <w:rPr>
                <w:rFonts w:hint="default"/>
                <w:lang w:val="en-US" w:eastAsia="zh-CN"/>
              </w:rPr>
            </w:pPr>
          </w:p>
          <w:p w14:paraId="077AE991">
            <w:pPr>
              <w:pStyle w:val="2"/>
              <w:rPr>
                <w:rFonts w:hint="default"/>
                <w:lang w:val="en-US" w:eastAsia="zh-CN"/>
              </w:rPr>
            </w:pPr>
          </w:p>
          <w:p w14:paraId="64236F15">
            <w:pPr>
              <w:pStyle w:val="2"/>
              <w:ind w:left="0" w:leftChars="0" w:firstLine="0" w:firstLineChars="0"/>
              <w:rPr>
                <w:rFonts w:hint="default"/>
                <w:lang w:val="en-US" w:eastAsia="zh-CN"/>
              </w:rPr>
            </w:pPr>
          </w:p>
          <w:p w14:paraId="70986EB7">
            <w:pPr>
              <w:rPr>
                <w:rFonts w:hint="default"/>
                <w:lang w:val="en-US" w:eastAsia="zh-CN"/>
              </w:rPr>
            </w:pPr>
          </w:p>
          <w:p w14:paraId="1BE1C5B6">
            <w:pPr>
              <w:rPr>
                <w:rFonts w:hint="default"/>
                <w:lang w:val="en-US" w:eastAsia="zh-CN"/>
              </w:rPr>
            </w:pPr>
          </w:p>
          <w:p w14:paraId="56E2D7FF">
            <w:pPr>
              <w:rPr>
                <w:rFonts w:hint="default"/>
                <w:lang w:val="en-US" w:eastAsia="zh-CN"/>
              </w:rPr>
            </w:pPr>
          </w:p>
          <w:p w14:paraId="63288006">
            <w:pPr>
              <w:rPr>
                <w:rFonts w:hint="default"/>
                <w:lang w:val="en-US" w:eastAsia="zh-CN"/>
              </w:rPr>
            </w:pPr>
          </w:p>
        </w:tc>
      </w:tr>
    </w:tbl>
    <w:p w14:paraId="2AA6F382">
      <w:pPr>
        <w:widowControl/>
        <w:spacing w:line="280" w:lineRule="atLeast"/>
        <w:jc w:val="center"/>
        <w:rPr>
          <w:rFonts w:hint="default" w:ascii="Times New Roman" w:hAnsi="Times New Roman" w:cs="Times New Roman"/>
          <w:color w:val="auto"/>
          <w:sz w:val="24"/>
          <w:szCs w:val="24"/>
          <w:lang w:bidi="ar"/>
        </w:rPr>
        <w:sectPr>
          <w:footerReference r:id="rId5" w:type="default"/>
          <w:pgSz w:w="11906" w:h="16838"/>
          <w:pgMar w:top="1417" w:right="1800" w:bottom="1417"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001EBFCD">
      <w:pPr>
        <w:widowControl/>
        <w:spacing w:line="480" w:lineRule="atLeast"/>
        <w:jc w:val="center"/>
        <w:rPr>
          <w:rFonts w:hint="default" w:ascii="Times New Roman" w:hAnsi="Times New Roman" w:cs="Times New Roman"/>
          <w:color w:val="auto"/>
        </w:rPr>
      </w:pPr>
      <w:r>
        <w:rPr>
          <w:rFonts w:hint="default" w:ascii="Times New Roman" w:hAnsi="Times New Roman" w:eastAsia="黑体" w:cs="Times New Roman"/>
          <w:color w:val="auto"/>
          <w:sz w:val="30"/>
          <w:szCs w:val="30"/>
          <w:lang w:bidi="ar"/>
        </w:rPr>
        <w:t>二、建设项目工程分析</w:t>
      </w:r>
    </w:p>
    <w:tbl>
      <w:tblPr>
        <w:tblStyle w:val="35"/>
        <w:tblW w:w="88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2"/>
        <w:gridCol w:w="8105"/>
      </w:tblGrid>
      <w:tr w14:paraId="6943D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 w:hRule="atLeast"/>
          <w:jc w:val="center"/>
        </w:trPr>
        <w:tc>
          <w:tcPr>
            <w:tcW w:w="839" w:type="dxa"/>
            <w:vAlign w:val="center"/>
          </w:tcPr>
          <w:p w14:paraId="1CAE9B3B">
            <w:pPr>
              <w:widowControl/>
              <w:snapToGrid w:val="0"/>
              <w:spacing w:line="280" w:lineRule="atLeast"/>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lang w:bidi="ar"/>
              </w:rPr>
              <w:t>建设内容</w:t>
            </w:r>
          </w:p>
          <w:p w14:paraId="5BD08521">
            <w:pPr>
              <w:pStyle w:val="4"/>
              <w:snapToGrid w:val="0"/>
              <w:spacing w:line="280" w:lineRule="atLeast"/>
              <w:jc w:val="center"/>
              <w:rPr>
                <w:rFonts w:hint="default" w:ascii="Times New Roman" w:hAnsi="Times New Roman" w:cs="Times New Roman"/>
                <w:color w:val="auto"/>
                <w:sz w:val="21"/>
                <w:szCs w:val="21"/>
              </w:rPr>
            </w:pPr>
          </w:p>
        </w:tc>
        <w:tc>
          <w:tcPr>
            <w:tcW w:w="8028" w:type="dxa"/>
          </w:tcPr>
          <w:p w14:paraId="3D0741C4">
            <w:pPr>
              <w:keepNext w:val="0"/>
              <w:keepLines w:val="0"/>
              <w:pageBreakBefore w:val="0"/>
              <w:widowControl w:val="0"/>
              <w:kinsoku/>
              <w:wordWrap/>
              <w:overflowPunct/>
              <w:topLinePunct w:val="0"/>
              <w:autoSpaceDE/>
              <w:autoSpaceDN/>
              <w:bidi w:val="0"/>
              <w:adjustRightInd/>
              <w:snapToGrid/>
              <w:spacing w:line="500" w:lineRule="exact"/>
              <w:ind w:left="361" w:leftChars="129" w:firstLine="120" w:firstLineChars="50"/>
              <w:textAlignment w:val="auto"/>
              <w:rPr>
                <w:rFonts w:hint="default" w:ascii="Times New Roman" w:hAnsi="Times New Roman" w:eastAsia="宋体" w:cs="Times New Roman"/>
                <w:b/>
                <w:snapToGrid w:val="0"/>
                <w:color w:val="auto"/>
                <w:kern w:val="0"/>
                <w:sz w:val="24"/>
                <w:highlight w:val="none"/>
              </w:rPr>
            </w:pPr>
            <w:r>
              <w:rPr>
                <w:rFonts w:hint="default" w:ascii="Times New Roman" w:hAnsi="Times New Roman" w:eastAsia="宋体" w:cs="Times New Roman"/>
                <w:b/>
                <w:snapToGrid w:val="0"/>
                <w:color w:val="auto"/>
                <w:kern w:val="0"/>
                <w:sz w:val="24"/>
                <w:highlight w:val="none"/>
              </w:rPr>
              <w:t>1</w:t>
            </w:r>
            <w:r>
              <w:rPr>
                <w:rFonts w:hint="eastAsia" w:ascii="Times New Roman" w:hAnsi="Times New Roman" w:eastAsia="宋体" w:cs="Times New Roman"/>
                <w:b/>
                <w:snapToGrid w:val="0"/>
                <w:color w:val="auto"/>
                <w:kern w:val="0"/>
                <w:sz w:val="24"/>
                <w:highlight w:val="none"/>
                <w:lang w:eastAsia="zh-CN"/>
              </w:rPr>
              <w:t>、</w:t>
            </w:r>
            <w:r>
              <w:rPr>
                <w:rFonts w:hint="default" w:ascii="Times New Roman" w:hAnsi="Times New Roman" w:eastAsia="宋体" w:cs="Times New Roman"/>
                <w:b/>
                <w:snapToGrid w:val="0"/>
                <w:color w:val="auto"/>
                <w:kern w:val="0"/>
                <w:sz w:val="24"/>
                <w:highlight w:val="none"/>
              </w:rPr>
              <w:t>基本情况</w:t>
            </w:r>
          </w:p>
          <w:p w14:paraId="09442BA5">
            <w:pPr>
              <w:pStyle w:val="24"/>
              <w:keepNext w:val="0"/>
              <w:keepLines w:val="0"/>
              <w:pageBreakBefore w:val="0"/>
              <w:widowControl w:val="0"/>
              <w:kinsoku/>
              <w:wordWrap/>
              <w:overflowPunct/>
              <w:topLinePunct w:val="0"/>
              <w:autoSpaceDE/>
              <w:autoSpaceDN/>
              <w:bidi w:val="0"/>
              <w:adjustRightInd/>
              <w:snapToGrid/>
              <w:spacing w:line="500" w:lineRule="exact"/>
              <w:ind w:left="0" w:firstLine="240" w:firstLineChars="100"/>
              <w:textAlignment w:val="auto"/>
              <w:rPr>
                <w:rFonts w:hint="default" w:ascii="Times New Roman" w:hAnsi="Times New Roman" w:eastAsia="宋体" w:cs="Times New Roman"/>
                <w:snapToGrid w:val="0"/>
                <w:color w:val="auto"/>
                <w:kern w:val="0"/>
                <w:sz w:val="24"/>
                <w:highlight w:val="none"/>
                <w:lang w:val="en-US" w:eastAsia="zh-CN"/>
              </w:rPr>
            </w:pPr>
            <w:r>
              <w:rPr>
                <w:rFonts w:hint="default" w:ascii="Times New Roman" w:hAnsi="Times New Roman" w:eastAsia="宋体" w:cs="Times New Roman"/>
                <w:snapToGrid w:val="0"/>
                <w:color w:val="auto"/>
                <w:kern w:val="0"/>
                <w:sz w:val="24"/>
                <w:highlight w:val="none"/>
              </w:rPr>
              <w:t>（1）项目名称：</w:t>
            </w:r>
            <w:r>
              <w:rPr>
                <w:rFonts w:hint="eastAsia" w:ascii="Times New Roman" w:hAnsi="Times New Roman" w:cs="Times New Roman"/>
                <w:snapToGrid w:val="0"/>
                <w:color w:val="auto"/>
                <w:kern w:val="0"/>
                <w:sz w:val="24"/>
                <w:highlight w:val="none"/>
                <w:lang w:val="en-US" w:eastAsia="zh-CN"/>
              </w:rPr>
              <w:t>年产 50 万套置物架项目</w:t>
            </w:r>
          </w:p>
          <w:p w14:paraId="25769567">
            <w:pPr>
              <w:pStyle w:val="24"/>
              <w:keepNext w:val="0"/>
              <w:keepLines w:val="0"/>
              <w:pageBreakBefore w:val="0"/>
              <w:widowControl w:val="0"/>
              <w:kinsoku/>
              <w:wordWrap/>
              <w:overflowPunct/>
              <w:topLinePunct w:val="0"/>
              <w:autoSpaceDE/>
              <w:autoSpaceDN/>
              <w:bidi w:val="0"/>
              <w:adjustRightInd/>
              <w:snapToGrid/>
              <w:spacing w:line="500" w:lineRule="exact"/>
              <w:ind w:left="0" w:firstLine="240" w:firstLineChars="100"/>
              <w:textAlignment w:val="auto"/>
              <w:rPr>
                <w:rFonts w:hint="default" w:ascii="Times New Roman" w:hAnsi="Times New Roman" w:eastAsia="宋体" w:cs="Times New Roman"/>
                <w:snapToGrid w:val="0"/>
                <w:color w:val="auto"/>
                <w:kern w:val="0"/>
                <w:sz w:val="24"/>
                <w:highlight w:val="none"/>
                <w:lang w:val="en-US" w:eastAsia="zh-CN"/>
              </w:rPr>
            </w:pPr>
            <w:r>
              <w:rPr>
                <w:rFonts w:hint="default" w:ascii="Times New Roman" w:hAnsi="Times New Roman" w:eastAsia="宋体" w:cs="Times New Roman"/>
                <w:snapToGrid w:val="0"/>
                <w:color w:val="auto"/>
                <w:kern w:val="0"/>
                <w:sz w:val="24"/>
                <w:highlight w:val="none"/>
              </w:rPr>
              <w:t>（2）建设单位：</w:t>
            </w:r>
            <w:r>
              <w:rPr>
                <w:rFonts w:hint="eastAsia" w:ascii="Times New Roman" w:hAnsi="Times New Roman" w:cs="Times New Roman"/>
                <w:snapToGrid w:val="0"/>
                <w:color w:val="auto"/>
                <w:kern w:val="0"/>
                <w:sz w:val="24"/>
                <w:highlight w:val="none"/>
                <w:lang w:val="en-US" w:eastAsia="zh-CN"/>
              </w:rPr>
              <w:t>永清县感迈塑料制品有限公司</w:t>
            </w:r>
          </w:p>
          <w:p w14:paraId="0B984C76">
            <w:pPr>
              <w:pStyle w:val="24"/>
              <w:keepNext w:val="0"/>
              <w:keepLines w:val="0"/>
              <w:pageBreakBefore w:val="0"/>
              <w:widowControl w:val="0"/>
              <w:kinsoku/>
              <w:wordWrap/>
              <w:overflowPunct/>
              <w:topLinePunct w:val="0"/>
              <w:autoSpaceDE/>
              <w:autoSpaceDN/>
              <w:bidi w:val="0"/>
              <w:adjustRightInd/>
              <w:snapToGrid/>
              <w:spacing w:line="500" w:lineRule="exact"/>
              <w:ind w:left="0" w:firstLine="240" w:firstLineChars="100"/>
              <w:jc w:val="left"/>
              <w:textAlignment w:val="auto"/>
              <w:rPr>
                <w:rFonts w:hint="default" w:ascii="Times New Roman" w:hAnsi="Times New Roman" w:eastAsia="宋体" w:cs="Times New Roman"/>
                <w:snapToGrid w:val="0"/>
                <w:color w:val="auto"/>
                <w:kern w:val="0"/>
                <w:sz w:val="24"/>
                <w:highlight w:val="none"/>
                <w:lang w:eastAsia="zh-CN"/>
              </w:rPr>
            </w:pPr>
            <w:r>
              <w:rPr>
                <w:rFonts w:hint="default" w:ascii="Times New Roman" w:hAnsi="Times New Roman" w:eastAsia="宋体" w:cs="Times New Roman"/>
                <w:snapToGrid w:val="0"/>
                <w:color w:val="auto"/>
                <w:kern w:val="0"/>
                <w:sz w:val="24"/>
                <w:highlight w:val="none"/>
              </w:rPr>
              <w:t>（3）建设地点：本项目选址位</w:t>
            </w:r>
            <w:r>
              <w:rPr>
                <w:rFonts w:hint="default" w:ascii="Times New Roman" w:hAnsi="Times New Roman" w:eastAsia="宋体" w:cs="Times New Roman"/>
                <w:color w:val="auto"/>
                <w:kern w:val="0"/>
                <w:sz w:val="24"/>
                <w:szCs w:val="24"/>
                <w:highlight w:val="none"/>
                <w:lang w:val="en-US" w:eastAsia="zh-CN"/>
              </w:rPr>
              <w:t>于</w:t>
            </w:r>
            <w:r>
              <w:rPr>
                <w:rFonts w:hint="eastAsia" w:ascii="Times New Roman" w:hAnsi="Times New Roman" w:cs="Times New Roman"/>
                <w:color w:val="auto"/>
                <w:kern w:val="0"/>
                <w:sz w:val="24"/>
                <w:szCs w:val="24"/>
                <w:highlight w:val="none"/>
                <w:lang w:val="en-US" w:eastAsia="zh-CN"/>
              </w:rPr>
              <w:t>河北省廊坊市永清县刘街乡小五间房村北</w:t>
            </w:r>
            <w:r>
              <w:rPr>
                <w:rFonts w:hint="default" w:ascii="Times New Roman" w:hAnsi="Times New Roman" w:eastAsia="宋体" w:cs="Times New Roman"/>
                <w:color w:val="auto"/>
                <w:kern w:val="0"/>
                <w:sz w:val="24"/>
                <w:szCs w:val="24"/>
                <w:highlight w:val="none"/>
                <w:lang w:val="en-US" w:eastAsia="zh-CN"/>
              </w:rPr>
              <w:t>，厂区中心坐标为</w:t>
            </w:r>
            <w:r>
              <w:rPr>
                <w:rFonts w:hint="eastAsia" w:ascii="Times New Roman" w:hAnsi="Times New Roman" w:eastAsia="宋体" w:cs="Times New Roman"/>
                <w:color w:val="auto"/>
                <w:kern w:val="0"/>
                <w:sz w:val="24"/>
                <w:szCs w:val="24"/>
                <w:highlight w:val="none"/>
                <w:lang w:val="en-US" w:eastAsia="zh-CN"/>
              </w:rPr>
              <w:t>东</w:t>
            </w:r>
            <w:r>
              <w:rPr>
                <w:rFonts w:hint="default" w:ascii="Times New Roman" w:hAnsi="Times New Roman" w:eastAsia="宋体" w:cs="Times New Roman"/>
                <w:color w:val="auto"/>
                <w:kern w:val="0"/>
                <w:sz w:val="24"/>
                <w:szCs w:val="24"/>
                <w:highlight w:val="none"/>
                <w:lang w:val="en-US" w:eastAsia="zh-CN"/>
              </w:rPr>
              <w:t>经</w:t>
            </w:r>
            <w:r>
              <w:rPr>
                <w:rFonts w:hint="default" w:ascii="Times New Roman" w:hAnsi="Times New Roman" w:cs="Times New Roman"/>
                <w:color w:val="auto"/>
                <w:kern w:val="0"/>
                <w:sz w:val="24"/>
                <w:szCs w:val="24"/>
                <w:highlight w:val="none"/>
                <w:lang w:val="en-US" w:eastAsia="zh-CN"/>
              </w:rPr>
              <w:t>116°29′58.559″</w:t>
            </w:r>
            <w:r>
              <w:rPr>
                <w:rFonts w:hint="default" w:ascii="Times New Roman" w:hAnsi="Times New Roman" w:eastAsia="宋体" w:cs="Times New Roman"/>
                <w:color w:val="auto"/>
                <w:kern w:val="0"/>
                <w:sz w:val="24"/>
                <w:szCs w:val="24"/>
                <w:highlight w:val="none"/>
                <w:lang w:val="en-US" w:eastAsia="zh-CN"/>
              </w:rPr>
              <w:t>北纬</w:t>
            </w:r>
            <w:r>
              <w:rPr>
                <w:rFonts w:hint="default" w:ascii="Times New Roman" w:hAnsi="Times New Roman" w:cs="Times New Roman"/>
                <w:color w:val="auto"/>
                <w:kern w:val="0"/>
                <w:sz w:val="24"/>
                <w:szCs w:val="24"/>
                <w:highlight w:val="none"/>
                <w:lang w:val="en-US" w:eastAsia="zh-CN"/>
              </w:rPr>
              <w:t>39°10′40.052″</w:t>
            </w:r>
            <w:r>
              <w:rPr>
                <w:rFonts w:hint="default" w:ascii="Times New Roman" w:hAnsi="Times New Roman" w:eastAsia="宋体" w:cs="Times New Roman"/>
                <w:color w:val="auto"/>
                <w:kern w:val="0"/>
                <w:sz w:val="24"/>
                <w:szCs w:val="24"/>
                <w:highlight w:val="none"/>
                <w:lang w:val="en-US" w:eastAsia="zh-CN"/>
              </w:rPr>
              <w:t>。</w:t>
            </w:r>
            <w:r>
              <w:rPr>
                <w:rFonts w:hint="eastAsia" w:ascii="Times New Roman" w:hAnsi="Times New Roman" w:eastAsia="宋体" w:cs="Times New Roman"/>
                <w:color w:val="auto"/>
                <w:kern w:val="0"/>
                <w:sz w:val="24"/>
                <w:szCs w:val="24"/>
                <w:highlight w:val="none"/>
                <w:lang w:val="en-US" w:eastAsia="zh-CN"/>
              </w:rPr>
              <w:t>项目南侧廊坊博浩森木业有限公司，北侧永清县刘街益丰家具组装厂，东侧闲置厂房，西侧河北卓威尊创新材料科技有限公司。</w:t>
            </w:r>
          </w:p>
          <w:p w14:paraId="5B5380A3">
            <w:pPr>
              <w:pStyle w:val="24"/>
              <w:keepNext w:val="0"/>
              <w:keepLines w:val="0"/>
              <w:pageBreakBefore w:val="0"/>
              <w:widowControl w:val="0"/>
              <w:kinsoku/>
              <w:wordWrap/>
              <w:overflowPunct/>
              <w:topLinePunct w:val="0"/>
              <w:autoSpaceDE/>
              <w:autoSpaceDN/>
              <w:bidi w:val="0"/>
              <w:adjustRightInd/>
              <w:snapToGrid/>
              <w:spacing w:line="500" w:lineRule="exact"/>
              <w:ind w:left="0" w:firstLine="240" w:firstLineChars="100"/>
              <w:textAlignment w:val="auto"/>
              <w:rPr>
                <w:rFonts w:hint="default" w:ascii="Times New Roman" w:hAnsi="Times New Roman" w:eastAsia="宋体" w:cs="Times New Roman"/>
                <w:snapToGrid w:val="0"/>
                <w:color w:val="auto"/>
                <w:kern w:val="0"/>
                <w:sz w:val="24"/>
                <w:highlight w:val="none"/>
              </w:rPr>
            </w:pPr>
            <w:r>
              <w:rPr>
                <w:rFonts w:hint="default" w:ascii="Times New Roman" w:hAnsi="Times New Roman" w:eastAsia="宋体" w:cs="Times New Roman"/>
                <w:snapToGrid w:val="0"/>
                <w:color w:val="auto"/>
                <w:kern w:val="0"/>
                <w:sz w:val="24"/>
                <w:highlight w:val="none"/>
              </w:rPr>
              <w:t>（4）项目投资：总投资</w:t>
            </w:r>
            <w:r>
              <w:rPr>
                <w:rFonts w:hint="eastAsia" w:ascii="Times New Roman" w:hAnsi="Times New Roman" w:cs="Times New Roman"/>
                <w:snapToGrid w:val="0"/>
                <w:color w:val="auto"/>
                <w:kern w:val="0"/>
                <w:sz w:val="24"/>
                <w:highlight w:val="none"/>
                <w:lang w:val="en-US" w:eastAsia="zh-CN"/>
              </w:rPr>
              <w:t>5020</w:t>
            </w:r>
            <w:r>
              <w:rPr>
                <w:rFonts w:hint="default" w:ascii="Times New Roman" w:hAnsi="Times New Roman" w:eastAsia="宋体" w:cs="Times New Roman"/>
                <w:snapToGrid w:val="0"/>
                <w:color w:val="auto"/>
                <w:kern w:val="0"/>
                <w:sz w:val="24"/>
                <w:highlight w:val="none"/>
              </w:rPr>
              <w:t>万元，其中环保投资</w:t>
            </w:r>
            <w:r>
              <w:rPr>
                <w:rFonts w:hint="eastAsia" w:ascii="Times New Roman" w:hAnsi="Times New Roman" w:cs="Times New Roman"/>
                <w:snapToGrid w:val="0"/>
                <w:color w:val="auto"/>
                <w:kern w:val="0"/>
                <w:sz w:val="24"/>
                <w:highlight w:val="none"/>
                <w:lang w:val="en-US" w:eastAsia="zh-CN"/>
              </w:rPr>
              <w:t>50</w:t>
            </w:r>
            <w:r>
              <w:rPr>
                <w:rFonts w:hint="default" w:ascii="Times New Roman" w:hAnsi="Times New Roman" w:eastAsia="宋体" w:cs="Times New Roman"/>
                <w:snapToGrid w:val="0"/>
                <w:color w:val="auto"/>
                <w:kern w:val="0"/>
                <w:sz w:val="24"/>
                <w:highlight w:val="none"/>
              </w:rPr>
              <w:t>万元，占总投资的</w:t>
            </w:r>
            <w:r>
              <w:rPr>
                <w:rFonts w:hint="eastAsia" w:ascii="Times New Roman" w:hAnsi="Times New Roman" w:cs="Times New Roman"/>
                <w:snapToGrid w:val="0"/>
                <w:color w:val="auto"/>
                <w:kern w:val="0"/>
                <w:sz w:val="24"/>
                <w:highlight w:val="none"/>
                <w:lang w:val="en-US" w:eastAsia="zh-CN"/>
              </w:rPr>
              <w:t>0.9</w:t>
            </w:r>
            <w:r>
              <w:rPr>
                <w:rFonts w:hint="default" w:ascii="Times New Roman" w:hAnsi="Times New Roman" w:eastAsia="宋体" w:cs="Times New Roman"/>
                <w:snapToGrid w:val="0"/>
                <w:color w:val="auto"/>
                <w:kern w:val="0"/>
                <w:sz w:val="24"/>
                <w:highlight w:val="none"/>
              </w:rPr>
              <w:t>%。</w:t>
            </w:r>
          </w:p>
          <w:p w14:paraId="5B7C5799">
            <w:pPr>
              <w:pStyle w:val="24"/>
              <w:keepNext w:val="0"/>
              <w:keepLines w:val="0"/>
              <w:pageBreakBefore w:val="0"/>
              <w:widowControl w:val="0"/>
              <w:kinsoku/>
              <w:wordWrap/>
              <w:overflowPunct/>
              <w:topLinePunct w:val="0"/>
              <w:autoSpaceDE/>
              <w:autoSpaceDN/>
              <w:bidi w:val="0"/>
              <w:adjustRightInd/>
              <w:snapToGrid/>
              <w:spacing w:line="500" w:lineRule="exact"/>
              <w:ind w:left="0" w:firstLine="240" w:firstLineChars="100"/>
              <w:textAlignment w:val="auto"/>
              <w:rPr>
                <w:rFonts w:hint="default" w:ascii="Times New Roman" w:hAnsi="Times New Roman" w:eastAsia="宋体" w:cs="Times New Roman"/>
                <w:snapToGrid w:val="0"/>
                <w:color w:val="auto"/>
                <w:kern w:val="0"/>
                <w:sz w:val="24"/>
                <w:highlight w:val="none"/>
              </w:rPr>
            </w:pPr>
            <w:r>
              <w:rPr>
                <w:rFonts w:hint="default" w:ascii="Times New Roman" w:hAnsi="Times New Roman" w:eastAsia="宋体" w:cs="Times New Roman"/>
                <w:snapToGrid w:val="0"/>
                <w:color w:val="auto"/>
                <w:kern w:val="0"/>
                <w:sz w:val="24"/>
                <w:highlight w:val="none"/>
              </w:rPr>
              <w:t>（5）项目性质：</w:t>
            </w:r>
            <w:r>
              <w:rPr>
                <w:rFonts w:hint="default" w:ascii="Times New Roman" w:hAnsi="Times New Roman" w:cs="Times New Roman"/>
                <w:snapToGrid w:val="0"/>
                <w:color w:val="auto"/>
                <w:kern w:val="0"/>
                <w:sz w:val="24"/>
                <w:highlight w:val="none"/>
                <w:lang w:val="en-US" w:eastAsia="zh-CN"/>
              </w:rPr>
              <w:t>新建</w:t>
            </w:r>
          </w:p>
          <w:p w14:paraId="04536A23">
            <w:pPr>
              <w:keepNext w:val="0"/>
              <w:keepLines w:val="0"/>
              <w:pageBreakBefore w:val="0"/>
              <w:widowControl w:val="0"/>
              <w:kinsoku/>
              <w:wordWrap/>
              <w:overflowPunct/>
              <w:topLinePunct w:val="0"/>
              <w:autoSpaceDE/>
              <w:autoSpaceDN/>
              <w:bidi w:val="0"/>
              <w:adjustRightInd/>
              <w:snapToGrid/>
              <w:spacing w:line="500" w:lineRule="exact"/>
              <w:ind w:firstLine="590" w:firstLineChars="245"/>
              <w:textAlignment w:val="auto"/>
              <w:rPr>
                <w:rFonts w:hint="default" w:ascii="Times New Roman" w:hAnsi="Times New Roman" w:eastAsia="宋体" w:cs="Times New Roman"/>
                <w:b/>
                <w:snapToGrid w:val="0"/>
                <w:color w:val="auto"/>
                <w:kern w:val="0"/>
                <w:sz w:val="24"/>
                <w:highlight w:val="none"/>
              </w:rPr>
            </w:pPr>
            <w:r>
              <w:rPr>
                <w:rFonts w:hint="default" w:ascii="Times New Roman" w:hAnsi="Times New Roman" w:eastAsia="宋体" w:cs="Times New Roman"/>
                <w:b/>
                <w:snapToGrid w:val="0"/>
                <w:color w:val="auto"/>
                <w:kern w:val="0"/>
                <w:sz w:val="24"/>
                <w:highlight w:val="none"/>
                <w:lang w:val="en-US" w:eastAsia="zh-CN"/>
              </w:rPr>
              <w:t>2</w:t>
            </w:r>
            <w:r>
              <w:rPr>
                <w:rFonts w:hint="eastAsia" w:ascii="Times New Roman" w:hAnsi="Times New Roman" w:eastAsia="宋体" w:cs="Times New Roman"/>
                <w:b/>
                <w:snapToGrid w:val="0"/>
                <w:color w:val="auto"/>
                <w:kern w:val="0"/>
                <w:sz w:val="24"/>
                <w:highlight w:val="none"/>
                <w:lang w:val="en-US" w:eastAsia="zh-CN"/>
              </w:rPr>
              <w:t>、</w:t>
            </w:r>
            <w:r>
              <w:rPr>
                <w:rFonts w:hint="default" w:ascii="Times New Roman" w:hAnsi="Times New Roman" w:eastAsia="宋体" w:cs="Times New Roman"/>
                <w:b/>
                <w:snapToGrid w:val="0"/>
                <w:color w:val="auto"/>
                <w:kern w:val="0"/>
                <w:sz w:val="24"/>
                <w:highlight w:val="none"/>
              </w:rPr>
              <w:t>建设规模及内容</w:t>
            </w:r>
          </w:p>
          <w:p w14:paraId="2BF1C7A5">
            <w:pPr>
              <w:pStyle w:val="24"/>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default" w:ascii="Times New Roman" w:hAnsi="Times New Roman" w:cs="Times New Roman"/>
                <w:snapToGrid w:val="0"/>
                <w:color w:val="auto"/>
                <w:kern w:val="0"/>
                <w:sz w:val="24"/>
                <w:highlight w:val="none"/>
              </w:rPr>
            </w:pPr>
            <w:r>
              <w:rPr>
                <w:rFonts w:hint="eastAsia" w:ascii="Times New Roman" w:hAnsi="Times New Roman" w:cs="Times New Roman"/>
                <w:snapToGrid w:val="0"/>
                <w:color w:val="auto"/>
                <w:kern w:val="0"/>
                <w:sz w:val="24"/>
                <w:highlight w:val="none"/>
                <w:lang w:eastAsia="zh-CN"/>
              </w:rPr>
              <w:t>本项目占地约3108平方米(约4.66 亩)，总建(构)筑面积 6000 平方米，主要建设生产车间、库房、办公用房。购置设备 97台(套)。项目建成后，年生产 50 万套置物架。</w:t>
            </w:r>
            <w:r>
              <w:rPr>
                <w:rFonts w:hint="default" w:ascii="Times New Roman" w:hAnsi="Times New Roman" w:cs="Times New Roman"/>
                <w:snapToGrid w:val="0"/>
                <w:color w:val="auto"/>
                <w:kern w:val="0"/>
                <w:sz w:val="24"/>
                <w:highlight w:val="none"/>
                <w:lang w:val="en-US" w:eastAsia="zh-CN"/>
              </w:rPr>
              <w:t>本</w:t>
            </w:r>
            <w:r>
              <w:rPr>
                <w:rFonts w:hint="default" w:ascii="Times New Roman" w:hAnsi="Times New Roman" w:cs="Times New Roman"/>
                <w:snapToGrid w:val="0"/>
                <w:color w:val="auto"/>
                <w:kern w:val="0"/>
                <w:sz w:val="24"/>
                <w:highlight w:val="none"/>
              </w:rPr>
              <w:t>项目组成见表</w:t>
            </w:r>
            <w:r>
              <w:rPr>
                <w:rFonts w:hint="eastAsia" w:ascii="Times New Roman" w:hAnsi="Times New Roman" w:cs="Times New Roman"/>
                <w:snapToGrid w:val="0"/>
                <w:color w:val="auto"/>
                <w:kern w:val="0"/>
                <w:sz w:val="24"/>
                <w:highlight w:val="none"/>
                <w:lang w:val="en-US" w:eastAsia="zh-CN"/>
              </w:rPr>
              <w:t>4</w:t>
            </w:r>
            <w:r>
              <w:rPr>
                <w:rFonts w:hint="default" w:ascii="Times New Roman" w:hAnsi="Times New Roman" w:cs="Times New Roman"/>
                <w:snapToGrid w:val="0"/>
                <w:color w:val="auto"/>
                <w:kern w:val="0"/>
                <w:sz w:val="24"/>
                <w:highlight w:val="none"/>
              </w:rPr>
              <w:t>。</w:t>
            </w:r>
          </w:p>
          <w:p w14:paraId="50F4032F">
            <w:pPr>
              <w:widowControl/>
              <w:spacing w:line="480" w:lineRule="atLeast"/>
              <w:jc w:val="center"/>
              <w:rPr>
                <w:rFonts w:hint="default" w:ascii="Times New Roman" w:hAnsi="Times New Roman" w:cs="Times New Roman"/>
                <w:color w:val="auto"/>
              </w:rPr>
            </w:pPr>
            <w:r>
              <w:rPr>
                <w:rFonts w:hint="default" w:ascii="Times New Roman" w:hAnsi="Times New Roman" w:cs="Times New Roman"/>
                <w:b/>
                <w:color w:val="auto"/>
                <w:sz w:val="24"/>
                <w:szCs w:val="24"/>
                <w:lang w:bidi="ar"/>
              </w:rPr>
              <w:t>表</w:t>
            </w:r>
            <w:r>
              <w:rPr>
                <w:rFonts w:hint="eastAsia" w:ascii="Times New Roman" w:hAnsi="Times New Roman" w:cs="Times New Roman"/>
                <w:b/>
                <w:color w:val="auto"/>
                <w:sz w:val="24"/>
                <w:szCs w:val="24"/>
                <w:lang w:val="en-US" w:eastAsia="zh-CN" w:bidi="ar"/>
              </w:rPr>
              <w:t>4</w:t>
            </w:r>
            <w:r>
              <w:rPr>
                <w:rFonts w:hint="default" w:ascii="Times New Roman" w:hAnsi="Times New Roman" w:cs="Times New Roman"/>
                <w:b/>
                <w:color w:val="auto"/>
                <w:sz w:val="24"/>
                <w:szCs w:val="24"/>
                <w:lang w:bidi="ar"/>
              </w:rPr>
              <w:t>项目组成一览表</w:t>
            </w:r>
          </w:p>
          <w:tbl>
            <w:tblPr>
              <w:tblStyle w:val="35"/>
              <w:tblW w:w="78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610"/>
              <w:gridCol w:w="1314"/>
              <w:gridCol w:w="5955"/>
            </w:tblGrid>
            <w:tr w14:paraId="4B3C4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610" w:type="dxa"/>
                  <w:tcBorders>
                    <w:tl2br w:val="nil"/>
                    <w:tr2bl w:val="nil"/>
                  </w:tcBorders>
                  <w:vAlign w:val="center"/>
                </w:tcPr>
                <w:p w14:paraId="0F092025">
                  <w:pPr>
                    <w:spacing w:line="280" w:lineRule="atLeas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项目分类</w:t>
                  </w:r>
                </w:p>
              </w:tc>
              <w:tc>
                <w:tcPr>
                  <w:tcW w:w="1314" w:type="dxa"/>
                  <w:tcBorders>
                    <w:tl2br w:val="nil"/>
                    <w:tr2bl w:val="nil"/>
                  </w:tcBorders>
                  <w:vAlign w:val="center"/>
                </w:tcPr>
                <w:p w14:paraId="597BEA58">
                  <w:pPr>
                    <w:spacing w:line="280" w:lineRule="atLeas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项目名称</w:t>
                  </w:r>
                </w:p>
              </w:tc>
              <w:tc>
                <w:tcPr>
                  <w:tcW w:w="5955" w:type="dxa"/>
                  <w:tcBorders>
                    <w:tl2br w:val="nil"/>
                    <w:tr2bl w:val="nil"/>
                  </w:tcBorders>
                  <w:vAlign w:val="center"/>
                </w:tcPr>
                <w:p w14:paraId="4A0FB94A">
                  <w:pPr>
                    <w:spacing w:line="280" w:lineRule="atLeas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建设内容</w:t>
                  </w:r>
                </w:p>
              </w:tc>
            </w:tr>
            <w:tr w14:paraId="06B6A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610" w:type="dxa"/>
                  <w:tcBorders>
                    <w:tl2br w:val="nil"/>
                    <w:tr2bl w:val="nil"/>
                  </w:tcBorders>
                  <w:vAlign w:val="center"/>
                </w:tcPr>
                <w:p w14:paraId="1D6EA4E3">
                  <w:pPr>
                    <w:spacing w:line="28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主体工程</w:t>
                  </w:r>
                </w:p>
              </w:tc>
              <w:tc>
                <w:tcPr>
                  <w:tcW w:w="1314" w:type="dxa"/>
                  <w:tcBorders>
                    <w:tl2br w:val="nil"/>
                    <w:tr2bl w:val="nil"/>
                  </w:tcBorders>
                  <w:vAlign w:val="center"/>
                </w:tcPr>
                <w:p w14:paraId="50017A27">
                  <w:pPr>
                    <w:spacing w:line="280" w:lineRule="atLeast"/>
                    <w:jc w:val="center"/>
                    <w:rPr>
                      <w:rFonts w:hint="default"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生产</w:t>
                  </w:r>
                  <w:r>
                    <w:rPr>
                      <w:rFonts w:hint="default" w:ascii="Times New Roman" w:hAnsi="Times New Roman" w:cs="Times New Roman"/>
                      <w:color w:val="auto"/>
                      <w:sz w:val="21"/>
                      <w:szCs w:val="21"/>
                    </w:rPr>
                    <w:t>车间</w:t>
                  </w:r>
                </w:p>
              </w:tc>
              <w:tc>
                <w:tcPr>
                  <w:tcW w:w="5955" w:type="dxa"/>
                  <w:tcBorders>
                    <w:tl2br w:val="nil"/>
                    <w:tr2bl w:val="nil"/>
                  </w:tcBorders>
                  <w:vAlign w:val="center"/>
                </w:tcPr>
                <w:p w14:paraId="1534FAED">
                  <w:pPr>
                    <w:spacing w:line="280" w:lineRule="atLeast"/>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建筑面积</w:t>
                  </w:r>
                  <w:r>
                    <w:rPr>
                      <w:rFonts w:hint="eastAsia" w:ascii="Times New Roman" w:hAnsi="Times New Roman" w:cs="Times New Roman"/>
                      <w:color w:val="auto"/>
                      <w:sz w:val="21"/>
                      <w:szCs w:val="21"/>
                      <w:lang w:val="en-US" w:eastAsia="zh-CN"/>
                    </w:rPr>
                    <w:t>4000</w:t>
                  </w: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2</w:t>
                  </w:r>
                  <w:r>
                    <w:rPr>
                      <w:rFonts w:hint="default" w:ascii="Times New Roman" w:hAnsi="Times New Roman" w:cs="Times New Roman"/>
                      <w:color w:val="auto"/>
                      <w:sz w:val="21"/>
                      <w:szCs w:val="21"/>
                    </w:rPr>
                    <w:t>，</w:t>
                  </w:r>
                  <w:r>
                    <w:rPr>
                      <w:rFonts w:hint="eastAsia" w:ascii="Times New Roman" w:hAnsi="Times New Roman" w:cs="Times New Roman"/>
                      <w:color w:val="auto"/>
                      <w:sz w:val="21"/>
                      <w:szCs w:val="21"/>
                      <w:lang w:val="en-US" w:eastAsia="zh-CN"/>
                    </w:rPr>
                    <w:t>2</w:t>
                  </w:r>
                  <w:r>
                    <w:rPr>
                      <w:rFonts w:hint="default" w:ascii="Times New Roman" w:hAnsi="Times New Roman" w:cs="Times New Roman"/>
                      <w:color w:val="auto"/>
                      <w:sz w:val="21"/>
                      <w:szCs w:val="21"/>
                      <w:lang w:val="en-US" w:eastAsia="zh-CN"/>
                    </w:rPr>
                    <w:t>层，钢结构，</w:t>
                  </w:r>
                  <w:r>
                    <w:rPr>
                      <w:rFonts w:hint="eastAsia" w:ascii="Times New Roman" w:hAnsi="Times New Roman" w:cs="Times New Roman"/>
                      <w:color w:val="auto"/>
                      <w:sz w:val="21"/>
                      <w:szCs w:val="21"/>
                      <w:lang w:val="en-US" w:eastAsia="zh-CN"/>
                    </w:rPr>
                    <w:t>布置</w:t>
                  </w:r>
                  <w:r>
                    <w:rPr>
                      <w:rFonts w:hint="default" w:ascii="Times New Roman" w:hAnsi="Times New Roman" w:cs="Times New Roman"/>
                      <w:color w:val="auto"/>
                      <w:sz w:val="21"/>
                      <w:szCs w:val="21"/>
                    </w:rPr>
                    <w:t>生产及辅助设备</w:t>
                  </w:r>
                </w:p>
              </w:tc>
            </w:tr>
            <w:tr w14:paraId="0BCBA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610" w:type="dxa"/>
                  <w:vMerge w:val="restart"/>
                  <w:tcBorders>
                    <w:tl2br w:val="nil"/>
                    <w:tr2bl w:val="nil"/>
                  </w:tcBorders>
                  <w:vAlign w:val="center"/>
                </w:tcPr>
                <w:p w14:paraId="75C1EA95">
                  <w:pPr>
                    <w:spacing w:line="28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辅助工程</w:t>
                  </w:r>
                </w:p>
              </w:tc>
              <w:tc>
                <w:tcPr>
                  <w:tcW w:w="1314" w:type="dxa"/>
                  <w:tcBorders>
                    <w:tl2br w:val="nil"/>
                    <w:tr2bl w:val="nil"/>
                  </w:tcBorders>
                  <w:vAlign w:val="center"/>
                </w:tcPr>
                <w:p w14:paraId="049B24E5">
                  <w:pPr>
                    <w:spacing w:line="28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办公区</w:t>
                  </w:r>
                </w:p>
              </w:tc>
              <w:tc>
                <w:tcPr>
                  <w:tcW w:w="5955" w:type="dxa"/>
                  <w:tcBorders>
                    <w:tl2br w:val="nil"/>
                    <w:tr2bl w:val="nil"/>
                  </w:tcBorders>
                  <w:vAlign w:val="center"/>
                </w:tcPr>
                <w:p w14:paraId="03F0D2C8">
                  <w:pPr>
                    <w:spacing w:line="280" w:lineRule="atLeast"/>
                    <w:jc w:val="center"/>
                    <w:rPr>
                      <w:rFonts w:hint="eastAsia"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建筑面积</w:t>
                  </w:r>
                  <w:r>
                    <w:rPr>
                      <w:rFonts w:hint="eastAsia" w:ascii="Times New Roman" w:hAnsi="Times New Roman" w:cs="Times New Roman"/>
                      <w:color w:val="auto"/>
                      <w:sz w:val="21"/>
                      <w:szCs w:val="21"/>
                      <w:lang w:val="en-US" w:eastAsia="zh-CN"/>
                    </w:rPr>
                    <w:t>1000</w:t>
                  </w: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2</w:t>
                  </w:r>
                  <w:r>
                    <w:rPr>
                      <w:rFonts w:hint="default" w:ascii="Times New Roman" w:hAnsi="Times New Roman" w:cs="Times New Roman"/>
                      <w:color w:val="auto"/>
                      <w:sz w:val="21"/>
                      <w:szCs w:val="21"/>
                    </w:rPr>
                    <w:t>，</w:t>
                  </w:r>
                  <w:r>
                    <w:rPr>
                      <w:rFonts w:hint="eastAsia" w:ascii="Times New Roman" w:hAnsi="Times New Roman" w:cs="Times New Roman"/>
                      <w:color w:val="auto"/>
                      <w:sz w:val="21"/>
                      <w:szCs w:val="21"/>
                      <w:lang w:val="en-US" w:eastAsia="zh-CN"/>
                    </w:rPr>
                    <w:t>2</w:t>
                  </w:r>
                  <w:r>
                    <w:rPr>
                      <w:rFonts w:hint="default" w:ascii="Times New Roman" w:hAnsi="Times New Roman" w:cs="Times New Roman"/>
                      <w:color w:val="auto"/>
                      <w:sz w:val="21"/>
                      <w:szCs w:val="21"/>
                      <w:lang w:val="en-US" w:eastAsia="zh-CN"/>
                    </w:rPr>
                    <w:t>层，砖结构，</w:t>
                  </w:r>
                  <w:r>
                    <w:rPr>
                      <w:rFonts w:hint="default" w:ascii="Times New Roman" w:hAnsi="Times New Roman" w:cs="Times New Roman"/>
                      <w:color w:val="auto"/>
                      <w:sz w:val="21"/>
                      <w:szCs w:val="21"/>
                    </w:rPr>
                    <w:t>员工办公场所</w:t>
                  </w:r>
                </w:p>
              </w:tc>
            </w:tr>
            <w:tr w14:paraId="65D65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610" w:type="dxa"/>
                  <w:vMerge w:val="continue"/>
                  <w:tcBorders>
                    <w:tl2br w:val="nil"/>
                    <w:tr2bl w:val="nil"/>
                  </w:tcBorders>
                  <w:vAlign w:val="center"/>
                </w:tcPr>
                <w:p w14:paraId="4F2E003D">
                  <w:pPr>
                    <w:spacing w:line="280" w:lineRule="atLeast"/>
                    <w:jc w:val="center"/>
                    <w:rPr>
                      <w:rFonts w:hint="default" w:ascii="Times New Roman" w:hAnsi="Times New Roman" w:cs="Times New Roman"/>
                      <w:color w:val="auto"/>
                      <w:sz w:val="21"/>
                      <w:szCs w:val="21"/>
                    </w:rPr>
                  </w:pPr>
                </w:p>
              </w:tc>
              <w:tc>
                <w:tcPr>
                  <w:tcW w:w="1314" w:type="dxa"/>
                  <w:tcBorders>
                    <w:tl2br w:val="nil"/>
                    <w:tr2bl w:val="nil"/>
                  </w:tcBorders>
                  <w:vAlign w:val="center"/>
                </w:tcPr>
                <w:p w14:paraId="19114F05">
                  <w:pPr>
                    <w:spacing w:line="280" w:lineRule="atLeast"/>
                    <w:jc w:val="center"/>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eastAsia="zh-CN"/>
                    </w:rPr>
                    <w:t>库房</w:t>
                  </w:r>
                </w:p>
              </w:tc>
              <w:tc>
                <w:tcPr>
                  <w:tcW w:w="5955" w:type="dxa"/>
                  <w:tcBorders>
                    <w:tl2br w:val="nil"/>
                    <w:tr2bl w:val="nil"/>
                  </w:tcBorders>
                  <w:vAlign w:val="center"/>
                </w:tcPr>
                <w:p w14:paraId="0D4427CE">
                  <w:pPr>
                    <w:spacing w:line="280" w:lineRule="atLeast"/>
                    <w:jc w:val="center"/>
                    <w:rPr>
                      <w:rFonts w:hint="default" w:ascii="Times New Roman" w:hAnsi="Times New Roman" w:cs="Times New Roman"/>
                      <w:color w:val="auto"/>
                      <w:sz w:val="21"/>
                      <w:szCs w:val="21"/>
                    </w:rPr>
                  </w:pPr>
                  <w:r>
                    <w:rPr>
                      <w:rFonts w:hint="eastAsia" w:ascii="Times New Roman" w:hAnsi="Times New Roman" w:cs="Times New Roman"/>
                      <w:color w:val="000000" w:themeColor="text1"/>
                      <w:sz w:val="21"/>
                      <w:szCs w:val="21"/>
                      <w:lang w:eastAsia="zh-CN"/>
                      <w14:textFill>
                        <w14:solidFill>
                          <w14:schemeClr w14:val="tx1"/>
                        </w14:solidFill>
                      </w14:textFill>
                    </w:rPr>
                    <w:t>建筑面积</w:t>
                  </w:r>
                  <w:r>
                    <w:rPr>
                      <w:rFonts w:hint="eastAsia" w:ascii="Times New Roman" w:hAnsi="Times New Roman" w:cs="Times New Roman"/>
                      <w:color w:val="auto"/>
                      <w:sz w:val="21"/>
                      <w:szCs w:val="21"/>
                      <w:lang w:val="en-US" w:eastAsia="zh-CN"/>
                    </w:rPr>
                    <w:t>1000</w:t>
                  </w: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2</w:t>
                  </w:r>
                  <w:r>
                    <w:rPr>
                      <w:rFonts w:hint="default" w:ascii="Times New Roman" w:hAnsi="Times New Roman" w:cs="Times New Roman"/>
                      <w:color w:val="auto"/>
                      <w:sz w:val="21"/>
                      <w:szCs w:val="21"/>
                    </w:rPr>
                    <w:t>，</w:t>
                  </w:r>
                  <w:r>
                    <w:rPr>
                      <w:rFonts w:hint="eastAsia" w:ascii="Times New Roman" w:hAnsi="Times New Roman" w:cs="Times New Roman"/>
                      <w:color w:val="000000" w:themeColor="text1"/>
                      <w:sz w:val="21"/>
                      <w:szCs w:val="21"/>
                      <w:lang w:eastAsia="zh-CN"/>
                      <w14:textFill>
                        <w14:solidFill>
                          <w14:schemeClr w14:val="tx1"/>
                        </w14:solidFill>
                      </w14:textFill>
                    </w:rPr>
                    <w:t>用于存放成品及原辅材料</w:t>
                  </w:r>
                </w:p>
              </w:tc>
            </w:tr>
            <w:tr w14:paraId="702A9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7" w:hRule="atLeast"/>
                <w:jc w:val="center"/>
              </w:trPr>
              <w:tc>
                <w:tcPr>
                  <w:tcW w:w="610" w:type="dxa"/>
                  <w:tcBorders>
                    <w:tl2br w:val="nil"/>
                    <w:tr2bl w:val="nil"/>
                  </w:tcBorders>
                  <w:vAlign w:val="center"/>
                </w:tcPr>
                <w:p w14:paraId="286630BC">
                  <w:pPr>
                    <w:spacing w:line="28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储运工程</w:t>
                  </w:r>
                </w:p>
              </w:tc>
              <w:tc>
                <w:tcPr>
                  <w:tcW w:w="1314" w:type="dxa"/>
                  <w:tcBorders>
                    <w:tl2br w:val="nil"/>
                    <w:tr2bl w:val="nil"/>
                  </w:tcBorders>
                  <w:shd w:val="clear" w:color="auto" w:fill="auto"/>
                  <w:vAlign w:val="center"/>
                </w:tcPr>
                <w:p w14:paraId="5AB0C937">
                  <w:pPr>
                    <w:spacing w:line="280" w:lineRule="atLeast"/>
                    <w:jc w:val="center"/>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cs="Times New Roman"/>
                      <w:color w:val="auto"/>
                      <w:sz w:val="21"/>
                      <w:szCs w:val="21"/>
                    </w:rPr>
                    <w:t>危废间</w:t>
                  </w:r>
                </w:p>
              </w:tc>
              <w:tc>
                <w:tcPr>
                  <w:tcW w:w="5955" w:type="dxa"/>
                  <w:tcBorders>
                    <w:tl2br w:val="nil"/>
                    <w:tr2bl w:val="nil"/>
                  </w:tcBorders>
                  <w:shd w:val="clear" w:color="auto" w:fill="auto"/>
                  <w:vAlign w:val="center"/>
                </w:tcPr>
                <w:p w14:paraId="068E1558">
                  <w:pPr>
                    <w:spacing w:line="280" w:lineRule="atLeast"/>
                    <w:jc w:val="center"/>
                    <w:rPr>
                      <w:rFonts w:hint="eastAsia" w:ascii="Times New Roman" w:hAnsi="Times New Roman" w:eastAsia="宋体" w:cs="Times New Roman"/>
                      <w:snapToGrid w:val="0"/>
                      <w:color w:val="auto"/>
                      <w:sz w:val="21"/>
                      <w:szCs w:val="21"/>
                      <w:lang w:val="en-US" w:eastAsia="zh-CN" w:bidi="ar-SA"/>
                    </w:rPr>
                  </w:pPr>
                  <w:r>
                    <w:rPr>
                      <w:rFonts w:hint="default" w:ascii="Times New Roman" w:hAnsi="Times New Roman" w:cs="Times New Roman"/>
                      <w:color w:val="auto"/>
                      <w:sz w:val="21"/>
                      <w:szCs w:val="21"/>
                    </w:rPr>
                    <w:t>建筑面积</w:t>
                  </w:r>
                  <w:r>
                    <w:rPr>
                      <w:rFonts w:hint="eastAsia" w:ascii="Times New Roman" w:hAnsi="Times New Roman" w:cs="Times New Roman"/>
                      <w:color w:val="auto"/>
                      <w:sz w:val="21"/>
                      <w:szCs w:val="21"/>
                      <w:lang w:val="en-US" w:eastAsia="zh-CN"/>
                    </w:rPr>
                    <w:t>3</w:t>
                  </w:r>
                  <w:r>
                    <w:rPr>
                      <w:rFonts w:hint="default" w:ascii="Times New Roman" w:hAnsi="Times New Roman" w:cs="Times New Roman"/>
                      <w:color w:val="auto"/>
                      <w:sz w:val="21"/>
                      <w:szCs w:val="21"/>
                      <w:lang w:val="en-US" w:eastAsia="zh-CN"/>
                    </w:rPr>
                    <w:t>0</w:t>
                  </w: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2</w:t>
                  </w:r>
                  <w:r>
                    <w:rPr>
                      <w:rFonts w:hint="default" w:ascii="Times New Roman" w:hAnsi="Times New Roman" w:cs="Times New Roman"/>
                      <w:color w:val="auto"/>
                      <w:sz w:val="21"/>
                      <w:szCs w:val="21"/>
                    </w:rPr>
                    <w:t>，</w:t>
                  </w:r>
                  <w:r>
                    <w:rPr>
                      <w:rFonts w:hint="default" w:ascii="Times New Roman" w:hAnsi="Times New Roman" w:cs="Times New Roman"/>
                      <w:color w:val="auto"/>
                      <w:sz w:val="21"/>
                      <w:szCs w:val="21"/>
                      <w:lang w:val="en-US" w:eastAsia="zh-CN"/>
                    </w:rPr>
                    <w:t>1层，</w:t>
                  </w:r>
                  <w:r>
                    <w:rPr>
                      <w:rFonts w:hint="default" w:ascii="Times New Roman" w:hAnsi="Times New Roman" w:cs="Times New Roman"/>
                      <w:color w:val="auto"/>
                      <w:sz w:val="21"/>
                      <w:szCs w:val="21"/>
                    </w:rPr>
                    <w:t>储存危险废物</w:t>
                  </w:r>
                  <w:r>
                    <w:rPr>
                      <w:rFonts w:hint="eastAsia" w:ascii="Times New Roman" w:hAnsi="Times New Roman" w:cs="Times New Roman"/>
                      <w:color w:val="auto"/>
                      <w:sz w:val="21"/>
                      <w:szCs w:val="21"/>
                      <w:lang w:eastAsia="zh-CN"/>
                    </w:rPr>
                    <w:t>，位于库房内部</w:t>
                  </w:r>
                </w:p>
              </w:tc>
            </w:tr>
            <w:tr w14:paraId="02A7D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610" w:type="dxa"/>
                  <w:vMerge w:val="restart"/>
                  <w:tcBorders>
                    <w:tl2br w:val="nil"/>
                    <w:tr2bl w:val="nil"/>
                  </w:tcBorders>
                  <w:vAlign w:val="center"/>
                </w:tcPr>
                <w:p w14:paraId="5F5D7397">
                  <w:pPr>
                    <w:spacing w:line="28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公用工程</w:t>
                  </w:r>
                </w:p>
              </w:tc>
              <w:tc>
                <w:tcPr>
                  <w:tcW w:w="1314" w:type="dxa"/>
                  <w:tcBorders>
                    <w:tl2br w:val="nil"/>
                    <w:tr2bl w:val="nil"/>
                  </w:tcBorders>
                  <w:vAlign w:val="center"/>
                </w:tcPr>
                <w:p w14:paraId="1FCF87A7">
                  <w:pPr>
                    <w:spacing w:line="28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供水</w:t>
                  </w:r>
                </w:p>
              </w:tc>
              <w:tc>
                <w:tcPr>
                  <w:tcW w:w="5955" w:type="dxa"/>
                  <w:tcBorders>
                    <w:tl2br w:val="nil"/>
                    <w:tr2bl w:val="nil"/>
                  </w:tcBorders>
                  <w:vAlign w:val="center"/>
                </w:tcPr>
                <w:p w14:paraId="5BFE3162">
                  <w:pPr>
                    <w:spacing w:line="28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项目供水由</w:t>
                  </w:r>
                  <w:r>
                    <w:rPr>
                      <w:rFonts w:hint="eastAsia" w:ascii="Times New Roman" w:hAnsi="Times New Roman" w:cs="Times New Roman"/>
                      <w:color w:val="auto"/>
                      <w:sz w:val="21"/>
                      <w:szCs w:val="21"/>
                      <w:lang w:eastAsia="zh-CN"/>
                    </w:rPr>
                    <w:t>当地</w:t>
                  </w:r>
                  <w:r>
                    <w:rPr>
                      <w:rFonts w:hint="default" w:ascii="Times New Roman" w:hAnsi="Times New Roman" w:cs="Times New Roman"/>
                      <w:color w:val="auto"/>
                      <w:sz w:val="21"/>
                      <w:szCs w:val="21"/>
                    </w:rPr>
                    <w:t>供水管网供应</w:t>
                  </w:r>
                </w:p>
              </w:tc>
            </w:tr>
            <w:tr w14:paraId="291D73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610" w:type="dxa"/>
                  <w:vMerge w:val="continue"/>
                  <w:tcBorders>
                    <w:tl2br w:val="nil"/>
                    <w:tr2bl w:val="nil"/>
                  </w:tcBorders>
                  <w:vAlign w:val="center"/>
                </w:tcPr>
                <w:p w14:paraId="51C5E80A">
                  <w:pPr>
                    <w:spacing w:line="280" w:lineRule="atLeast"/>
                    <w:jc w:val="center"/>
                    <w:rPr>
                      <w:rFonts w:hint="default" w:ascii="Times New Roman" w:hAnsi="Times New Roman" w:cs="Times New Roman"/>
                      <w:color w:val="auto"/>
                      <w:sz w:val="21"/>
                      <w:szCs w:val="21"/>
                    </w:rPr>
                  </w:pPr>
                </w:p>
              </w:tc>
              <w:tc>
                <w:tcPr>
                  <w:tcW w:w="1314" w:type="dxa"/>
                  <w:tcBorders>
                    <w:tl2br w:val="nil"/>
                    <w:tr2bl w:val="nil"/>
                  </w:tcBorders>
                  <w:vAlign w:val="center"/>
                </w:tcPr>
                <w:p w14:paraId="60FBBFF4">
                  <w:pPr>
                    <w:spacing w:line="28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供电</w:t>
                  </w:r>
                </w:p>
              </w:tc>
              <w:tc>
                <w:tcPr>
                  <w:tcW w:w="5955" w:type="dxa"/>
                  <w:tcBorders>
                    <w:tl2br w:val="nil"/>
                    <w:tr2bl w:val="nil"/>
                  </w:tcBorders>
                  <w:vAlign w:val="center"/>
                </w:tcPr>
                <w:p w14:paraId="51389D9A">
                  <w:pPr>
                    <w:spacing w:line="28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项目供电由</w:t>
                  </w:r>
                  <w:r>
                    <w:rPr>
                      <w:rFonts w:hint="eastAsia" w:ascii="Times New Roman" w:hAnsi="Times New Roman" w:cs="Times New Roman"/>
                      <w:color w:val="auto"/>
                      <w:kern w:val="2"/>
                      <w:sz w:val="21"/>
                      <w:szCs w:val="21"/>
                      <w:lang w:eastAsia="zh-CN"/>
                    </w:rPr>
                    <w:t>当地</w:t>
                  </w:r>
                  <w:r>
                    <w:rPr>
                      <w:rFonts w:hint="default" w:ascii="Times New Roman" w:hAnsi="Times New Roman" w:cs="Times New Roman"/>
                      <w:color w:val="auto"/>
                      <w:kern w:val="2"/>
                      <w:sz w:val="21"/>
                      <w:szCs w:val="21"/>
                      <w:lang w:eastAsia="zh-CN"/>
                    </w:rPr>
                    <w:t>供电系统</w:t>
                  </w:r>
                  <w:r>
                    <w:rPr>
                      <w:rFonts w:hint="default" w:ascii="Times New Roman" w:hAnsi="Times New Roman" w:cs="Times New Roman"/>
                      <w:color w:val="auto"/>
                      <w:kern w:val="2"/>
                      <w:sz w:val="21"/>
                      <w:szCs w:val="21"/>
                    </w:rPr>
                    <w:t>供应</w:t>
                  </w:r>
                </w:p>
              </w:tc>
            </w:tr>
            <w:tr w14:paraId="09AEB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610" w:type="dxa"/>
                  <w:vMerge w:val="continue"/>
                  <w:tcBorders>
                    <w:tl2br w:val="nil"/>
                    <w:tr2bl w:val="nil"/>
                  </w:tcBorders>
                  <w:vAlign w:val="center"/>
                </w:tcPr>
                <w:p w14:paraId="2803CFB7">
                  <w:pPr>
                    <w:spacing w:line="280" w:lineRule="atLeast"/>
                    <w:jc w:val="center"/>
                    <w:rPr>
                      <w:rFonts w:hint="default" w:ascii="Times New Roman" w:hAnsi="Times New Roman" w:cs="Times New Roman"/>
                      <w:color w:val="auto"/>
                      <w:sz w:val="21"/>
                      <w:szCs w:val="21"/>
                    </w:rPr>
                  </w:pPr>
                </w:p>
              </w:tc>
              <w:tc>
                <w:tcPr>
                  <w:tcW w:w="1314" w:type="dxa"/>
                  <w:tcBorders>
                    <w:tl2br w:val="nil"/>
                    <w:tr2bl w:val="nil"/>
                  </w:tcBorders>
                  <w:vAlign w:val="center"/>
                </w:tcPr>
                <w:p w14:paraId="23768275">
                  <w:pPr>
                    <w:spacing w:line="28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供热</w:t>
                  </w:r>
                </w:p>
              </w:tc>
              <w:tc>
                <w:tcPr>
                  <w:tcW w:w="5955" w:type="dxa"/>
                  <w:tcBorders>
                    <w:tl2br w:val="nil"/>
                    <w:tr2bl w:val="nil"/>
                  </w:tcBorders>
                  <w:vAlign w:val="center"/>
                </w:tcPr>
                <w:p w14:paraId="18D42630">
                  <w:pPr>
                    <w:spacing w:line="28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项目冬季采暖采用空调，生产加热使用电能</w:t>
                  </w:r>
                </w:p>
              </w:tc>
            </w:tr>
            <w:tr w14:paraId="152777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610" w:type="dxa"/>
                  <w:vMerge w:val="restart"/>
                  <w:tcBorders>
                    <w:tl2br w:val="nil"/>
                    <w:tr2bl w:val="nil"/>
                  </w:tcBorders>
                  <w:vAlign w:val="center"/>
                </w:tcPr>
                <w:p w14:paraId="16694795">
                  <w:pPr>
                    <w:spacing w:line="28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环保工程</w:t>
                  </w:r>
                </w:p>
              </w:tc>
              <w:tc>
                <w:tcPr>
                  <w:tcW w:w="1314" w:type="dxa"/>
                  <w:vMerge w:val="restart"/>
                  <w:tcBorders>
                    <w:tl2br w:val="nil"/>
                    <w:tr2bl w:val="nil"/>
                  </w:tcBorders>
                  <w:vAlign w:val="center"/>
                </w:tcPr>
                <w:p w14:paraId="2092EC3D">
                  <w:pPr>
                    <w:spacing w:line="280" w:lineRule="atLeast"/>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废水</w:t>
                  </w:r>
                </w:p>
              </w:tc>
              <w:tc>
                <w:tcPr>
                  <w:tcW w:w="5955" w:type="dxa"/>
                  <w:tcBorders>
                    <w:tl2br w:val="nil"/>
                    <w:tr2bl w:val="nil"/>
                  </w:tcBorders>
                  <w:vAlign w:val="center"/>
                </w:tcPr>
                <w:p w14:paraId="3327BAA8">
                  <w:pPr>
                    <w:spacing w:line="280" w:lineRule="atLeast"/>
                    <w:jc w:val="center"/>
                    <w:rPr>
                      <w:rFonts w:hint="default" w:ascii="Times New Roman" w:hAnsi="Times New Roman" w:cs="Times New Roman"/>
                      <w:bCs/>
                      <w:color w:val="auto"/>
                      <w:sz w:val="21"/>
                      <w:szCs w:val="21"/>
                    </w:rPr>
                  </w:pPr>
                  <w:r>
                    <w:rPr>
                      <w:rFonts w:hint="default" w:ascii="Times New Roman" w:hAnsi="Times New Roman" w:eastAsia="宋体" w:cs="Times New Roman"/>
                      <w:bCs/>
                      <w:snapToGrid w:val="0"/>
                      <w:color w:val="auto"/>
                      <w:sz w:val="21"/>
                      <w:szCs w:val="21"/>
                      <w:highlight w:val="none"/>
                      <w:lang w:val="en-US" w:eastAsia="zh-CN"/>
                    </w:rPr>
                    <w:t>生活污水排入</w:t>
                  </w:r>
                  <w:r>
                    <w:rPr>
                      <w:rFonts w:hint="eastAsia" w:ascii="Times New Roman" w:hAnsi="Times New Roman" w:cs="Times New Roman"/>
                      <w:bCs/>
                      <w:snapToGrid w:val="0"/>
                      <w:color w:val="auto"/>
                      <w:sz w:val="21"/>
                      <w:szCs w:val="21"/>
                      <w:highlight w:val="none"/>
                      <w:lang w:val="en-US" w:eastAsia="zh-CN"/>
                    </w:rPr>
                    <w:t>化粪池</w:t>
                  </w:r>
                  <w:r>
                    <w:rPr>
                      <w:rFonts w:hint="default" w:ascii="Times New Roman" w:hAnsi="Times New Roman" w:eastAsia="宋体" w:cs="Times New Roman"/>
                      <w:bCs/>
                      <w:snapToGrid w:val="0"/>
                      <w:color w:val="auto"/>
                      <w:sz w:val="21"/>
                      <w:szCs w:val="21"/>
                      <w:highlight w:val="none"/>
                      <w:lang w:val="en-US" w:eastAsia="zh-CN"/>
                    </w:rPr>
                    <w:t>，定期清掏，</w:t>
                  </w:r>
                  <w:r>
                    <w:rPr>
                      <w:rFonts w:hint="eastAsia" w:ascii="Times New Roman" w:hAnsi="Times New Roman" w:cs="Times New Roman"/>
                      <w:bCs/>
                      <w:snapToGrid w:val="0"/>
                      <w:color w:val="auto"/>
                      <w:sz w:val="21"/>
                      <w:szCs w:val="21"/>
                      <w:highlight w:val="none"/>
                      <w:lang w:val="en-US" w:eastAsia="zh-CN"/>
                    </w:rPr>
                    <w:t>不外排</w:t>
                  </w:r>
                </w:p>
              </w:tc>
            </w:tr>
            <w:tr w14:paraId="2AA16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610" w:type="dxa"/>
                  <w:vMerge w:val="continue"/>
                  <w:tcBorders>
                    <w:tl2br w:val="nil"/>
                    <w:tr2bl w:val="nil"/>
                  </w:tcBorders>
                  <w:vAlign w:val="center"/>
                </w:tcPr>
                <w:p w14:paraId="1622C8D2">
                  <w:pPr>
                    <w:spacing w:line="280" w:lineRule="atLeast"/>
                    <w:jc w:val="center"/>
                    <w:rPr>
                      <w:rFonts w:hint="default" w:ascii="Times New Roman" w:hAnsi="Times New Roman" w:cs="Times New Roman"/>
                      <w:color w:val="auto"/>
                    </w:rPr>
                  </w:pPr>
                </w:p>
              </w:tc>
              <w:tc>
                <w:tcPr>
                  <w:tcW w:w="1314" w:type="dxa"/>
                  <w:vMerge w:val="continue"/>
                  <w:tcBorders>
                    <w:tl2br w:val="nil"/>
                    <w:tr2bl w:val="nil"/>
                  </w:tcBorders>
                  <w:vAlign w:val="center"/>
                </w:tcPr>
                <w:p w14:paraId="3444603D">
                  <w:pPr>
                    <w:spacing w:line="280" w:lineRule="atLeast"/>
                    <w:jc w:val="center"/>
                    <w:rPr>
                      <w:rFonts w:hint="default" w:ascii="Times New Roman" w:hAnsi="Times New Roman" w:cs="Times New Roman"/>
                      <w:color w:val="auto"/>
                    </w:rPr>
                  </w:pPr>
                </w:p>
              </w:tc>
              <w:tc>
                <w:tcPr>
                  <w:tcW w:w="5955" w:type="dxa"/>
                  <w:tcBorders>
                    <w:tl2br w:val="nil"/>
                    <w:tr2bl w:val="nil"/>
                  </w:tcBorders>
                  <w:vAlign w:val="center"/>
                </w:tcPr>
                <w:p w14:paraId="4DDC54F2">
                  <w:pPr>
                    <w:spacing w:line="280" w:lineRule="atLeast"/>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冷却水循环使用不外排，无生产废水产生</w:t>
                  </w:r>
                </w:p>
              </w:tc>
            </w:tr>
            <w:tr w14:paraId="0056E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610" w:type="dxa"/>
                  <w:vMerge w:val="continue"/>
                  <w:tcBorders>
                    <w:tl2br w:val="nil"/>
                    <w:tr2bl w:val="nil"/>
                  </w:tcBorders>
                  <w:vAlign w:val="center"/>
                </w:tcPr>
                <w:p w14:paraId="1480C63C">
                  <w:pPr>
                    <w:spacing w:line="280" w:lineRule="atLeast"/>
                    <w:jc w:val="center"/>
                    <w:rPr>
                      <w:rFonts w:hint="default" w:ascii="Times New Roman" w:hAnsi="Times New Roman" w:cs="Times New Roman"/>
                      <w:color w:val="auto"/>
                      <w:sz w:val="21"/>
                      <w:szCs w:val="21"/>
                    </w:rPr>
                  </w:pPr>
                </w:p>
              </w:tc>
              <w:tc>
                <w:tcPr>
                  <w:tcW w:w="1314" w:type="dxa"/>
                  <w:vMerge w:val="restart"/>
                  <w:tcBorders>
                    <w:tl2br w:val="nil"/>
                    <w:tr2bl w:val="nil"/>
                  </w:tcBorders>
                  <w:vAlign w:val="center"/>
                </w:tcPr>
                <w:p w14:paraId="065048E7">
                  <w:pPr>
                    <w:spacing w:line="28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废气</w:t>
                  </w:r>
                </w:p>
              </w:tc>
              <w:tc>
                <w:tcPr>
                  <w:tcW w:w="5955" w:type="dxa"/>
                  <w:tcBorders>
                    <w:tl2br w:val="nil"/>
                    <w:tr2bl w:val="nil"/>
                  </w:tcBorders>
                  <w:vAlign w:val="center"/>
                </w:tcPr>
                <w:p w14:paraId="1FABCE5A">
                  <w:pPr>
                    <w:spacing w:line="28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注塑</w:t>
                  </w:r>
                  <w:r>
                    <w:rPr>
                      <w:rFonts w:hint="default" w:ascii="Times New Roman" w:hAnsi="Times New Roman" w:cs="Times New Roman"/>
                      <w:color w:val="auto"/>
                      <w:sz w:val="21"/>
                      <w:szCs w:val="21"/>
                    </w:rPr>
                    <w:t>工序有机废气</w:t>
                  </w:r>
                  <w:r>
                    <w:rPr>
                      <w:rFonts w:hint="default" w:ascii="Times New Roman" w:hAnsi="Times New Roman" w:cs="Times New Roman"/>
                      <w:color w:val="auto"/>
                      <w:sz w:val="21"/>
                      <w:szCs w:val="21"/>
                      <w:lang w:eastAsia="zh-CN"/>
                    </w:rPr>
                    <w:t>：集气罩+</w:t>
                  </w:r>
                  <w:r>
                    <w:rPr>
                      <w:rFonts w:hint="eastAsia" w:ascii="Times New Roman" w:hAnsi="Times New Roman" w:cs="Times New Roman"/>
                      <w:color w:val="auto"/>
                      <w:sz w:val="21"/>
                      <w:szCs w:val="21"/>
                      <w:lang w:eastAsia="zh-CN"/>
                    </w:rPr>
                    <w:t>二级活性炭装置</w:t>
                  </w:r>
                  <w:r>
                    <w:rPr>
                      <w:rFonts w:hint="default" w:ascii="Times New Roman" w:hAnsi="Times New Roman" w:cs="Times New Roman"/>
                      <w:color w:val="auto"/>
                      <w:sz w:val="21"/>
                      <w:szCs w:val="21"/>
                      <w:lang w:eastAsia="zh-CN"/>
                    </w:rPr>
                    <w:t>+15m排气筒DA001</w:t>
                  </w:r>
                  <w:r>
                    <w:rPr>
                      <w:rFonts w:hint="default" w:ascii="Times New Roman" w:hAnsi="Times New Roman" w:cs="Times New Roman"/>
                      <w:color w:val="auto"/>
                      <w:sz w:val="21"/>
                      <w:szCs w:val="21"/>
                    </w:rPr>
                    <w:t>排放</w:t>
                  </w:r>
                </w:p>
              </w:tc>
            </w:tr>
            <w:tr w14:paraId="3776B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7" w:hRule="atLeast"/>
                <w:jc w:val="center"/>
              </w:trPr>
              <w:tc>
                <w:tcPr>
                  <w:tcW w:w="610" w:type="dxa"/>
                  <w:vMerge w:val="continue"/>
                  <w:tcBorders>
                    <w:tl2br w:val="nil"/>
                    <w:tr2bl w:val="nil"/>
                  </w:tcBorders>
                  <w:vAlign w:val="center"/>
                </w:tcPr>
                <w:p w14:paraId="504E00CA">
                  <w:pPr>
                    <w:spacing w:line="280" w:lineRule="atLeast"/>
                    <w:jc w:val="center"/>
                    <w:rPr>
                      <w:rFonts w:hint="default" w:ascii="Times New Roman" w:hAnsi="Times New Roman" w:cs="Times New Roman"/>
                      <w:color w:val="auto"/>
                      <w:sz w:val="21"/>
                      <w:szCs w:val="21"/>
                    </w:rPr>
                  </w:pPr>
                </w:p>
              </w:tc>
              <w:tc>
                <w:tcPr>
                  <w:tcW w:w="1314" w:type="dxa"/>
                  <w:vMerge w:val="continue"/>
                  <w:tcBorders>
                    <w:tl2br w:val="nil"/>
                    <w:tr2bl w:val="nil"/>
                  </w:tcBorders>
                  <w:vAlign w:val="center"/>
                </w:tcPr>
                <w:p w14:paraId="67E80A11">
                  <w:pPr>
                    <w:spacing w:line="280" w:lineRule="atLeast"/>
                    <w:jc w:val="center"/>
                    <w:rPr>
                      <w:rFonts w:hint="default" w:ascii="Times New Roman" w:hAnsi="Times New Roman" w:cs="Times New Roman"/>
                      <w:color w:val="auto"/>
                      <w:sz w:val="21"/>
                      <w:szCs w:val="21"/>
                    </w:rPr>
                  </w:pPr>
                </w:p>
              </w:tc>
              <w:tc>
                <w:tcPr>
                  <w:tcW w:w="5955" w:type="dxa"/>
                  <w:tcBorders>
                    <w:tl2br w:val="nil"/>
                    <w:tr2bl w:val="nil"/>
                  </w:tcBorders>
                  <w:vAlign w:val="center"/>
                </w:tcPr>
                <w:p w14:paraId="62295027">
                  <w:pPr>
                    <w:spacing w:line="28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粉碎工序粉尘：集气罩+1套布袋除尘器+1根15m高排气筒DA002</w:t>
                  </w:r>
                </w:p>
              </w:tc>
            </w:tr>
            <w:tr w14:paraId="1B2CD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610" w:type="dxa"/>
                  <w:vMerge w:val="continue"/>
                  <w:tcBorders>
                    <w:tl2br w:val="nil"/>
                    <w:tr2bl w:val="nil"/>
                  </w:tcBorders>
                  <w:vAlign w:val="center"/>
                </w:tcPr>
                <w:p w14:paraId="4B7DDE2A">
                  <w:pPr>
                    <w:spacing w:line="280" w:lineRule="atLeast"/>
                    <w:jc w:val="center"/>
                    <w:rPr>
                      <w:rFonts w:hint="default" w:ascii="Times New Roman" w:hAnsi="Times New Roman" w:cs="Times New Roman"/>
                      <w:color w:val="auto"/>
                      <w:sz w:val="21"/>
                      <w:szCs w:val="21"/>
                    </w:rPr>
                  </w:pPr>
                </w:p>
              </w:tc>
              <w:tc>
                <w:tcPr>
                  <w:tcW w:w="1314" w:type="dxa"/>
                  <w:tcBorders>
                    <w:tl2br w:val="nil"/>
                    <w:tr2bl w:val="nil"/>
                  </w:tcBorders>
                  <w:vAlign w:val="center"/>
                </w:tcPr>
                <w:p w14:paraId="646B71CB">
                  <w:pPr>
                    <w:spacing w:line="28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噪声</w:t>
                  </w:r>
                </w:p>
              </w:tc>
              <w:tc>
                <w:tcPr>
                  <w:tcW w:w="5955" w:type="dxa"/>
                  <w:tcBorders>
                    <w:tl2br w:val="nil"/>
                    <w:tr2bl w:val="nil"/>
                  </w:tcBorders>
                  <w:vAlign w:val="center"/>
                </w:tcPr>
                <w:p w14:paraId="4750AE85">
                  <w:pPr>
                    <w:spacing w:line="28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低噪声设备、基础减振、厂房隔声等</w:t>
                  </w:r>
                </w:p>
              </w:tc>
            </w:tr>
            <w:tr w14:paraId="7EA2C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610" w:type="dxa"/>
                  <w:vMerge w:val="continue"/>
                  <w:tcBorders>
                    <w:tl2br w:val="nil"/>
                    <w:tr2bl w:val="nil"/>
                  </w:tcBorders>
                  <w:vAlign w:val="center"/>
                </w:tcPr>
                <w:p w14:paraId="228E913B">
                  <w:pPr>
                    <w:spacing w:line="280" w:lineRule="atLeast"/>
                    <w:jc w:val="center"/>
                    <w:rPr>
                      <w:rFonts w:hint="default" w:ascii="Times New Roman" w:hAnsi="Times New Roman" w:cs="Times New Roman"/>
                      <w:color w:val="auto"/>
                      <w:sz w:val="21"/>
                      <w:szCs w:val="21"/>
                    </w:rPr>
                  </w:pPr>
                </w:p>
              </w:tc>
              <w:tc>
                <w:tcPr>
                  <w:tcW w:w="1314" w:type="dxa"/>
                  <w:vMerge w:val="restart"/>
                  <w:tcBorders>
                    <w:tl2br w:val="nil"/>
                    <w:tr2bl w:val="nil"/>
                  </w:tcBorders>
                  <w:vAlign w:val="center"/>
                </w:tcPr>
                <w:p w14:paraId="4921F660">
                  <w:pPr>
                    <w:spacing w:line="28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固废</w:t>
                  </w:r>
                </w:p>
              </w:tc>
              <w:tc>
                <w:tcPr>
                  <w:tcW w:w="5955" w:type="dxa"/>
                  <w:tcBorders>
                    <w:tl2br w:val="nil"/>
                    <w:tr2bl w:val="nil"/>
                  </w:tcBorders>
                  <w:vAlign w:val="center"/>
                </w:tcPr>
                <w:p w14:paraId="04D93E5C">
                  <w:pPr>
                    <w:spacing w:line="28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生活垃圾：交由环卫部门处理</w:t>
                  </w:r>
                </w:p>
              </w:tc>
            </w:tr>
            <w:tr w14:paraId="6D981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610" w:type="dxa"/>
                  <w:vMerge w:val="continue"/>
                  <w:tcBorders>
                    <w:tl2br w:val="nil"/>
                    <w:tr2bl w:val="nil"/>
                  </w:tcBorders>
                  <w:vAlign w:val="center"/>
                </w:tcPr>
                <w:p w14:paraId="68377C3E">
                  <w:pPr>
                    <w:spacing w:line="280" w:lineRule="atLeast"/>
                    <w:jc w:val="center"/>
                    <w:rPr>
                      <w:rFonts w:hint="default" w:ascii="Times New Roman" w:hAnsi="Times New Roman" w:cs="Times New Roman"/>
                      <w:color w:val="auto"/>
                      <w:sz w:val="21"/>
                      <w:szCs w:val="21"/>
                    </w:rPr>
                  </w:pPr>
                </w:p>
              </w:tc>
              <w:tc>
                <w:tcPr>
                  <w:tcW w:w="1314" w:type="dxa"/>
                  <w:vMerge w:val="continue"/>
                  <w:tcBorders>
                    <w:tl2br w:val="nil"/>
                    <w:tr2bl w:val="nil"/>
                  </w:tcBorders>
                  <w:vAlign w:val="center"/>
                </w:tcPr>
                <w:p w14:paraId="2113AD3B">
                  <w:pPr>
                    <w:spacing w:line="280" w:lineRule="atLeast"/>
                    <w:jc w:val="center"/>
                    <w:rPr>
                      <w:rFonts w:hint="default" w:ascii="Times New Roman" w:hAnsi="Times New Roman" w:cs="Times New Roman"/>
                      <w:color w:val="auto"/>
                      <w:sz w:val="21"/>
                      <w:szCs w:val="21"/>
                    </w:rPr>
                  </w:pPr>
                </w:p>
              </w:tc>
              <w:tc>
                <w:tcPr>
                  <w:tcW w:w="5955" w:type="dxa"/>
                  <w:tcBorders>
                    <w:tl2br w:val="nil"/>
                    <w:tr2bl w:val="nil"/>
                  </w:tcBorders>
                  <w:vAlign w:val="center"/>
                </w:tcPr>
                <w:p w14:paraId="670D53C1">
                  <w:pPr>
                    <w:spacing w:line="280" w:lineRule="atLeast"/>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一般固废：塑料边角料、塑料不合格品粉碎后</w:t>
                  </w:r>
                  <w:r>
                    <w:rPr>
                      <w:rFonts w:hint="eastAsia" w:ascii="Times New Roman" w:hAnsi="Times New Roman" w:cs="Times New Roman"/>
                      <w:color w:val="auto"/>
                      <w:sz w:val="21"/>
                      <w:szCs w:val="21"/>
                      <w:lang w:eastAsia="zh-CN"/>
                    </w:rPr>
                    <w:t>回用于生产</w:t>
                  </w:r>
                  <w:r>
                    <w:rPr>
                      <w:rFonts w:hint="default" w:ascii="Times New Roman" w:hAnsi="Times New Roman" w:cs="Times New Roman"/>
                      <w:color w:val="auto"/>
                      <w:sz w:val="21"/>
                      <w:szCs w:val="21"/>
                    </w:rPr>
                    <w:t>；除尘灰、</w:t>
                  </w:r>
                  <w:r>
                    <w:rPr>
                      <w:rFonts w:hint="eastAsia" w:ascii="Times New Roman" w:hAnsi="Times New Roman" w:cs="Times New Roman"/>
                      <w:color w:val="auto"/>
                      <w:sz w:val="21"/>
                      <w:szCs w:val="21"/>
                      <w:lang w:eastAsia="zh-CN"/>
                    </w:rPr>
                    <w:t>废布袋、</w:t>
                  </w:r>
                  <w:r>
                    <w:rPr>
                      <w:rFonts w:hint="default" w:ascii="Times New Roman" w:hAnsi="Times New Roman" w:cs="Times New Roman"/>
                      <w:color w:val="auto"/>
                      <w:sz w:val="21"/>
                      <w:szCs w:val="21"/>
                    </w:rPr>
                    <w:t>废包装物外售</w:t>
                  </w:r>
                  <w:r>
                    <w:rPr>
                      <w:rFonts w:hint="default" w:ascii="Times New Roman" w:hAnsi="Times New Roman" w:cs="Times New Roman"/>
                      <w:color w:val="auto"/>
                      <w:sz w:val="21"/>
                      <w:szCs w:val="21"/>
                      <w:lang w:eastAsia="zh-CN"/>
                    </w:rPr>
                    <w:t>综合利用</w:t>
                  </w:r>
                </w:p>
              </w:tc>
            </w:tr>
            <w:tr w14:paraId="128F3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610" w:type="dxa"/>
                  <w:vMerge w:val="continue"/>
                  <w:tcBorders>
                    <w:tl2br w:val="nil"/>
                    <w:tr2bl w:val="nil"/>
                  </w:tcBorders>
                  <w:vAlign w:val="center"/>
                </w:tcPr>
                <w:p w14:paraId="75A08943">
                  <w:pPr>
                    <w:spacing w:line="280" w:lineRule="atLeast"/>
                    <w:jc w:val="center"/>
                    <w:rPr>
                      <w:rFonts w:hint="default" w:ascii="Times New Roman" w:hAnsi="Times New Roman" w:cs="Times New Roman"/>
                      <w:color w:val="auto"/>
                      <w:sz w:val="21"/>
                      <w:szCs w:val="21"/>
                    </w:rPr>
                  </w:pPr>
                </w:p>
              </w:tc>
              <w:tc>
                <w:tcPr>
                  <w:tcW w:w="1314" w:type="dxa"/>
                  <w:vMerge w:val="continue"/>
                  <w:tcBorders>
                    <w:tl2br w:val="nil"/>
                    <w:tr2bl w:val="nil"/>
                  </w:tcBorders>
                  <w:vAlign w:val="center"/>
                </w:tcPr>
                <w:p w14:paraId="27E7AFB9">
                  <w:pPr>
                    <w:spacing w:line="280" w:lineRule="atLeast"/>
                    <w:jc w:val="center"/>
                    <w:rPr>
                      <w:rFonts w:hint="default" w:ascii="Times New Roman" w:hAnsi="Times New Roman" w:cs="Times New Roman"/>
                      <w:color w:val="auto"/>
                      <w:sz w:val="21"/>
                      <w:szCs w:val="21"/>
                    </w:rPr>
                  </w:pPr>
                </w:p>
              </w:tc>
              <w:tc>
                <w:tcPr>
                  <w:tcW w:w="5955" w:type="dxa"/>
                  <w:tcBorders>
                    <w:tl2br w:val="nil"/>
                    <w:tr2bl w:val="nil"/>
                  </w:tcBorders>
                  <w:vAlign w:val="center"/>
                </w:tcPr>
                <w:p w14:paraId="7354751D">
                  <w:pPr>
                    <w:spacing w:line="28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危险废物：</w:t>
                  </w:r>
                  <w:r>
                    <w:rPr>
                      <w:rFonts w:hint="eastAsia" w:ascii="Times New Roman" w:hAnsi="Times New Roman" w:cs="Times New Roman"/>
                      <w:color w:val="auto"/>
                      <w:sz w:val="21"/>
                      <w:szCs w:val="21"/>
                      <w:lang w:eastAsia="zh-CN"/>
                    </w:rPr>
                    <w:t>废机油、</w:t>
                  </w:r>
                  <w:r>
                    <w:rPr>
                      <w:rFonts w:hint="default" w:ascii="Times New Roman" w:hAnsi="Times New Roman" w:cs="Times New Roman"/>
                      <w:color w:val="auto"/>
                      <w:sz w:val="21"/>
                      <w:szCs w:val="21"/>
                      <w:lang w:eastAsia="zh-CN"/>
                    </w:rPr>
                    <w:t>废油桶、废活性炭</w:t>
                  </w:r>
                  <w:r>
                    <w:rPr>
                      <w:rFonts w:hint="default" w:ascii="Times New Roman" w:hAnsi="Times New Roman" w:cs="Times New Roman"/>
                      <w:color w:val="auto"/>
                      <w:sz w:val="21"/>
                      <w:szCs w:val="21"/>
                    </w:rPr>
                    <w:t>在危废贮存间内暂存定期由有资质单位处置</w:t>
                  </w:r>
                </w:p>
              </w:tc>
            </w:tr>
          </w:tbl>
          <w:p w14:paraId="1F4621B0">
            <w:pPr>
              <w:keepNext w:val="0"/>
              <w:keepLines w:val="0"/>
              <w:pageBreakBefore w:val="0"/>
              <w:widowControl/>
              <w:kinsoku/>
              <w:wordWrap/>
              <w:overflowPunct/>
              <w:topLinePunct w:val="0"/>
              <w:autoSpaceDE/>
              <w:autoSpaceDN/>
              <w:bidi w:val="0"/>
              <w:adjustRightInd/>
              <w:snapToGrid/>
              <w:spacing w:line="480" w:lineRule="exact"/>
              <w:ind w:firstLine="482" w:firstLineChars="200"/>
              <w:jc w:val="left"/>
              <w:textAlignment w:val="auto"/>
              <w:rPr>
                <w:rFonts w:hint="default" w:ascii="Times New Roman" w:hAnsi="Times New Roman" w:eastAsia="宋体" w:cs="Times New Roman"/>
                <w:color w:val="auto"/>
                <w:lang w:eastAsia="zh-CN"/>
              </w:rPr>
            </w:pPr>
            <w:r>
              <w:rPr>
                <w:rFonts w:hint="eastAsia" w:ascii="Times New Roman" w:hAnsi="Times New Roman" w:cs="Times New Roman"/>
                <w:b/>
                <w:color w:val="auto"/>
                <w:sz w:val="24"/>
                <w:szCs w:val="24"/>
                <w:lang w:val="en-US" w:eastAsia="zh-CN" w:bidi="ar"/>
              </w:rPr>
              <w:t>3</w:t>
            </w:r>
            <w:r>
              <w:rPr>
                <w:rFonts w:hint="default" w:ascii="Times New Roman" w:hAnsi="Times New Roman" w:cs="Times New Roman"/>
                <w:b/>
                <w:color w:val="auto"/>
                <w:sz w:val="24"/>
                <w:szCs w:val="24"/>
                <w:lang w:bidi="ar"/>
              </w:rPr>
              <w:t>、主要生产设备</w:t>
            </w:r>
          </w:p>
          <w:p w14:paraId="62BAC536">
            <w:pPr>
              <w:keepNext w:val="0"/>
              <w:keepLines w:val="0"/>
              <w:pageBreakBefore w:val="0"/>
              <w:widowControl/>
              <w:kinsoku/>
              <w:wordWrap/>
              <w:overflowPunct/>
              <w:topLinePunct w:val="0"/>
              <w:autoSpaceDE/>
              <w:autoSpaceDN/>
              <w:bidi w:val="0"/>
              <w:adjustRightInd/>
              <w:snapToGrid/>
              <w:spacing w:line="480" w:lineRule="exact"/>
              <w:ind w:firstLine="480" w:firstLineChars="200"/>
              <w:jc w:val="left"/>
              <w:textAlignment w:val="auto"/>
              <w:rPr>
                <w:rFonts w:hint="default" w:ascii="Times New Roman" w:hAnsi="Times New Roman" w:eastAsia="宋体" w:cs="Times New Roman"/>
                <w:color w:val="auto"/>
                <w:lang w:eastAsia="zh-CN"/>
              </w:rPr>
            </w:pPr>
            <w:r>
              <w:rPr>
                <w:rFonts w:hint="default" w:ascii="Times New Roman" w:hAnsi="Times New Roman" w:cs="Times New Roman"/>
                <w:color w:val="auto"/>
                <w:sz w:val="24"/>
                <w:szCs w:val="24"/>
                <w:lang w:bidi="ar"/>
              </w:rPr>
              <w:t>项目主要设备清单见表</w:t>
            </w:r>
            <w:r>
              <w:rPr>
                <w:rFonts w:hint="eastAsia" w:ascii="Times New Roman" w:hAnsi="Times New Roman" w:cs="Times New Roman"/>
                <w:color w:val="auto"/>
                <w:sz w:val="24"/>
                <w:szCs w:val="24"/>
                <w:lang w:val="en-US" w:eastAsia="zh-CN" w:bidi="ar"/>
              </w:rPr>
              <w:t>5</w:t>
            </w:r>
            <w:r>
              <w:rPr>
                <w:rFonts w:hint="default" w:ascii="Times New Roman" w:hAnsi="Times New Roman" w:cs="Times New Roman"/>
                <w:color w:val="auto"/>
                <w:sz w:val="24"/>
                <w:szCs w:val="24"/>
                <w:lang w:bidi="ar"/>
              </w:rPr>
              <w:t>。</w:t>
            </w:r>
          </w:p>
          <w:p w14:paraId="7E7F6839">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lang w:eastAsia="zh-CN"/>
              </w:rPr>
            </w:pPr>
            <w:r>
              <w:rPr>
                <w:rFonts w:hint="default" w:ascii="Times New Roman" w:hAnsi="Times New Roman" w:cs="Times New Roman"/>
                <w:b/>
                <w:color w:val="auto"/>
                <w:sz w:val="24"/>
                <w:szCs w:val="24"/>
                <w:lang w:bidi="ar"/>
              </w:rPr>
              <w:t>表</w:t>
            </w:r>
            <w:r>
              <w:rPr>
                <w:rFonts w:hint="eastAsia" w:ascii="Times New Roman" w:hAnsi="Times New Roman" w:cs="Times New Roman"/>
                <w:b/>
                <w:color w:val="auto"/>
                <w:sz w:val="24"/>
                <w:szCs w:val="24"/>
                <w:lang w:val="en-US" w:eastAsia="zh-CN" w:bidi="ar"/>
              </w:rPr>
              <w:t>5</w:t>
            </w:r>
            <w:r>
              <w:rPr>
                <w:rFonts w:hint="default" w:ascii="Times New Roman" w:hAnsi="Times New Roman" w:cs="Times New Roman"/>
                <w:b/>
                <w:color w:val="auto"/>
                <w:sz w:val="24"/>
                <w:szCs w:val="24"/>
                <w:lang w:bidi="ar"/>
              </w:rPr>
              <w:t>主要生产设备一览表</w:t>
            </w:r>
          </w:p>
          <w:tbl>
            <w:tblPr>
              <w:tblStyle w:val="34"/>
              <w:tblW w:w="4998" w:type="pct"/>
              <w:jc w:val="center"/>
              <w:tblLayout w:type="autofit"/>
              <w:tblCellMar>
                <w:top w:w="0" w:type="dxa"/>
                <w:left w:w="108" w:type="dxa"/>
                <w:bottom w:w="0" w:type="dxa"/>
                <w:right w:w="108" w:type="dxa"/>
              </w:tblCellMar>
            </w:tblPr>
            <w:tblGrid>
              <w:gridCol w:w="845"/>
              <w:gridCol w:w="1803"/>
              <w:gridCol w:w="2453"/>
              <w:gridCol w:w="1715"/>
              <w:gridCol w:w="1070"/>
            </w:tblGrid>
            <w:tr w14:paraId="47A7F4D3">
              <w:tblPrEx>
                <w:tblCellMar>
                  <w:top w:w="0" w:type="dxa"/>
                  <w:left w:w="108" w:type="dxa"/>
                  <w:bottom w:w="0" w:type="dxa"/>
                  <w:right w:w="108" w:type="dxa"/>
                </w:tblCellMar>
              </w:tblPrEx>
              <w:trPr>
                <w:trHeight w:val="351" w:hRule="atLeast"/>
                <w:jc w:val="center"/>
              </w:trPr>
              <w:tc>
                <w:tcPr>
                  <w:tcW w:w="536" w:type="pct"/>
                  <w:tcBorders>
                    <w:top w:val="single" w:color="auto" w:sz="4" w:space="0"/>
                    <w:left w:val="single" w:color="auto" w:sz="4" w:space="0"/>
                    <w:right w:val="single" w:color="auto" w:sz="4" w:space="0"/>
                  </w:tcBorders>
                  <w:vAlign w:val="center"/>
                </w:tcPr>
                <w:p w14:paraId="048991C4">
                  <w:pPr>
                    <w:widowControl/>
                    <w:spacing w:line="280" w:lineRule="atLeas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序号</w:t>
                  </w:r>
                </w:p>
              </w:tc>
              <w:tc>
                <w:tcPr>
                  <w:tcW w:w="1143" w:type="pct"/>
                  <w:tcBorders>
                    <w:top w:val="single" w:color="auto" w:sz="4" w:space="0"/>
                    <w:left w:val="single" w:color="auto" w:sz="4" w:space="0"/>
                    <w:right w:val="single" w:color="auto" w:sz="4" w:space="0"/>
                  </w:tcBorders>
                  <w:vAlign w:val="center"/>
                </w:tcPr>
                <w:p w14:paraId="63EC0849">
                  <w:pPr>
                    <w:widowControl/>
                    <w:spacing w:line="280" w:lineRule="atLeast"/>
                    <w:jc w:val="center"/>
                    <w:rPr>
                      <w:rFonts w:hint="default" w:ascii="Times New Roman" w:hAnsi="Times New Roman" w:cs="Times New Roman"/>
                      <w:b/>
                      <w:bCs/>
                      <w:color w:val="auto"/>
                      <w:sz w:val="21"/>
                      <w:szCs w:val="21"/>
                      <w:lang w:bidi="ar"/>
                    </w:rPr>
                  </w:pPr>
                  <w:r>
                    <w:rPr>
                      <w:rFonts w:hint="default" w:ascii="Times New Roman" w:hAnsi="Times New Roman" w:cs="Times New Roman"/>
                      <w:b/>
                      <w:bCs/>
                      <w:color w:val="auto"/>
                      <w:sz w:val="21"/>
                      <w:szCs w:val="21"/>
                      <w:lang w:bidi="ar"/>
                    </w:rPr>
                    <w:t>设备名称</w:t>
                  </w:r>
                </w:p>
              </w:tc>
              <w:tc>
                <w:tcPr>
                  <w:tcW w:w="1554" w:type="pct"/>
                  <w:tcBorders>
                    <w:top w:val="single" w:color="auto" w:sz="4" w:space="0"/>
                    <w:left w:val="single" w:color="auto" w:sz="4" w:space="0"/>
                    <w:bottom w:val="single" w:color="auto" w:sz="4" w:space="0"/>
                    <w:right w:val="single" w:color="auto" w:sz="4" w:space="0"/>
                  </w:tcBorders>
                  <w:vAlign w:val="center"/>
                </w:tcPr>
                <w:p w14:paraId="0EDE8C62">
                  <w:pPr>
                    <w:widowControl/>
                    <w:spacing w:line="280" w:lineRule="atLeast"/>
                    <w:jc w:val="center"/>
                    <w:rPr>
                      <w:rFonts w:hint="default" w:ascii="Times New Roman" w:hAnsi="Times New Roman" w:eastAsia="宋体" w:cs="Times New Roman"/>
                      <w:b/>
                      <w:bCs/>
                      <w:color w:val="auto"/>
                      <w:sz w:val="21"/>
                      <w:szCs w:val="21"/>
                      <w:lang w:eastAsia="zh-CN"/>
                    </w:rPr>
                  </w:pPr>
                  <w:r>
                    <w:rPr>
                      <w:rFonts w:hint="eastAsia" w:ascii="Times New Roman" w:hAnsi="Times New Roman" w:cs="Times New Roman"/>
                      <w:b/>
                      <w:bCs/>
                      <w:color w:val="auto"/>
                      <w:sz w:val="21"/>
                      <w:szCs w:val="21"/>
                      <w:lang w:eastAsia="zh-CN" w:bidi="ar"/>
                    </w:rPr>
                    <w:t>型号</w:t>
                  </w:r>
                </w:p>
              </w:tc>
              <w:tc>
                <w:tcPr>
                  <w:tcW w:w="1087" w:type="pct"/>
                  <w:tcBorders>
                    <w:top w:val="single" w:color="auto" w:sz="4" w:space="0"/>
                    <w:left w:val="single" w:color="auto" w:sz="4" w:space="0"/>
                    <w:right w:val="single" w:color="auto" w:sz="4" w:space="0"/>
                  </w:tcBorders>
                  <w:vAlign w:val="center"/>
                </w:tcPr>
                <w:p w14:paraId="01E314E9">
                  <w:pPr>
                    <w:widowControl/>
                    <w:spacing w:line="280" w:lineRule="atLeast"/>
                    <w:jc w:val="center"/>
                    <w:rPr>
                      <w:rFonts w:hint="default" w:ascii="Times New Roman" w:hAnsi="Times New Roman" w:cs="Times New Roman"/>
                      <w:b/>
                      <w:bCs/>
                      <w:color w:val="auto"/>
                      <w:sz w:val="21"/>
                      <w:szCs w:val="21"/>
                      <w:lang w:bidi="ar"/>
                    </w:rPr>
                  </w:pPr>
                  <w:r>
                    <w:rPr>
                      <w:rFonts w:hint="default" w:ascii="Times New Roman" w:hAnsi="Times New Roman" w:cs="Times New Roman"/>
                      <w:b/>
                      <w:bCs/>
                      <w:color w:val="auto"/>
                      <w:sz w:val="21"/>
                      <w:szCs w:val="21"/>
                      <w:lang w:bidi="ar"/>
                    </w:rPr>
                    <w:t>数量</w:t>
                  </w:r>
                </w:p>
              </w:tc>
              <w:tc>
                <w:tcPr>
                  <w:tcW w:w="678" w:type="pct"/>
                  <w:tcBorders>
                    <w:top w:val="single" w:color="auto" w:sz="4" w:space="0"/>
                    <w:left w:val="single" w:color="auto" w:sz="4" w:space="0"/>
                    <w:right w:val="single" w:color="auto" w:sz="4" w:space="0"/>
                  </w:tcBorders>
                  <w:vAlign w:val="center"/>
                </w:tcPr>
                <w:p w14:paraId="3DA5FA44">
                  <w:pPr>
                    <w:widowControl/>
                    <w:spacing w:line="280" w:lineRule="atLeas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lang w:bidi="ar"/>
                    </w:rPr>
                    <w:t>单位</w:t>
                  </w:r>
                </w:p>
              </w:tc>
            </w:tr>
            <w:tr w14:paraId="43B6E024">
              <w:tblPrEx>
                <w:tblCellMar>
                  <w:top w:w="0" w:type="dxa"/>
                  <w:left w:w="108" w:type="dxa"/>
                  <w:bottom w:w="0" w:type="dxa"/>
                  <w:right w:w="108" w:type="dxa"/>
                </w:tblCellMar>
              </w:tblPrEx>
              <w:trPr>
                <w:trHeight w:val="351" w:hRule="atLeast"/>
                <w:jc w:val="center"/>
              </w:trPr>
              <w:tc>
                <w:tcPr>
                  <w:tcW w:w="536" w:type="pct"/>
                  <w:tcBorders>
                    <w:top w:val="single" w:color="auto" w:sz="4" w:space="0"/>
                    <w:left w:val="single" w:color="auto" w:sz="4" w:space="0"/>
                    <w:bottom w:val="single" w:color="auto" w:sz="4" w:space="0"/>
                    <w:right w:val="single" w:color="auto" w:sz="4" w:space="0"/>
                  </w:tcBorders>
                  <w:vAlign w:val="center"/>
                </w:tcPr>
                <w:p w14:paraId="40A3FD96">
                  <w:pPr>
                    <w:widowControl/>
                    <w:spacing w:line="28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1143" w:type="pct"/>
                  <w:tcBorders>
                    <w:top w:val="single" w:color="auto" w:sz="4" w:space="0"/>
                    <w:left w:val="nil"/>
                    <w:bottom w:val="single" w:color="auto" w:sz="4" w:space="0"/>
                    <w:right w:val="single" w:color="auto" w:sz="4" w:space="0"/>
                  </w:tcBorders>
                  <w:vAlign w:val="top"/>
                </w:tcPr>
                <w:p w14:paraId="336E2BBB">
                  <w:pPr>
                    <w:widowControl/>
                    <w:spacing w:line="280" w:lineRule="atLeast"/>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注塑机</w:t>
                  </w:r>
                </w:p>
              </w:tc>
              <w:tc>
                <w:tcPr>
                  <w:tcW w:w="1554" w:type="pct"/>
                  <w:tcBorders>
                    <w:top w:val="single" w:color="auto" w:sz="4" w:space="0"/>
                    <w:left w:val="nil"/>
                    <w:bottom w:val="single" w:color="auto" w:sz="4" w:space="0"/>
                    <w:right w:val="single" w:color="auto" w:sz="4" w:space="0"/>
                  </w:tcBorders>
                  <w:vAlign w:val="center"/>
                </w:tcPr>
                <w:p w14:paraId="1E213C54">
                  <w:pPr>
                    <w:widowControl/>
                    <w:spacing w:line="280" w:lineRule="atLeast"/>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ZS-160</w:t>
                  </w:r>
                </w:p>
              </w:tc>
              <w:tc>
                <w:tcPr>
                  <w:tcW w:w="1087" w:type="pct"/>
                  <w:tcBorders>
                    <w:top w:val="single" w:color="auto" w:sz="4" w:space="0"/>
                    <w:left w:val="nil"/>
                    <w:bottom w:val="single" w:color="auto" w:sz="4" w:space="0"/>
                    <w:right w:val="single" w:color="auto" w:sz="4" w:space="0"/>
                  </w:tcBorders>
                  <w:vAlign w:val="center"/>
                </w:tcPr>
                <w:p w14:paraId="75C1F18E">
                  <w:pPr>
                    <w:widowControl/>
                    <w:spacing w:line="280" w:lineRule="atLeast"/>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56</w:t>
                  </w:r>
                </w:p>
              </w:tc>
              <w:tc>
                <w:tcPr>
                  <w:tcW w:w="678" w:type="pct"/>
                  <w:tcBorders>
                    <w:top w:val="single" w:color="auto" w:sz="4" w:space="0"/>
                    <w:left w:val="nil"/>
                    <w:bottom w:val="single" w:color="auto" w:sz="4" w:space="0"/>
                    <w:right w:val="single" w:color="auto" w:sz="4" w:space="0"/>
                  </w:tcBorders>
                  <w:vAlign w:val="center"/>
                </w:tcPr>
                <w:p w14:paraId="33D9C8B8">
                  <w:pPr>
                    <w:widowControl/>
                    <w:spacing w:line="28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台/套</w:t>
                  </w:r>
                </w:p>
              </w:tc>
            </w:tr>
            <w:tr w14:paraId="07367E47">
              <w:tblPrEx>
                <w:tblCellMar>
                  <w:top w:w="0" w:type="dxa"/>
                  <w:left w:w="108" w:type="dxa"/>
                  <w:bottom w:w="0" w:type="dxa"/>
                  <w:right w:w="108" w:type="dxa"/>
                </w:tblCellMar>
              </w:tblPrEx>
              <w:trPr>
                <w:trHeight w:val="351" w:hRule="atLeast"/>
                <w:jc w:val="center"/>
              </w:trPr>
              <w:tc>
                <w:tcPr>
                  <w:tcW w:w="536" w:type="pct"/>
                  <w:tcBorders>
                    <w:top w:val="single" w:color="auto" w:sz="4" w:space="0"/>
                    <w:left w:val="single" w:color="auto" w:sz="4" w:space="0"/>
                    <w:bottom w:val="single" w:color="auto" w:sz="4" w:space="0"/>
                    <w:right w:val="single" w:color="auto" w:sz="4" w:space="0"/>
                  </w:tcBorders>
                  <w:vAlign w:val="center"/>
                </w:tcPr>
                <w:p w14:paraId="762BAC3E">
                  <w:pPr>
                    <w:widowControl/>
                    <w:spacing w:line="28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1143" w:type="pct"/>
                  <w:tcBorders>
                    <w:top w:val="single" w:color="auto" w:sz="4" w:space="0"/>
                    <w:left w:val="nil"/>
                    <w:bottom w:val="single" w:color="auto" w:sz="4" w:space="0"/>
                    <w:right w:val="single" w:color="auto" w:sz="4" w:space="0"/>
                  </w:tcBorders>
                  <w:vAlign w:val="top"/>
                </w:tcPr>
                <w:p w14:paraId="52BEB70C">
                  <w:pPr>
                    <w:widowControl/>
                    <w:spacing w:line="280" w:lineRule="atLeast"/>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拌料机</w:t>
                  </w:r>
                </w:p>
              </w:tc>
              <w:tc>
                <w:tcPr>
                  <w:tcW w:w="1554" w:type="pct"/>
                  <w:tcBorders>
                    <w:top w:val="single" w:color="auto" w:sz="4" w:space="0"/>
                    <w:left w:val="nil"/>
                    <w:bottom w:val="single" w:color="auto" w:sz="4" w:space="0"/>
                    <w:right w:val="single" w:color="auto" w:sz="4" w:space="0"/>
                  </w:tcBorders>
                  <w:vAlign w:val="center"/>
                </w:tcPr>
                <w:p w14:paraId="455BAE7A">
                  <w:pPr>
                    <w:widowControl/>
                    <w:spacing w:line="280" w:lineRule="atLeast"/>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c>
                <w:tcPr>
                  <w:tcW w:w="1087" w:type="pct"/>
                  <w:tcBorders>
                    <w:top w:val="single" w:color="auto" w:sz="4" w:space="0"/>
                    <w:left w:val="nil"/>
                    <w:bottom w:val="single" w:color="auto" w:sz="4" w:space="0"/>
                    <w:right w:val="single" w:color="auto" w:sz="4" w:space="0"/>
                  </w:tcBorders>
                  <w:vAlign w:val="center"/>
                </w:tcPr>
                <w:p w14:paraId="16A54533">
                  <w:pPr>
                    <w:widowControl/>
                    <w:spacing w:line="280" w:lineRule="atLeast"/>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w:t>
                  </w:r>
                </w:p>
              </w:tc>
              <w:tc>
                <w:tcPr>
                  <w:tcW w:w="678" w:type="pct"/>
                  <w:tcBorders>
                    <w:top w:val="single" w:color="auto" w:sz="4" w:space="0"/>
                    <w:left w:val="nil"/>
                    <w:bottom w:val="single" w:color="auto" w:sz="4" w:space="0"/>
                    <w:right w:val="single" w:color="auto" w:sz="4" w:space="0"/>
                  </w:tcBorders>
                  <w:vAlign w:val="center"/>
                </w:tcPr>
                <w:p w14:paraId="3BEEAD0F">
                  <w:pPr>
                    <w:widowControl/>
                    <w:spacing w:line="28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台/套</w:t>
                  </w:r>
                </w:p>
              </w:tc>
            </w:tr>
            <w:tr w14:paraId="77EFC556">
              <w:tblPrEx>
                <w:tblCellMar>
                  <w:top w:w="0" w:type="dxa"/>
                  <w:left w:w="108" w:type="dxa"/>
                  <w:bottom w:w="0" w:type="dxa"/>
                  <w:right w:w="108" w:type="dxa"/>
                </w:tblCellMar>
              </w:tblPrEx>
              <w:trPr>
                <w:trHeight w:val="464" w:hRule="atLeast"/>
                <w:jc w:val="center"/>
              </w:trPr>
              <w:tc>
                <w:tcPr>
                  <w:tcW w:w="536" w:type="pct"/>
                  <w:tcBorders>
                    <w:top w:val="single" w:color="auto" w:sz="4" w:space="0"/>
                    <w:left w:val="single" w:color="auto" w:sz="4" w:space="0"/>
                    <w:bottom w:val="single" w:color="auto" w:sz="4" w:space="0"/>
                    <w:right w:val="single" w:color="auto" w:sz="4" w:space="0"/>
                  </w:tcBorders>
                  <w:vAlign w:val="center"/>
                </w:tcPr>
                <w:p w14:paraId="2E1FFBB4">
                  <w:pPr>
                    <w:widowControl/>
                    <w:spacing w:line="28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w:t>
                  </w:r>
                </w:p>
              </w:tc>
              <w:tc>
                <w:tcPr>
                  <w:tcW w:w="1143" w:type="pct"/>
                  <w:tcBorders>
                    <w:top w:val="single" w:color="auto" w:sz="4" w:space="0"/>
                    <w:left w:val="nil"/>
                    <w:bottom w:val="single" w:color="auto" w:sz="4" w:space="0"/>
                    <w:right w:val="single" w:color="auto" w:sz="4" w:space="0"/>
                  </w:tcBorders>
                  <w:vAlign w:val="center"/>
                </w:tcPr>
                <w:p w14:paraId="33E6EEBA">
                  <w:pPr>
                    <w:widowControl/>
                    <w:spacing w:line="280" w:lineRule="atLeast"/>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粉碎机</w:t>
                  </w:r>
                </w:p>
              </w:tc>
              <w:tc>
                <w:tcPr>
                  <w:tcW w:w="1554" w:type="pct"/>
                  <w:tcBorders>
                    <w:top w:val="single" w:color="auto" w:sz="4" w:space="0"/>
                    <w:left w:val="nil"/>
                    <w:bottom w:val="single" w:color="auto" w:sz="4" w:space="0"/>
                    <w:right w:val="single" w:color="auto" w:sz="4" w:space="0"/>
                  </w:tcBorders>
                  <w:vAlign w:val="center"/>
                </w:tcPr>
                <w:p w14:paraId="3FEB13D8">
                  <w:pPr>
                    <w:widowControl/>
                    <w:spacing w:line="280" w:lineRule="atLeast"/>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c>
                <w:tcPr>
                  <w:tcW w:w="1087" w:type="pct"/>
                  <w:tcBorders>
                    <w:top w:val="single" w:color="auto" w:sz="4" w:space="0"/>
                    <w:left w:val="nil"/>
                    <w:bottom w:val="single" w:color="auto" w:sz="4" w:space="0"/>
                    <w:right w:val="single" w:color="auto" w:sz="4" w:space="0"/>
                  </w:tcBorders>
                  <w:vAlign w:val="center"/>
                </w:tcPr>
                <w:p w14:paraId="35947D9E">
                  <w:pPr>
                    <w:widowControl/>
                    <w:spacing w:line="280" w:lineRule="atLeast"/>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w:t>
                  </w:r>
                </w:p>
              </w:tc>
              <w:tc>
                <w:tcPr>
                  <w:tcW w:w="678" w:type="pct"/>
                  <w:tcBorders>
                    <w:top w:val="single" w:color="auto" w:sz="4" w:space="0"/>
                    <w:left w:val="nil"/>
                    <w:bottom w:val="single" w:color="auto" w:sz="4" w:space="0"/>
                    <w:right w:val="single" w:color="auto" w:sz="4" w:space="0"/>
                  </w:tcBorders>
                  <w:vAlign w:val="center"/>
                </w:tcPr>
                <w:p w14:paraId="3B1E7E40">
                  <w:pPr>
                    <w:widowControl/>
                    <w:spacing w:line="28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台/套</w:t>
                  </w:r>
                </w:p>
              </w:tc>
            </w:tr>
            <w:tr w14:paraId="0E276B87">
              <w:tblPrEx>
                <w:tblCellMar>
                  <w:top w:w="0" w:type="dxa"/>
                  <w:left w:w="108" w:type="dxa"/>
                  <w:bottom w:w="0" w:type="dxa"/>
                  <w:right w:w="108" w:type="dxa"/>
                </w:tblCellMar>
              </w:tblPrEx>
              <w:trPr>
                <w:trHeight w:val="70" w:hRule="atLeast"/>
                <w:jc w:val="center"/>
              </w:trPr>
              <w:tc>
                <w:tcPr>
                  <w:tcW w:w="536" w:type="pct"/>
                  <w:tcBorders>
                    <w:top w:val="single" w:color="auto" w:sz="4" w:space="0"/>
                    <w:left w:val="single" w:color="auto" w:sz="4" w:space="0"/>
                    <w:bottom w:val="single" w:color="auto" w:sz="4" w:space="0"/>
                    <w:right w:val="single" w:color="auto" w:sz="4" w:space="0"/>
                  </w:tcBorders>
                  <w:vAlign w:val="center"/>
                </w:tcPr>
                <w:p w14:paraId="2DE1D84F">
                  <w:pPr>
                    <w:widowControl/>
                    <w:spacing w:line="280" w:lineRule="atLeast"/>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4</w:t>
                  </w:r>
                </w:p>
              </w:tc>
              <w:tc>
                <w:tcPr>
                  <w:tcW w:w="1143" w:type="pct"/>
                  <w:tcBorders>
                    <w:top w:val="single" w:color="auto" w:sz="4" w:space="0"/>
                    <w:left w:val="nil"/>
                    <w:bottom w:val="single" w:color="auto" w:sz="4" w:space="0"/>
                    <w:right w:val="single" w:color="auto" w:sz="4" w:space="0"/>
                  </w:tcBorders>
                  <w:vAlign w:val="top"/>
                </w:tcPr>
                <w:p w14:paraId="0EFD33C7">
                  <w:pPr>
                    <w:widowControl/>
                    <w:spacing w:line="280" w:lineRule="atLeast"/>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扎包机</w:t>
                  </w:r>
                </w:p>
              </w:tc>
              <w:tc>
                <w:tcPr>
                  <w:tcW w:w="1554" w:type="pct"/>
                  <w:tcBorders>
                    <w:top w:val="single" w:color="auto" w:sz="4" w:space="0"/>
                    <w:left w:val="nil"/>
                    <w:bottom w:val="single" w:color="auto" w:sz="4" w:space="0"/>
                    <w:right w:val="single" w:color="auto" w:sz="4" w:space="0"/>
                  </w:tcBorders>
                  <w:vAlign w:val="center"/>
                </w:tcPr>
                <w:p w14:paraId="78DFCD49">
                  <w:pPr>
                    <w:widowControl/>
                    <w:spacing w:line="280" w:lineRule="atLeast"/>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c>
                <w:tcPr>
                  <w:tcW w:w="1087" w:type="pct"/>
                  <w:tcBorders>
                    <w:top w:val="single" w:color="auto" w:sz="4" w:space="0"/>
                    <w:left w:val="nil"/>
                    <w:bottom w:val="single" w:color="auto" w:sz="4" w:space="0"/>
                    <w:right w:val="single" w:color="auto" w:sz="4" w:space="0"/>
                  </w:tcBorders>
                  <w:vAlign w:val="center"/>
                </w:tcPr>
                <w:p w14:paraId="39CD6332">
                  <w:pPr>
                    <w:widowControl/>
                    <w:spacing w:line="280" w:lineRule="atLeast"/>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c>
                <w:tcPr>
                  <w:tcW w:w="678" w:type="pct"/>
                  <w:tcBorders>
                    <w:top w:val="single" w:color="auto" w:sz="4" w:space="0"/>
                    <w:left w:val="nil"/>
                    <w:bottom w:val="single" w:color="auto" w:sz="4" w:space="0"/>
                    <w:right w:val="single" w:color="auto" w:sz="4" w:space="0"/>
                  </w:tcBorders>
                  <w:vAlign w:val="center"/>
                </w:tcPr>
                <w:p w14:paraId="5A56F485">
                  <w:pPr>
                    <w:widowControl/>
                    <w:spacing w:line="28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台/套</w:t>
                  </w:r>
                </w:p>
              </w:tc>
            </w:tr>
            <w:tr w14:paraId="430BD8F7">
              <w:tblPrEx>
                <w:tblCellMar>
                  <w:top w:w="0" w:type="dxa"/>
                  <w:left w:w="108" w:type="dxa"/>
                  <w:bottom w:w="0" w:type="dxa"/>
                  <w:right w:w="108" w:type="dxa"/>
                </w:tblCellMar>
              </w:tblPrEx>
              <w:trPr>
                <w:trHeight w:val="70" w:hRule="atLeast"/>
                <w:jc w:val="center"/>
              </w:trPr>
              <w:tc>
                <w:tcPr>
                  <w:tcW w:w="536" w:type="pct"/>
                  <w:tcBorders>
                    <w:top w:val="single" w:color="auto" w:sz="4" w:space="0"/>
                    <w:left w:val="single" w:color="auto" w:sz="4" w:space="0"/>
                    <w:bottom w:val="single" w:color="auto" w:sz="4" w:space="0"/>
                    <w:right w:val="single" w:color="auto" w:sz="4" w:space="0"/>
                  </w:tcBorders>
                  <w:vAlign w:val="center"/>
                </w:tcPr>
                <w:p w14:paraId="7C532B2F">
                  <w:pPr>
                    <w:widowControl/>
                    <w:spacing w:line="280" w:lineRule="atLeast"/>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5</w:t>
                  </w:r>
                </w:p>
              </w:tc>
              <w:tc>
                <w:tcPr>
                  <w:tcW w:w="1143" w:type="pct"/>
                  <w:tcBorders>
                    <w:top w:val="single" w:color="auto" w:sz="4" w:space="0"/>
                    <w:left w:val="nil"/>
                    <w:bottom w:val="single" w:color="auto" w:sz="4" w:space="0"/>
                    <w:right w:val="single" w:color="auto" w:sz="4" w:space="0"/>
                  </w:tcBorders>
                  <w:vAlign w:val="top"/>
                </w:tcPr>
                <w:p w14:paraId="29F6A406">
                  <w:pPr>
                    <w:widowControl/>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打包机</w:t>
                  </w:r>
                </w:p>
              </w:tc>
              <w:tc>
                <w:tcPr>
                  <w:tcW w:w="1554" w:type="pct"/>
                  <w:tcBorders>
                    <w:top w:val="single" w:color="auto" w:sz="4" w:space="0"/>
                    <w:left w:val="nil"/>
                    <w:bottom w:val="single" w:color="auto" w:sz="4" w:space="0"/>
                    <w:right w:val="single" w:color="auto" w:sz="4" w:space="0"/>
                  </w:tcBorders>
                  <w:vAlign w:val="center"/>
                </w:tcPr>
                <w:p w14:paraId="3412A023">
                  <w:pPr>
                    <w:widowControl/>
                    <w:spacing w:line="280" w:lineRule="atLeast"/>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c>
                <w:tcPr>
                  <w:tcW w:w="1087" w:type="pct"/>
                  <w:tcBorders>
                    <w:top w:val="single" w:color="auto" w:sz="4" w:space="0"/>
                    <w:left w:val="nil"/>
                    <w:bottom w:val="single" w:color="auto" w:sz="4" w:space="0"/>
                    <w:right w:val="single" w:color="auto" w:sz="4" w:space="0"/>
                  </w:tcBorders>
                  <w:vAlign w:val="center"/>
                </w:tcPr>
                <w:p w14:paraId="6870AF07">
                  <w:pPr>
                    <w:widowControl/>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w:t>
                  </w:r>
                </w:p>
              </w:tc>
              <w:tc>
                <w:tcPr>
                  <w:tcW w:w="678" w:type="pct"/>
                  <w:tcBorders>
                    <w:top w:val="single" w:color="auto" w:sz="4" w:space="0"/>
                    <w:left w:val="nil"/>
                    <w:bottom w:val="single" w:color="auto" w:sz="4" w:space="0"/>
                    <w:right w:val="single" w:color="auto" w:sz="4" w:space="0"/>
                  </w:tcBorders>
                  <w:vAlign w:val="center"/>
                </w:tcPr>
                <w:p w14:paraId="49553F39">
                  <w:pPr>
                    <w:widowControl/>
                    <w:spacing w:line="28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台/套</w:t>
                  </w:r>
                </w:p>
              </w:tc>
            </w:tr>
            <w:tr w14:paraId="3C500B8F">
              <w:tblPrEx>
                <w:tblCellMar>
                  <w:top w:w="0" w:type="dxa"/>
                  <w:left w:w="108" w:type="dxa"/>
                  <w:bottom w:w="0" w:type="dxa"/>
                  <w:right w:w="108" w:type="dxa"/>
                </w:tblCellMar>
              </w:tblPrEx>
              <w:trPr>
                <w:trHeight w:val="100" w:hRule="atLeast"/>
                <w:jc w:val="center"/>
              </w:trPr>
              <w:tc>
                <w:tcPr>
                  <w:tcW w:w="3234" w:type="pct"/>
                  <w:gridSpan w:val="3"/>
                  <w:tcBorders>
                    <w:top w:val="single" w:color="auto" w:sz="4" w:space="0"/>
                    <w:left w:val="single" w:color="auto" w:sz="4" w:space="0"/>
                    <w:bottom w:val="single" w:color="auto" w:sz="4" w:space="0"/>
                    <w:right w:val="single" w:color="auto" w:sz="4" w:space="0"/>
                  </w:tcBorders>
                  <w:vAlign w:val="center"/>
                </w:tcPr>
                <w:p w14:paraId="6482B35F">
                  <w:pPr>
                    <w:widowControl/>
                    <w:spacing w:line="280" w:lineRule="atLeast"/>
                    <w:jc w:val="center"/>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 w:val="21"/>
                      <w:szCs w:val="21"/>
                      <w:lang w:val="en-US" w:eastAsia="zh-CN" w:bidi="ar"/>
                    </w:rPr>
                    <w:t>合计</w:t>
                  </w:r>
                </w:p>
              </w:tc>
              <w:tc>
                <w:tcPr>
                  <w:tcW w:w="1087" w:type="pct"/>
                  <w:tcBorders>
                    <w:top w:val="single" w:color="auto" w:sz="4" w:space="0"/>
                    <w:left w:val="single" w:color="auto" w:sz="4" w:space="0"/>
                    <w:bottom w:val="single" w:color="auto" w:sz="4" w:space="0"/>
                    <w:right w:val="single" w:color="auto" w:sz="4" w:space="0"/>
                  </w:tcBorders>
                  <w:vAlign w:val="center"/>
                </w:tcPr>
                <w:p w14:paraId="1D175D12">
                  <w:pPr>
                    <w:widowControl/>
                    <w:spacing w:line="280" w:lineRule="atLeast"/>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cs="Times New Roman"/>
                      <w:color w:val="auto"/>
                      <w:sz w:val="21"/>
                      <w:szCs w:val="21"/>
                      <w:lang w:val="en-US" w:eastAsia="zh-CN" w:bidi="ar"/>
                    </w:rPr>
                    <w:t>97</w:t>
                  </w:r>
                </w:p>
              </w:tc>
              <w:tc>
                <w:tcPr>
                  <w:tcW w:w="678" w:type="pct"/>
                  <w:tcBorders>
                    <w:top w:val="single" w:color="auto" w:sz="4" w:space="0"/>
                    <w:left w:val="single" w:color="auto" w:sz="4" w:space="0"/>
                    <w:bottom w:val="single" w:color="auto" w:sz="4" w:space="0"/>
                    <w:right w:val="single" w:color="auto" w:sz="4" w:space="0"/>
                  </w:tcBorders>
                  <w:vAlign w:val="center"/>
                </w:tcPr>
                <w:p w14:paraId="71E6583B">
                  <w:pPr>
                    <w:widowControl/>
                    <w:spacing w:line="280" w:lineRule="atLeast"/>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bidi="ar"/>
                    </w:rPr>
                    <w:t>台/套</w:t>
                  </w:r>
                </w:p>
              </w:tc>
            </w:tr>
          </w:tbl>
          <w:p w14:paraId="7FC23520">
            <w:pPr>
              <w:widowControl/>
              <w:spacing w:line="480" w:lineRule="atLeast"/>
              <w:ind w:firstLine="482" w:firstLineChars="200"/>
              <w:jc w:val="left"/>
              <w:rPr>
                <w:rFonts w:hint="default" w:ascii="Times New Roman" w:hAnsi="Times New Roman" w:eastAsia="宋体" w:cs="Times New Roman"/>
                <w:color w:val="auto"/>
                <w:lang w:eastAsia="zh-CN"/>
              </w:rPr>
            </w:pPr>
            <w:r>
              <w:rPr>
                <w:rFonts w:hint="default" w:ascii="Times New Roman" w:hAnsi="Times New Roman" w:cs="Times New Roman"/>
                <w:b/>
                <w:color w:val="auto"/>
                <w:sz w:val="24"/>
                <w:szCs w:val="24"/>
                <w:lang w:bidi="ar"/>
              </w:rPr>
              <w:t>3、主要原辅材料及能源消耗</w:t>
            </w:r>
          </w:p>
          <w:p w14:paraId="6E0CD1A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default" w:ascii="Times New Roman" w:hAnsi="Times New Roman" w:cs="Times New Roman"/>
                <w:b/>
                <w:color w:val="auto"/>
                <w:sz w:val="24"/>
                <w:szCs w:val="24"/>
                <w:lang w:bidi="ar"/>
              </w:rPr>
            </w:pPr>
            <w:r>
              <w:rPr>
                <w:rFonts w:hint="default" w:ascii="Times New Roman" w:hAnsi="Times New Roman" w:cs="Times New Roman"/>
                <w:color w:val="auto"/>
                <w:sz w:val="24"/>
                <w:szCs w:val="24"/>
                <w:lang w:bidi="ar"/>
              </w:rPr>
              <w:t>项目主要原辅材料及能源消耗见表</w:t>
            </w:r>
            <w:r>
              <w:rPr>
                <w:rFonts w:hint="eastAsia" w:ascii="Times New Roman" w:hAnsi="Times New Roman" w:cs="Times New Roman"/>
                <w:color w:val="auto"/>
                <w:sz w:val="24"/>
                <w:szCs w:val="24"/>
                <w:lang w:val="en-US" w:eastAsia="zh-CN" w:bidi="ar"/>
              </w:rPr>
              <w:t>6</w:t>
            </w:r>
            <w:r>
              <w:rPr>
                <w:rFonts w:hint="default" w:ascii="Times New Roman" w:hAnsi="Times New Roman" w:cs="Times New Roman"/>
                <w:color w:val="auto"/>
                <w:sz w:val="24"/>
                <w:szCs w:val="24"/>
                <w:lang w:bidi="ar"/>
              </w:rPr>
              <w:t>。</w:t>
            </w:r>
          </w:p>
          <w:p w14:paraId="53A53390">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auto"/>
              </w:rPr>
            </w:pPr>
            <w:r>
              <w:rPr>
                <w:rFonts w:hint="default" w:ascii="Times New Roman" w:hAnsi="Times New Roman" w:cs="Times New Roman"/>
                <w:b/>
                <w:color w:val="auto"/>
                <w:sz w:val="24"/>
                <w:szCs w:val="24"/>
                <w:lang w:bidi="ar"/>
              </w:rPr>
              <w:t>表</w:t>
            </w:r>
            <w:r>
              <w:rPr>
                <w:rFonts w:hint="eastAsia" w:ascii="Times New Roman" w:hAnsi="Times New Roman" w:cs="Times New Roman"/>
                <w:b/>
                <w:color w:val="auto"/>
                <w:sz w:val="24"/>
                <w:szCs w:val="24"/>
                <w:lang w:val="en-US" w:eastAsia="zh-CN" w:bidi="ar"/>
              </w:rPr>
              <w:t>6</w:t>
            </w:r>
            <w:r>
              <w:rPr>
                <w:rFonts w:hint="default" w:ascii="Times New Roman" w:hAnsi="Times New Roman" w:cs="Times New Roman"/>
                <w:b/>
                <w:color w:val="auto"/>
                <w:sz w:val="24"/>
                <w:szCs w:val="24"/>
                <w:lang w:bidi="ar"/>
              </w:rPr>
              <w:t>项目原辅材料及能源消耗一览表</w:t>
            </w:r>
          </w:p>
          <w:tbl>
            <w:tblPr>
              <w:tblStyle w:val="34"/>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58"/>
              <w:gridCol w:w="516"/>
              <w:gridCol w:w="882"/>
              <w:gridCol w:w="1155"/>
              <w:gridCol w:w="741"/>
              <w:gridCol w:w="885"/>
              <w:gridCol w:w="1067"/>
              <w:gridCol w:w="1679"/>
            </w:tblGrid>
            <w:tr w14:paraId="407A40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0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21AFBF3">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color w:val="auto"/>
                      <w:sz w:val="21"/>
                      <w:szCs w:val="21"/>
                      <w:highlight w:val="none"/>
                      <w:lang w:val="en-US" w:eastAsia="zh-CN" w:bidi="ar"/>
                    </w:rPr>
                    <w:t>项目</w:t>
                  </w:r>
                </w:p>
              </w:tc>
              <w:tc>
                <w:tcPr>
                  <w:tcW w:w="3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EF729F3">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color w:val="auto"/>
                      <w:sz w:val="21"/>
                      <w:szCs w:val="21"/>
                      <w:highlight w:val="none"/>
                      <w:lang w:val="en-US" w:eastAsia="zh-CN" w:bidi="ar"/>
                    </w:rPr>
                    <w:t>序号</w:t>
                  </w:r>
                </w:p>
              </w:tc>
              <w:tc>
                <w:tcPr>
                  <w:tcW w:w="55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75EE9A2">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color w:val="auto"/>
                      <w:sz w:val="21"/>
                      <w:szCs w:val="21"/>
                      <w:highlight w:val="none"/>
                      <w:lang w:val="en-US" w:eastAsia="zh-CN" w:bidi="ar"/>
                    </w:rPr>
                    <w:t>名称</w:t>
                  </w:r>
                </w:p>
              </w:tc>
              <w:tc>
                <w:tcPr>
                  <w:tcW w:w="73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04B9891">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color w:val="auto"/>
                      <w:sz w:val="21"/>
                      <w:szCs w:val="21"/>
                      <w:highlight w:val="none"/>
                      <w:lang w:val="en-US" w:eastAsia="zh-CN" w:bidi="ar"/>
                    </w:rPr>
                    <w:t>单位</w:t>
                  </w:r>
                </w:p>
              </w:tc>
              <w:tc>
                <w:tcPr>
                  <w:tcW w:w="46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E6AB2F5">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color w:val="auto"/>
                      <w:sz w:val="21"/>
                      <w:szCs w:val="21"/>
                      <w:highlight w:val="none"/>
                      <w:lang w:val="en-US" w:eastAsia="zh-CN" w:bidi="ar"/>
                    </w:rPr>
                    <w:t>数量</w:t>
                  </w:r>
                </w:p>
              </w:tc>
              <w:tc>
                <w:tcPr>
                  <w:tcW w:w="56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7036A48">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eastAsia" w:ascii="Times New Roman" w:hAnsi="Times New Roman" w:cs="Times New Roman"/>
                      <w:color w:val="auto"/>
                      <w:sz w:val="21"/>
                      <w:szCs w:val="21"/>
                      <w:highlight w:val="none"/>
                      <w:lang w:val="en-US" w:eastAsia="zh-CN" w:bidi="ar"/>
                    </w:rPr>
                    <w:t>储存量</w:t>
                  </w:r>
                </w:p>
              </w:tc>
              <w:tc>
                <w:tcPr>
                  <w:tcW w:w="67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0A149B9">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eastAsia" w:ascii="Times New Roman" w:hAnsi="Times New Roman" w:cs="Times New Roman"/>
                      <w:color w:val="auto"/>
                      <w:sz w:val="21"/>
                      <w:szCs w:val="21"/>
                      <w:highlight w:val="none"/>
                      <w:lang w:val="en-US" w:eastAsia="zh-CN" w:bidi="ar"/>
                    </w:rPr>
                    <w:t>储存位置</w:t>
                  </w:r>
                </w:p>
              </w:tc>
              <w:tc>
                <w:tcPr>
                  <w:tcW w:w="106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9E456B3">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color w:val="auto"/>
                      <w:sz w:val="21"/>
                      <w:szCs w:val="21"/>
                      <w:highlight w:val="none"/>
                      <w:lang w:val="en-US" w:eastAsia="zh-CN" w:bidi="ar"/>
                    </w:rPr>
                    <w:t>来源</w:t>
                  </w:r>
                </w:p>
              </w:tc>
            </w:tr>
            <w:tr w14:paraId="3B2C19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08" w:type="pct"/>
                  <w:vMerge w:val="restart"/>
                  <w:tcBorders>
                    <w:top w:val="single" w:color="000000" w:sz="4" w:space="0"/>
                    <w:left w:val="single" w:color="000000" w:sz="4" w:space="0"/>
                    <w:right w:val="single" w:color="000000" w:sz="4" w:space="0"/>
                  </w:tcBorders>
                  <w:shd w:val="clear" w:color="auto" w:fill="FFFFFF"/>
                  <w:vAlign w:val="center"/>
                </w:tcPr>
                <w:p w14:paraId="351E3A18">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color w:val="auto"/>
                      <w:sz w:val="21"/>
                      <w:szCs w:val="21"/>
                      <w:highlight w:val="none"/>
                      <w:lang w:val="en-US" w:eastAsia="zh-CN" w:bidi="ar"/>
                    </w:rPr>
                    <w:t>原辅</w:t>
                  </w:r>
                </w:p>
                <w:p w14:paraId="7535E076">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color w:val="auto"/>
                      <w:sz w:val="21"/>
                      <w:szCs w:val="21"/>
                      <w:highlight w:val="none"/>
                      <w:lang w:val="en-US" w:eastAsia="zh-CN" w:bidi="ar"/>
                    </w:rPr>
                    <w:t>材料</w:t>
                  </w:r>
                </w:p>
              </w:tc>
              <w:tc>
                <w:tcPr>
                  <w:tcW w:w="3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864B145">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color w:val="auto"/>
                      <w:sz w:val="21"/>
                      <w:szCs w:val="21"/>
                      <w:highlight w:val="none"/>
                      <w:lang w:val="en-US" w:eastAsia="zh-CN" w:bidi="ar"/>
                    </w:rPr>
                    <w:t>1</w:t>
                  </w:r>
                </w:p>
              </w:tc>
              <w:tc>
                <w:tcPr>
                  <w:tcW w:w="55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3F6FE7A">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color w:val="auto"/>
                      <w:sz w:val="21"/>
                      <w:szCs w:val="21"/>
                      <w:highlight w:val="none"/>
                      <w:lang w:val="en-US" w:eastAsia="zh-CN" w:bidi="ar"/>
                    </w:rPr>
                    <w:t>聚乙烯（PE）</w:t>
                  </w:r>
                </w:p>
              </w:tc>
              <w:tc>
                <w:tcPr>
                  <w:tcW w:w="73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687D75B">
                  <w:pPr>
                    <w:widowControl/>
                    <w:spacing w:line="280" w:lineRule="atLeast"/>
                    <w:jc w:val="center"/>
                    <w:rPr>
                      <w:rFonts w:hint="default" w:ascii="Times New Roman" w:hAnsi="Times New Roman" w:eastAsia="宋体" w:cs="Times New Roman"/>
                      <w:color w:val="000000" w:themeColor="text1"/>
                      <w:sz w:val="21"/>
                      <w:szCs w:val="21"/>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bidi="ar"/>
                      <w14:textFill>
                        <w14:solidFill>
                          <w14:schemeClr w14:val="tx1"/>
                        </w14:solidFill>
                      </w14:textFill>
                    </w:rPr>
                    <w:t>t/a</w:t>
                  </w:r>
                </w:p>
              </w:tc>
              <w:tc>
                <w:tcPr>
                  <w:tcW w:w="46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23B5551">
                  <w:pPr>
                    <w:widowControl/>
                    <w:spacing w:line="280" w:lineRule="atLeast"/>
                    <w:jc w:val="center"/>
                    <w:rPr>
                      <w:rFonts w:hint="default" w:ascii="Times New Roman" w:hAnsi="Times New Roman" w:eastAsia="宋体" w:cs="Times New Roman"/>
                      <w:color w:val="000000" w:themeColor="text1"/>
                      <w:sz w:val="21"/>
                      <w:szCs w:val="21"/>
                      <w:highlight w:val="none"/>
                      <w:lang w:val="en-US" w:eastAsia="zh-CN" w:bidi="ar"/>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bidi="ar"/>
                      <w14:textFill>
                        <w14:solidFill>
                          <w14:schemeClr w14:val="tx1"/>
                        </w14:solidFill>
                      </w14:textFill>
                    </w:rPr>
                    <w:t>248</w:t>
                  </w:r>
                </w:p>
              </w:tc>
              <w:tc>
                <w:tcPr>
                  <w:tcW w:w="56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EC0AB1C">
                  <w:pPr>
                    <w:widowControl/>
                    <w:spacing w:line="280" w:lineRule="atLeast"/>
                    <w:jc w:val="center"/>
                    <w:rPr>
                      <w:rFonts w:hint="default" w:ascii="Times New Roman" w:hAnsi="Times New Roman" w:eastAsia="宋体" w:cs="Times New Roman"/>
                      <w:color w:val="000000" w:themeColor="text1"/>
                      <w:sz w:val="21"/>
                      <w:szCs w:val="21"/>
                      <w:highlight w:val="none"/>
                      <w:lang w:val="en-US" w:eastAsia="zh-CN" w:bidi="ar"/>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bidi="ar"/>
                      <w14:textFill>
                        <w14:solidFill>
                          <w14:schemeClr w14:val="tx1"/>
                        </w14:solidFill>
                      </w14:textFill>
                    </w:rPr>
                    <w:t>3</w:t>
                  </w:r>
                </w:p>
              </w:tc>
              <w:tc>
                <w:tcPr>
                  <w:tcW w:w="67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E98E5D8">
                  <w:pPr>
                    <w:widowControl/>
                    <w:spacing w:line="280" w:lineRule="atLeast"/>
                    <w:jc w:val="center"/>
                    <w:rPr>
                      <w:rFonts w:hint="default" w:ascii="Times New Roman" w:hAnsi="Times New Roman" w:eastAsia="宋体" w:cs="Times New Roman"/>
                      <w:color w:val="000000" w:themeColor="text1"/>
                      <w:sz w:val="21"/>
                      <w:szCs w:val="21"/>
                      <w:highlight w:val="none"/>
                      <w:lang w:val="en-US" w:eastAsia="zh-CN" w:bidi="ar"/>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bidi="ar"/>
                      <w14:textFill>
                        <w14:solidFill>
                          <w14:schemeClr w14:val="tx1"/>
                        </w14:solidFill>
                      </w14:textFill>
                    </w:rPr>
                    <w:t>库房</w:t>
                  </w:r>
                </w:p>
              </w:tc>
              <w:tc>
                <w:tcPr>
                  <w:tcW w:w="106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416B24C">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color w:val="auto"/>
                      <w:sz w:val="21"/>
                      <w:szCs w:val="21"/>
                      <w:highlight w:val="none"/>
                      <w:lang w:val="en-US" w:eastAsia="zh-CN" w:bidi="ar"/>
                    </w:rPr>
                    <w:t>外购，颗粒状，原包料，汽运</w:t>
                  </w:r>
                  <w:r>
                    <w:rPr>
                      <w:rFonts w:hint="eastAsia" w:ascii="Times New Roman" w:hAnsi="Times New Roman" w:cs="Times New Roman"/>
                      <w:color w:val="auto"/>
                      <w:sz w:val="21"/>
                      <w:szCs w:val="21"/>
                      <w:highlight w:val="none"/>
                      <w:lang w:val="en-US" w:eastAsia="zh-CN" w:bidi="ar"/>
                    </w:rPr>
                    <w:t>，1t/袋</w:t>
                  </w:r>
                </w:p>
              </w:tc>
            </w:tr>
            <w:tr w14:paraId="14318D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08" w:type="pct"/>
                  <w:vMerge w:val="continue"/>
                  <w:tcBorders>
                    <w:left w:val="single" w:color="000000" w:sz="4" w:space="0"/>
                    <w:right w:val="single" w:color="000000" w:sz="4" w:space="0"/>
                  </w:tcBorders>
                  <w:shd w:val="clear" w:color="auto" w:fill="auto"/>
                  <w:noWrap/>
                  <w:vAlign w:val="center"/>
                </w:tcPr>
                <w:p w14:paraId="2EF4A16F">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p>
              </w:tc>
              <w:tc>
                <w:tcPr>
                  <w:tcW w:w="3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D6B5558">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color w:val="auto"/>
                      <w:sz w:val="21"/>
                      <w:szCs w:val="21"/>
                      <w:highlight w:val="none"/>
                      <w:lang w:val="en-US" w:eastAsia="zh-CN" w:bidi="ar"/>
                    </w:rPr>
                    <w:t>2</w:t>
                  </w:r>
                </w:p>
              </w:tc>
              <w:tc>
                <w:tcPr>
                  <w:tcW w:w="55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8675637">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color w:val="auto"/>
                      <w:sz w:val="21"/>
                      <w:szCs w:val="21"/>
                      <w:highlight w:val="none"/>
                      <w:lang w:val="en-US" w:eastAsia="zh-CN" w:bidi="ar"/>
                    </w:rPr>
                    <w:t>聚丙烯（PP）</w:t>
                  </w:r>
                </w:p>
              </w:tc>
              <w:tc>
                <w:tcPr>
                  <w:tcW w:w="73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922D7D9">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color w:val="auto"/>
                      <w:sz w:val="21"/>
                      <w:szCs w:val="21"/>
                      <w:highlight w:val="none"/>
                      <w:lang w:val="en-US" w:eastAsia="zh-CN" w:bidi="ar"/>
                    </w:rPr>
                    <w:t>t/a</w:t>
                  </w:r>
                </w:p>
              </w:tc>
              <w:tc>
                <w:tcPr>
                  <w:tcW w:w="46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DB81D6C">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eastAsia" w:ascii="Times New Roman" w:hAnsi="Times New Roman" w:cs="Times New Roman"/>
                      <w:color w:val="auto"/>
                      <w:sz w:val="21"/>
                      <w:szCs w:val="21"/>
                      <w:highlight w:val="none"/>
                      <w:lang w:val="en-US" w:eastAsia="zh-CN" w:bidi="ar"/>
                    </w:rPr>
                    <w:t>248</w:t>
                  </w:r>
                </w:p>
              </w:tc>
              <w:tc>
                <w:tcPr>
                  <w:tcW w:w="56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AB1332F">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eastAsia" w:ascii="Times New Roman" w:hAnsi="Times New Roman" w:cs="Times New Roman"/>
                      <w:color w:val="auto"/>
                      <w:sz w:val="21"/>
                      <w:szCs w:val="21"/>
                      <w:highlight w:val="none"/>
                      <w:lang w:val="en-US" w:eastAsia="zh-CN" w:bidi="ar"/>
                    </w:rPr>
                    <w:t>3</w:t>
                  </w:r>
                </w:p>
              </w:tc>
              <w:tc>
                <w:tcPr>
                  <w:tcW w:w="67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122F5B9">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eastAsia" w:ascii="Times New Roman" w:hAnsi="Times New Roman" w:cs="Times New Roman"/>
                      <w:color w:val="000000" w:themeColor="text1"/>
                      <w:sz w:val="21"/>
                      <w:szCs w:val="21"/>
                      <w:highlight w:val="none"/>
                      <w:lang w:val="en-US" w:eastAsia="zh-CN" w:bidi="ar"/>
                      <w14:textFill>
                        <w14:solidFill>
                          <w14:schemeClr w14:val="tx1"/>
                        </w14:solidFill>
                      </w14:textFill>
                    </w:rPr>
                    <w:t>库房</w:t>
                  </w:r>
                </w:p>
              </w:tc>
              <w:tc>
                <w:tcPr>
                  <w:tcW w:w="106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1D53308">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color w:val="auto"/>
                      <w:sz w:val="21"/>
                      <w:szCs w:val="21"/>
                      <w:highlight w:val="none"/>
                      <w:lang w:val="en-US" w:eastAsia="zh-CN" w:bidi="ar"/>
                    </w:rPr>
                    <w:t>外购，颗粒状，原包料，汽运</w:t>
                  </w:r>
                  <w:r>
                    <w:rPr>
                      <w:rFonts w:hint="eastAsia" w:ascii="Times New Roman" w:hAnsi="Times New Roman" w:cs="Times New Roman"/>
                      <w:color w:val="auto"/>
                      <w:sz w:val="21"/>
                      <w:szCs w:val="21"/>
                      <w:highlight w:val="none"/>
                      <w:lang w:val="en-US" w:eastAsia="zh-CN" w:bidi="ar"/>
                    </w:rPr>
                    <w:t>，1t/袋</w:t>
                  </w:r>
                </w:p>
              </w:tc>
            </w:tr>
            <w:tr w14:paraId="2B25D5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08" w:type="pct"/>
                  <w:vMerge w:val="continue"/>
                  <w:tcBorders>
                    <w:left w:val="single" w:color="000000" w:sz="4" w:space="0"/>
                    <w:right w:val="single" w:color="000000" w:sz="4" w:space="0"/>
                  </w:tcBorders>
                  <w:shd w:val="clear" w:color="auto" w:fill="auto"/>
                  <w:noWrap/>
                  <w:vAlign w:val="center"/>
                </w:tcPr>
                <w:p w14:paraId="54B6D6E5">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p>
              </w:tc>
              <w:tc>
                <w:tcPr>
                  <w:tcW w:w="3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B4E75DD">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color w:val="auto"/>
                      <w:sz w:val="21"/>
                      <w:szCs w:val="21"/>
                      <w:highlight w:val="none"/>
                      <w:lang w:val="en-US" w:eastAsia="zh-CN" w:bidi="ar"/>
                    </w:rPr>
                    <w:t>3</w:t>
                  </w:r>
                </w:p>
              </w:tc>
              <w:tc>
                <w:tcPr>
                  <w:tcW w:w="55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23E0715">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eastAsia" w:ascii="Times New Roman" w:hAnsi="Times New Roman" w:eastAsia="宋体" w:cs="Times New Roman"/>
                      <w:color w:val="auto"/>
                      <w:sz w:val="21"/>
                      <w:szCs w:val="21"/>
                      <w:highlight w:val="none"/>
                      <w:lang w:val="en-US" w:eastAsia="zh-CN" w:bidi="ar"/>
                    </w:rPr>
                    <w:t>色母</w:t>
                  </w:r>
                </w:p>
              </w:tc>
              <w:tc>
                <w:tcPr>
                  <w:tcW w:w="73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4C5E952">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color w:val="auto"/>
                      <w:sz w:val="21"/>
                      <w:szCs w:val="21"/>
                      <w:highlight w:val="none"/>
                      <w:lang w:val="en-US" w:eastAsia="zh-CN" w:bidi="ar"/>
                    </w:rPr>
                    <w:t>t/a</w:t>
                  </w:r>
                </w:p>
              </w:tc>
              <w:tc>
                <w:tcPr>
                  <w:tcW w:w="46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A53BFCD">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eastAsia" w:ascii="Times New Roman" w:hAnsi="Times New Roman" w:cs="Times New Roman"/>
                      <w:color w:val="auto"/>
                      <w:sz w:val="21"/>
                      <w:szCs w:val="21"/>
                      <w:highlight w:val="none"/>
                      <w:lang w:val="en-US" w:eastAsia="zh-CN" w:bidi="ar"/>
                    </w:rPr>
                    <w:t>4</w:t>
                  </w:r>
                </w:p>
              </w:tc>
              <w:tc>
                <w:tcPr>
                  <w:tcW w:w="56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3F1CACE">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eastAsia" w:ascii="Times New Roman" w:hAnsi="Times New Roman" w:cs="Times New Roman"/>
                      <w:color w:val="auto"/>
                      <w:sz w:val="21"/>
                      <w:szCs w:val="21"/>
                      <w:highlight w:val="none"/>
                      <w:lang w:val="en-US" w:eastAsia="zh-CN" w:bidi="ar"/>
                    </w:rPr>
                    <w:t>1</w:t>
                  </w:r>
                </w:p>
              </w:tc>
              <w:tc>
                <w:tcPr>
                  <w:tcW w:w="67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006DA75">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eastAsia" w:ascii="Times New Roman" w:hAnsi="Times New Roman" w:cs="Times New Roman"/>
                      <w:color w:val="000000" w:themeColor="text1"/>
                      <w:sz w:val="21"/>
                      <w:szCs w:val="21"/>
                      <w:highlight w:val="none"/>
                      <w:lang w:val="en-US" w:eastAsia="zh-CN" w:bidi="ar"/>
                      <w14:textFill>
                        <w14:solidFill>
                          <w14:schemeClr w14:val="tx1"/>
                        </w14:solidFill>
                      </w14:textFill>
                    </w:rPr>
                    <w:t>库房</w:t>
                  </w:r>
                </w:p>
              </w:tc>
              <w:tc>
                <w:tcPr>
                  <w:tcW w:w="106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37F14F7">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color w:val="auto"/>
                      <w:sz w:val="21"/>
                      <w:szCs w:val="21"/>
                      <w:highlight w:val="none"/>
                      <w:lang w:val="en-US" w:eastAsia="zh-CN" w:bidi="ar"/>
                    </w:rPr>
                    <w:t>外购，颗粒状，原包料，汽运</w:t>
                  </w:r>
                </w:p>
              </w:tc>
            </w:tr>
            <w:tr w14:paraId="6C4719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08" w:type="pct"/>
                  <w:vMerge w:val="continue"/>
                  <w:tcBorders>
                    <w:left w:val="single" w:color="000000" w:sz="4" w:space="0"/>
                    <w:right w:val="single" w:color="000000" w:sz="4" w:space="0"/>
                  </w:tcBorders>
                  <w:shd w:val="clear" w:color="auto" w:fill="auto"/>
                  <w:noWrap/>
                  <w:vAlign w:val="center"/>
                </w:tcPr>
                <w:p w14:paraId="2B9EEB7C">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p>
              </w:tc>
              <w:tc>
                <w:tcPr>
                  <w:tcW w:w="3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89E3C87">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eastAsia" w:ascii="Times New Roman" w:hAnsi="Times New Roman" w:cs="Times New Roman"/>
                      <w:color w:val="auto"/>
                      <w:sz w:val="21"/>
                      <w:szCs w:val="21"/>
                      <w:highlight w:val="none"/>
                      <w:lang w:val="en-US" w:eastAsia="zh-CN" w:bidi="ar"/>
                    </w:rPr>
                    <w:t>4</w:t>
                  </w:r>
                </w:p>
              </w:tc>
              <w:tc>
                <w:tcPr>
                  <w:tcW w:w="55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B2829D9">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eastAsia" w:ascii="Times New Roman" w:hAnsi="Times New Roman" w:cs="Times New Roman"/>
                      <w:color w:val="auto"/>
                      <w:sz w:val="21"/>
                      <w:szCs w:val="21"/>
                      <w:highlight w:val="none"/>
                      <w:lang w:val="en-US" w:eastAsia="zh-CN" w:bidi="ar"/>
                    </w:rPr>
                    <w:t>机油</w:t>
                  </w:r>
                </w:p>
              </w:tc>
              <w:tc>
                <w:tcPr>
                  <w:tcW w:w="73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2AC8184">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color w:val="auto"/>
                      <w:sz w:val="21"/>
                      <w:szCs w:val="21"/>
                      <w:highlight w:val="none"/>
                      <w:lang w:val="en-US" w:eastAsia="zh-CN" w:bidi="ar"/>
                    </w:rPr>
                    <w:t>t/a</w:t>
                  </w:r>
                </w:p>
              </w:tc>
              <w:tc>
                <w:tcPr>
                  <w:tcW w:w="46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758110E">
                  <w:pPr>
                    <w:widowControl/>
                    <w:spacing w:line="280" w:lineRule="atLeast"/>
                    <w:jc w:val="center"/>
                    <w:rPr>
                      <w:rFonts w:hint="default" w:ascii="Times New Roman" w:hAnsi="Times New Roman" w:cs="Times New Roman"/>
                      <w:color w:val="auto"/>
                      <w:sz w:val="21"/>
                      <w:szCs w:val="21"/>
                      <w:highlight w:val="none"/>
                      <w:lang w:val="en-US" w:eastAsia="zh-CN" w:bidi="ar"/>
                    </w:rPr>
                  </w:pPr>
                  <w:r>
                    <w:rPr>
                      <w:rFonts w:hint="eastAsia" w:ascii="Times New Roman" w:hAnsi="Times New Roman" w:cs="Times New Roman"/>
                      <w:color w:val="auto"/>
                      <w:sz w:val="21"/>
                      <w:szCs w:val="21"/>
                      <w:highlight w:val="none"/>
                      <w:lang w:val="en-US" w:eastAsia="zh-CN" w:bidi="ar"/>
                    </w:rPr>
                    <w:t>1</w:t>
                  </w:r>
                </w:p>
              </w:tc>
              <w:tc>
                <w:tcPr>
                  <w:tcW w:w="56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05DD8C9">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eastAsia" w:ascii="Times New Roman" w:hAnsi="Times New Roman" w:cs="Times New Roman"/>
                      <w:color w:val="auto"/>
                      <w:sz w:val="21"/>
                      <w:szCs w:val="21"/>
                      <w:highlight w:val="none"/>
                      <w:lang w:val="en-US" w:eastAsia="zh-CN" w:bidi="ar"/>
                    </w:rPr>
                    <w:t>1</w:t>
                  </w:r>
                </w:p>
              </w:tc>
              <w:tc>
                <w:tcPr>
                  <w:tcW w:w="67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F58A1D2">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eastAsia" w:ascii="Times New Roman" w:hAnsi="Times New Roman" w:cs="Times New Roman"/>
                      <w:color w:val="000000" w:themeColor="text1"/>
                      <w:sz w:val="21"/>
                      <w:szCs w:val="21"/>
                      <w:highlight w:val="none"/>
                      <w:lang w:val="en-US" w:eastAsia="zh-CN" w:bidi="ar"/>
                      <w14:textFill>
                        <w14:solidFill>
                          <w14:schemeClr w14:val="tx1"/>
                        </w14:solidFill>
                      </w14:textFill>
                    </w:rPr>
                    <w:t>库房</w:t>
                  </w:r>
                </w:p>
              </w:tc>
              <w:tc>
                <w:tcPr>
                  <w:tcW w:w="106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B21C206">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color w:val="auto"/>
                      <w:sz w:val="21"/>
                      <w:szCs w:val="21"/>
                      <w:highlight w:val="none"/>
                      <w:lang w:val="en-US" w:eastAsia="zh-CN" w:bidi="ar"/>
                    </w:rPr>
                    <w:t>外购，汽运</w:t>
                  </w:r>
                  <w:r>
                    <w:rPr>
                      <w:rFonts w:hint="eastAsia" w:ascii="Times New Roman" w:hAnsi="Times New Roman" w:eastAsia="宋体" w:cs="Times New Roman"/>
                      <w:color w:val="auto"/>
                      <w:sz w:val="21"/>
                      <w:szCs w:val="21"/>
                      <w:highlight w:val="none"/>
                      <w:lang w:val="en-US" w:eastAsia="zh-CN" w:bidi="ar"/>
                    </w:rPr>
                    <w:t>200kg/桶</w:t>
                  </w:r>
                </w:p>
              </w:tc>
            </w:tr>
            <w:tr w14:paraId="1C5646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08" w:type="pct"/>
                  <w:vMerge w:val="continue"/>
                  <w:tcBorders>
                    <w:left w:val="single" w:color="000000" w:sz="4" w:space="0"/>
                    <w:right w:val="single" w:color="000000" w:sz="4" w:space="0"/>
                  </w:tcBorders>
                  <w:shd w:val="clear" w:color="auto" w:fill="auto"/>
                  <w:noWrap/>
                  <w:vAlign w:val="center"/>
                </w:tcPr>
                <w:p w14:paraId="5A9515C2">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p>
              </w:tc>
              <w:tc>
                <w:tcPr>
                  <w:tcW w:w="3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D5A5546">
                  <w:pPr>
                    <w:widowControl/>
                    <w:spacing w:line="280" w:lineRule="atLeast"/>
                    <w:jc w:val="center"/>
                    <w:rPr>
                      <w:rFonts w:hint="default" w:ascii="Times New Roman" w:hAnsi="Times New Roman" w:cs="Times New Roman"/>
                      <w:color w:val="000000" w:themeColor="text1"/>
                      <w:sz w:val="21"/>
                      <w:szCs w:val="21"/>
                      <w:highlight w:val="none"/>
                      <w:lang w:val="en-US" w:eastAsia="zh-CN" w:bidi="ar"/>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bidi="ar"/>
                      <w14:textFill>
                        <w14:solidFill>
                          <w14:schemeClr w14:val="tx1"/>
                        </w14:solidFill>
                      </w14:textFill>
                    </w:rPr>
                    <w:t>5</w:t>
                  </w:r>
                </w:p>
              </w:tc>
              <w:tc>
                <w:tcPr>
                  <w:tcW w:w="55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97EFB35">
                  <w:pPr>
                    <w:widowControl/>
                    <w:spacing w:line="280" w:lineRule="atLeast"/>
                    <w:jc w:val="center"/>
                    <w:rPr>
                      <w:rFonts w:hint="eastAsia" w:ascii="Times New Roman" w:hAnsi="Times New Roman" w:cs="Times New Roman"/>
                      <w:color w:val="000000" w:themeColor="text1"/>
                      <w:sz w:val="21"/>
                      <w:szCs w:val="21"/>
                      <w:highlight w:val="none"/>
                      <w:lang w:val="en-US" w:eastAsia="zh-CN" w:bidi="ar"/>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bidi="ar"/>
                      <w14:textFill>
                        <w14:solidFill>
                          <w14:schemeClr w14:val="tx1"/>
                        </w14:solidFill>
                      </w14:textFill>
                    </w:rPr>
                    <w:t>包装袋</w:t>
                  </w:r>
                </w:p>
              </w:tc>
              <w:tc>
                <w:tcPr>
                  <w:tcW w:w="73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4BFE92A">
                  <w:pPr>
                    <w:widowControl/>
                    <w:spacing w:line="280" w:lineRule="atLeast"/>
                    <w:jc w:val="center"/>
                    <w:rPr>
                      <w:rFonts w:hint="default" w:ascii="Times New Roman" w:hAnsi="Times New Roman" w:eastAsia="宋体" w:cs="Times New Roman"/>
                      <w:color w:val="000000" w:themeColor="text1"/>
                      <w:sz w:val="21"/>
                      <w:szCs w:val="21"/>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bidi="ar"/>
                      <w14:textFill>
                        <w14:solidFill>
                          <w14:schemeClr w14:val="tx1"/>
                        </w14:solidFill>
                      </w14:textFill>
                    </w:rPr>
                    <w:t>t/a</w:t>
                  </w:r>
                </w:p>
              </w:tc>
              <w:tc>
                <w:tcPr>
                  <w:tcW w:w="46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1A9503B">
                  <w:pPr>
                    <w:widowControl/>
                    <w:spacing w:line="280" w:lineRule="atLeast"/>
                    <w:jc w:val="center"/>
                    <w:rPr>
                      <w:rFonts w:hint="default" w:ascii="Times New Roman" w:hAnsi="Times New Roman" w:cs="Times New Roman"/>
                      <w:color w:val="000000" w:themeColor="text1"/>
                      <w:sz w:val="21"/>
                      <w:szCs w:val="21"/>
                      <w:highlight w:val="none"/>
                      <w:lang w:val="en-US" w:eastAsia="zh-CN" w:bidi="ar"/>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bidi="ar"/>
                      <w14:textFill>
                        <w14:solidFill>
                          <w14:schemeClr w14:val="tx1"/>
                        </w14:solidFill>
                      </w14:textFill>
                    </w:rPr>
                    <w:t>2</w:t>
                  </w:r>
                </w:p>
              </w:tc>
              <w:tc>
                <w:tcPr>
                  <w:tcW w:w="56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E6210D2">
                  <w:pPr>
                    <w:widowControl/>
                    <w:spacing w:line="280" w:lineRule="atLeast"/>
                    <w:jc w:val="center"/>
                    <w:rPr>
                      <w:rFonts w:hint="default" w:ascii="Times New Roman" w:hAnsi="Times New Roman" w:cs="Times New Roman"/>
                      <w:color w:val="000000" w:themeColor="text1"/>
                      <w:sz w:val="21"/>
                      <w:szCs w:val="21"/>
                      <w:highlight w:val="none"/>
                      <w:lang w:val="en-US" w:eastAsia="zh-CN" w:bidi="ar"/>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bidi="ar"/>
                      <w14:textFill>
                        <w14:solidFill>
                          <w14:schemeClr w14:val="tx1"/>
                        </w14:solidFill>
                      </w14:textFill>
                    </w:rPr>
                    <w:t>1</w:t>
                  </w:r>
                </w:p>
              </w:tc>
              <w:tc>
                <w:tcPr>
                  <w:tcW w:w="67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A04F7D9">
                  <w:pPr>
                    <w:widowControl/>
                    <w:spacing w:line="280" w:lineRule="atLeast"/>
                    <w:jc w:val="center"/>
                    <w:rPr>
                      <w:rFonts w:hint="eastAsia" w:ascii="Times New Roman" w:hAnsi="Times New Roman" w:cs="Times New Roman"/>
                      <w:color w:val="000000" w:themeColor="text1"/>
                      <w:sz w:val="21"/>
                      <w:szCs w:val="21"/>
                      <w:highlight w:val="none"/>
                      <w:lang w:val="en-US" w:eastAsia="zh-CN" w:bidi="ar"/>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bidi="ar"/>
                      <w14:textFill>
                        <w14:solidFill>
                          <w14:schemeClr w14:val="tx1"/>
                        </w14:solidFill>
                      </w14:textFill>
                    </w:rPr>
                    <w:t>库房</w:t>
                  </w:r>
                </w:p>
              </w:tc>
              <w:tc>
                <w:tcPr>
                  <w:tcW w:w="106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E7D6055">
                  <w:pPr>
                    <w:widowControl/>
                    <w:spacing w:line="280" w:lineRule="atLeast"/>
                    <w:jc w:val="center"/>
                    <w:rPr>
                      <w:rFonts w:hint="default" w:ascii="Times New Roman" w:hAnsi="Times New Roman" w:eastAsia="宋体" w:cs="Times New Roman"/>
                      <w:color w:val="000000" w:themeColor="text1"/>
                      <w:sz w:val="21"/>
                      <w:szCs w:val="21"/>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bidi="ar"/>
                      <w14:textFill>
                        <w14:solidFill>
                          <w14:schemeClr w14:val="tx1"/>
                        </w14:solidFill>
                      </w14:textFill>
                    </w:rPr>
                    <w:t>外购，汽运</w:t>
                  </w:r>
                </w:p>
              </w:tc>
            </w:tr>
            <w:tr w14:paraId="3F79D6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08" w:type="pct"/>
                  <w:vMerge w:val="continue"/>
                  <w:tcBorders>
                    <w:left w:val="single" w:color="000000" w:sz="4" w:space="0"/>
                    <w:right w:val="single" w:color="000000" w:sz="4" w:space="0"/>
                  </w:tcBorders>
                  <w:shd w:val="clear" w:color="auto" w:fill="auto"/>
                  <w:noWrap/>
                  <w:vAlign w:val="center"/>
                </w:tcPr>
                <w:p w14:paraId="6A698B13">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p>
              </w:tc>
              <w:tc>
                <w:tcPr>
                  <w:tcW w:w="3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8BAA088">
                  <w:pPr>
                    <w:widowControl/>
                    <w:spacing w:line="280" w:lineRule="atLeast"/>
                    <w:jc w:val="center"/>
                    <w:rPr>
                      <w:rFonts w:hint="default" w:ascii="Times New Roman" w:hAnsi="Times New Roman" w:cs="Times New Roman"/>
                      <w:color w:val="000000" w:themeColor="text1"/>
                      <w:sz w:val="21"/>
                      <w:szCs w:val="21"/>
                      <w:highlight w:val="none"/>
                      <w:lang w:val="en-US" w:eastAsia="zh-CN" w:bidi="ar"/>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bidi="ar"/>
                      <w14:textFill>
                        <w14:solidFill>
                          <w14:schemeClr w14:val="tx1"/>
                        </w14:solidFill>
                      </w14:textFill>
                    </w:rPr>
                    <w:t>6</w:t>
                  </w:r>
                </w:p>
              </w:tc>
              <w:tc>
                <w:tcPr>
                  <w:tcW w:w="55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0E6AB54">
                  <w:pPr>
                    <w:widowControl/>
                    <w:spacing w:line="280" w:lineRule="atLeast"/>
                    <w:jc w:val="center"/>
                    <w:rPr>
                      <w:rFonts w:hint="eastAsia" w:ascii="Times New Roman" w:hAnsi="Times New Roman" w:cs="Times New Roman"/>
                      <w:color w:val="000000" w:themeColor="text1"/>
                      <w:sz w:val="21"/>
                      <w:szCs w:val="21"/>
                      <w:highlight w:val="none"/>
                      <w:lang w:val="en-US" w:eastAsia="zh-CN" w:bidi="ar"/>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bidi="ar"/>
                      <w14:textFill>
                        <w14:solidFill>
                          <w14:schemeClr w14:val="tx1"/>
                        </w14:solidFill>
                      </w14:textFill>
                    </w:rPr>
                    <w:t>纸箱</w:t>
                  </w:r>
                </w:p>
              </w:tc>
              <w:tc>
                <w:tcPr>
                  <w:tcW w:w="73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D1D6F62">
                  <w:pPr>
                    <w:widowControl/>
                    <w:spacing w:line="280" w:lineRule="atLeast"/>
                    <w:jc w:val="center"/>
                    <w:rPr>
                      <w:rFonts w:hint="default" w:ascii="Times New Roman" w:hAnsi="Times New Roman" w:eastAsia="宋体" w:cs="Times New Roman"/>
                      <w:color w:val="000000" w:themeColor="text1"/>
                      <w:sz w:val="21"/>
                      <w:szCs w:val="21"/>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bidi="ar"/>
                      <w14:textFill>
                        <w14:solidFill>
                          <w14:schemeClr w14:val="tx1"/>
                        </w14:solidFill>
                      </w14:textFill>
                    </w:rPr>
                    <w:t>个/a</w:t>
                  </w:r>
                </w:p>
              </w:tc>
              <w:tc>
                <w:tcPr>
                  <w:tcW w:w="46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0170022">
                  <w:pPr>
                    <w:widowControl/>
                    <w:spacing w:line="280" w:lineRule="atLeast"/>
                    <w:jc w:val="center"/>
                    <w:rPr>
                      <w:rFonts w:hint="default" w:ascii="Times New Roman" w:hAnsi="Times New Roman" w:cs="Times New Roman"/>
                      <w:color w:val="000000" w:themeColor="text1"/>
                      <w:sz w:val="21"/>
                      <w:szCs w:val="21"/>
                      <w:highlight w:val="none"/>
                      <w:lang w:val="en-US" w:eastAsia="zh-CN" w:bidi="ar"/>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bidi="ar"/>
                      <w14:textFill>
                        <w14:solidFill>
                          <w14:schemeClr w14:val="tx1"/>
                        </w14:solidFill>
                      </w14:textFill>
                    </w:rPr>
                    <w:t>10000</w:t>
                  </w:r>
                </w:p>
              </w:tc>
              <w:tc>
                <w:tcPr>
                  <w:tcW w:w="56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5EAD306">
                  <w:pPr>
                    <w:widowControl/>
                    <w:spacing w:line="280" w:lineRule="atLeast"/>
                    <w:jc w:val="center"/>
                    <w:rPr>
                      <w:rFonts w:hint="default" w:ascii="Times New Roman" w:hAnsi="Times New Roman" w:cs="Times New Roman"/>
                      <w:color w:val="000000" w:themeColor="text1"/>
                      <w:sz w:val="21"/>
                      <w:szCs w:val="21"/>
                      <w:highlight w:val="none"/>
                      <w:lang w:val="en-US" w:eastAsia="zh-CN" w:bidi="ar"/>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bidi="ar"/>
                      <w14:textFill>
                        <w14:solidFill>
                          <w14:schemeClr w14:val="tx1"/>
                        </w14:solidFill>
                      </w14:textFill>
                    </w:rPr>
                    <w:t>1000</w:t>
                  </w:r>
                </w:p>
              </w:tc>
              <w:tc>
                <w:tcPr>
                  <w:tcW w:w="67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54C1790">
                  <w:pPr>
                    <w:widowControl/>
                    <w:spacing w:line="280" w:lineRule="atLeast"/>
                    <w:jc w:val="center"/>
                    <w:rPr>
                      <w:rFonts w:hint="eastAsia" w:ascii="Times New Roman" w:hAnsi="Times New Roman" w:cs="Times New Roman"/>
                      <w:color w:val="000000" w:themeColor="text1"/>
                      <w:sz w:val="21"/>
                      <w:szCs w:val="21"/>
                      <w:highlight w:val="none"/>
                      <w:lang w:val="en-US" w:eastAsia="zh-CN" w:bidi="ar"/>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bidi="ar"/>
                      <w14:textFill>
                        <w14:solidFill>
                          <w14:schemeClr w14:val="tx1"/>
                        </w14:solidFill>
                      </w14:textFill>
                    </w:rPr>
                    <w:t>库房</w:t>
                  </w:r>
                </w:p>
              </w:tc>
              <w:tc>
                <w:tcPr>
                  <w:tcW w:w="106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E984B0A">
                  <w:pPr>
                    <w:widowControl/>
                    <w:spacing w:line="280" w:lineRule="atLeast"/>
                    <w:jc w:val="center"/>
                    <w:rPr>
                      <w:rFonts w:hint="default" w:ascii="Times New Roman" w:hAnsi="Times New Roman" w:eastAsia="宋体" w:cs="Times New Roman"/>
                      <w:color w:val="000000" w:themeColor="text1"/>
                      <w:sz w:val="21"/>
                      <w:szCs w:val="21"/>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bidi="ar"/>
                      <w14:textFill>
                        <w14:solidFill>
                          <w14:schemeClr w14:val="tx1"/>
                        </w14:solidFill>
                      </w14:textFill>
                    </w:rPr>
                    <w:t>外购，汽运</w:t>
                  </w:r>
                </w:p>
              </w:tc>
            </w:tr>
            <w:tr w14:paraId="7A9654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0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D4C3F1B">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color w:val="auto"/>
                      <w:sz w:val="21"/>
                      <w:szCs w:val="21"/>
                      <w:highlight w:val="none"/>
                      <w:lang w:val="en-US" w:eastAsia="zh-CN" w:bidi="ar"/>
                    </w:rPr>
                    <w:t>能源</w:t>
                  </w:r>
                </w:p>
              </w:tc>
              <w:tc>
                <w:tcPr>
                  <w:tcW w:w="3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965F6AF">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eastAsia" w:ascii="Times New Roman" w:hAnsi="Times New Roman" w:cs="Times New Roman"/>
                      <w:color w:val="auto"/>
                      <w:sz w:val="21"/>
                      <w:szCs w:val="21"/>
                      <w:highlight w:val="none"/>
                      <w:lang w:val="en-US" w:eastAsia="zh-CN" w:bidi="ar"/>
                    </w:rPr>
                    <w:t>1</w:t>
                  </w:r>
                </w:p>
              </w:tc>
              <w:tc>
                <w:tcPr>
                  <w:tcW w:w="55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3CAA182">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color w:val="auto"/>
                      <w:sz w:val="21"/>
                      <w:szCs w:val="21"/>
                      <w:highlight w:val="none"/>
                      <w:lang w:val="en-US" w:eastAsia="zh-CN" w:bidi="ar"/>
                    </w:rPr>
                    <w:t>新鲜水</w:t>
                  </w:r>
                </w:p>
              </w:tc>
              <w:tc>
                <w:tcPr>
                  <w:tcW w:w="73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FA3BFD5">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color w:val="auto"/>
                      <w:sz w:val="21"/>
                      <w:szCs w:val="21"/>
                      <w:highlight w:val="none"/>
                      <w:lang w:val="en-US" w:eastAsia="zh-CN" w:bidi="ar"/>
                    </w:rPr>
                    <w:t>t/a</w:t>
                  </w:r>
                </w:p>
              </w:tc>
              <w:tc>
                <w:tcPr>
                  <w:tcW w:w="46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54E7366">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eastAsia" w:ascii="Times New Roman" w:hAnsi="Times New Roman" w:cs="Times New Roman"/>
                      <w:sz w:val="21"/>
                      <w:szCs w:val="21"/>
                      <w:lang w:bidi="ar"/>
                    </w:rPr>
                    <w:t>297</w:t>
                  </w:r>
                </w:p>
              </w:tc>
              <w:tc>
                <w:tcPr>
                  <w:tcW w:w="56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0C04532">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eastAsia" w:ascii="Times New Roman" w:hAnsi="Times New Roman" w:cs="Times New Roman"/>
                      <w:color w:val="auto"/>
                      <w:sz w:val="21"/>
                      <w:szCs w:val="21"/>
                      <w:highlight w:val="none"/>
                      <w:lang w:val="en-US" w:eastAsia="zh-CN" w:bidi="ar"/>
                    </w:rPr>
                    <w:t>/</w:t>
                  </w:r>
                </w:p>
              </w:tc>
              <w:tc>
                <w:tcPr>
                  <w:tcW w:w="67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5A2D9EE">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eastAsia" w:ascii="Times New Roman" w:hAnsi="Times New Roman" w:cs="Times New Roman"/>
                      <w:color w:val="auto"/>
                      <w:sz w:val="21"/>
                      <w:szCs w:val="21"/>
                      <w:highlight w:val="none"/>
                      <w:lang w:val="en-US" w:eastAsia="zh-CN" w:bidi="ar"/>
                    </w:rPr>
                    <w:t>/</w:t>
                  </w:r>
                </w:p>
              </w:tc>
              <w:tc>
                <w:tcPr>
                  <w:tcW w:w="106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A13948A">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color w:val="auto"/>
                      <w:sz w:val="21"/>
                      <w:szCs w:val="21"/>
                      <w:highlight w:val="none"/>
                      <w:lang w:val="en-US" w:eastAsia="zh-CN" w:bidi="ar"/>
                    </w:rPr>
                    <w:t>由</w:t>
                  </w:r>
                  <w:r>
                    <w:rPr>
                      <w:rFonts w:hint="eastAsia" w:ascii="Times New Roman" w:hAnsi="Times New Roman" w:cs="Times New Roman"/>
                      <w:color w:val="auto"/>
                      <w:sz w:val="21"/>
                      <w:szCs w:val="21"/>
                      <w:highlight w:val="none"/>
                      <w:lang w:val="en-US" w:eastAsia="zh-CN" w:bidi="ar"/>
                    </w:rPr>
                    <w:t>当地</w:t>
                  </w:r>
                  <w:r>
                    <w:rPr>
                      <w:rFonts w:hint="default" w:ascii="Times New Roman" w:hAnsi="Times New Roman" w:eastAsia="宋体" w:cs="Times New Roman"/>
                      <w:color w:val="auto"/>
                      <w:sz w:val="21"/>
                      <w:szCs w:val="21"/>
                      <w:highlight w:val="none"/>
                      <w:lang w:val="en-US" w:eastAsia="zh-CN" w:bidi="ar"/>
                    </w:rPr>
                    <w:t>供水管网提供</w:t>
                  </w:r>
                </w:p>
              </w:tc>
            </w:tr>
            <w:tr w14:paraId="23C741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0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51CA9C5">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p>
              </w:tc>
              <w:tc>
                <w:tcPr>
                  <w:tcW w:w="32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A67CC9D">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eastAsia" w:ascii="Times New Roman" w:hAnsi="Times New Roman" w:cs="Times New Roman"/>
                      <w:color w:val="auto"/>
                      <w:sz w:val="21"/>
                      <w:szCs w:val="21"/>
                      <w:highlight w:val="none"/>
                      <w:lang w:val="en-US" w:eastAsia="zh-CN" w:bidi="ar"/>
                    </w:rPr>
                    <w:t>2</w:t>
                  </w:r>
                </w:p>
              </w:tc>
              <w:tc>
                <w:tcPr>
                  <w:tcW w:w="55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6F7A21B">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color w:val="auto"/>
                      <w:sz w:val="21"/>
                      <w:szCs w:val="21"/>
                      <w:highlight w:val="none"/>
                      <w:lang w:val="en-US" w:eastAsia="zh-CN" w:bidi="ar"/>
                    </w:rPr>
                    <w:t>电</w:t>
                  </w:r>
                </w:p>
              </w:tc>
              <w:tc>
                <w:tcPr>
                  <w:tcW w:w="73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9F2CB3E">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color w:val="auto"/>
                      <w:sz w:val="21"/>
                      <w:szCs w:val="21"/>
                      <w:highlight w:val="none"/>
                      <w:lang w:val="en-US" w:eastAsia="zh-CN" w:bidi="ar"/>
                    </w:rPr>
                    <w:t>万kW·h/a</w:t>
                  </w:r>
                </w:p>
              </w:tc>
              <w:tc>
                <w:tcPr>
                  <w:tcW w:w="46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48C9464">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eastAsia" w:ascii="Times New Roman" w:hAnsi="Times New Roman" w:cs="Times New Roman"/>
                      <w:color w:val="auto"/>
                      <w:sz w:val="21"/>
                      <w:szCs w:val="21"/>
                      <w:highlight w:val="none"/>
                      <w:lang w:val="en-US" w:eastAsia="zh-CN" w:bidi="ar"/>
                    </w:rPr>
                    <w:t>2</w:t>
                  </w:r>
                  <w:r>
                    <w:rPr>
                      <w:rFonts w:hint="default" w:ascii="Times New Roman" w:hAnsi="Times New Roman" w:eastAsia="宋体" w:cs="Times New Roman"/>
                      <w:color w:val="auto"/>
                      <w:sz w:val="21"/>
                      <w:szCs w:val="21"/>
                      <w:highlight w:val="none"/>
                      <w:lang w:val="en-US" w:eastAsia="zh-CN" w:bidi="ar"/>
                    </w:rPr>
                    <w:t>00</w:t>
                  </w:r>
                </w:p>
              </w:tc>
              <w:tc>
                <w:tcPr>
                  <w:tcW w:w="56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46A1272">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eastAsia" w:ascii="Times New Roman" w:hAnsi="Times New Roman" w:cs="Times New Roman"/>
                      <w:color w:val="auto"/>
                      <w:sz w:val="21"/>
                      <w:szCs w:val="21"/>
                      <w:highlight w:val="none"/>
                      <w:lang w:val="en-US" w:eastAsia="zh-CN" w:bidi="ar"/>
                    </w:rPr>
                    <w:t>/</w:t>
                  </w:r>
                </w:p>
              </w:tc>
              <w:tc>
                <w:tcPr>
                  <w:tcW w:w="67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71702D1">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eastAsia" w:ascii="Times New Roman" w:hAnsi="Times New Roman" w:cs="Times New Roman"/>
                      <w:color w:val="auto"/>
                      <w:sz w:val="21"/>
                      <w:szCs w:val="21"/>
                      <w:highlight w:val="none"/>
                      <w:lang w:val="en-US" w:eastAsia="zh-CN" w:bidi="ar"/>
                    </w:rPr>
                    <w:t>/</w:t>
                  </w:r>
                </w:p>
              </w:tc>
              <w:tc>
                <w:tcPr>
                  <w:tcW w:w="106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716DD87">
                  <w:pPr>
                    <w:widowControl/>
                    <w:spacing w:line="280" w:lineRule="atLeast"/>
                    <w:jc w:val="center"/>
                    <w:rPr>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color w:val="auto"/>
                      <w:sz w:val="21"/>
                      <w:szCs w:val="21"/>
                      <w:highlight w:val="none"/>
                      <w:lang w:val="en-US" w:eastAsia="zh-CN" w:bidi="ar"/>
                    </w:rPr>
                    <w:t>由</w:t>
                  </w:r>
                  <w:r>
                    <w:rPr>
                      <w:rFonts w:hint="eastAsia" w:ascii="Times New Roman" w:hAnsi="Times New Roman" w:cs="Times New Roman"/>
                      <w:color w:val="auto"/>
                      <w:sz w:val="21"/>
                      <w:szCs w:val="21"/>
                      <w:highlight w:val="none"/>
                      <w:lang w:val="en-US" w:eastAsia="zh-CN" w:bidi="ar"/>
                    </w:rPr>
                    <w:t>当地</w:t>
                  </w:r>
                  <w:r>
                    <w:rPr>
                      <w:rFonts w:hint="default" w:ascii="Times New Roman" w:hAnsi="Times New Roman" w:eastAsia="宋体" w:cs="Times New Roman"/>
                      <w:color w:val="auto"/>
                      <w:sz w:val="21"/>
                      <w:szCs w:val="21"/>
                      <w:highlight w:val="none"/>
                      <w:lang w:val="en-US" w:eastAsia="zh-CN" w:bidi="ar"/>
                    </w:rPr>
                    <w:t>供电电网提供</w:t>
                  </w:r>
                </w:p>
              </w:tc>
            </w:tr>
          </w:tbl>
          <w:p w14:paraId="04F33373">
            <w:pPr>
              <w:widowControl/>
              <w:spacing w:line="480" w:lineRule="atLeast"/>
              <w:ind w:firstLine="480" w:firstLineChars="200"/>
              <w:jc w:val="left"/>
              <w:rPr>
                <w:rFonts w:hint="default" w:ascii="Times New Roman" w:hAnsi="Times New Roman" w:cs="Times New Roman"/>
                <w:bCs/>
                <w:color w:val="auto"/>
                <w:sz w:val="24"/>
                <w:szCs w:val="24"/>
                <w:lang w:bidi="ar"/>
              </w:rPr>
            </w:pPr>
            <w:r>
              <w:rPr>
                <w:rFonts w:hint="default" w:ascii="Times New Roman" w:hAnsi="Times New Roman" w:cs="Times New Roman"/>
                <w:bCs/>
                <w:color w:val="auto"/>
                <w:sz w:val="24"/>
                <w:szCs w:val="24"/>
                <w:lang w:bidi="ar"/>
              </w:rPr>
              <w:t>主要原辅材料理化性见表</w:t>
            </w:r>
            <w:r>
              <w:rPr>
                <w:rFonts w:hint="eastAsia" w:ascii="Times New Roman" w:hAnsi="Times New Roman" w:cs="Times New Roman"/>
                <w:bCs/>
                <w:color w:val="auto"/>
                <w:sz w:val="24"/>
                <w:szCs w:val="24"/>
                <w:lang w:val="en-US" w:eastAsia="zh-CN" w:bidi="ar"/>
              </w:rPr>
              <w:t>7。</w:t>
            </w:r>
          </w:p>
          <w:p w14:paraId="7F14AF01">
            <w:pPr>
              <w:widowControl/>
              <w:spacing w:line="480" w:lineRule="atLeast"/>
              <w:jc w:val="center"/>
              <w:rPr>
                <w:rFonts w:hint="default" w:ascii="Times New Roman" w:hAnsi="Times New Roman" w:eastAsia="宋体" w:cs="Times New Roman"/>
                <w:b/>
                <w:color w:val="auto"/>
                <w:sz w:val="24"/>
                <w:szCs w:val="24"/>
                <w:lang w:eastAsia="zh-CN" w:bidi="ar"/>
              </w:rPr>
            </w:pPr>
            <w:r>
              <w:rPr>
                <w:rFonts w:hint="default" w:ascii="Times New Roman" w:hAnsi="Times New Roman" w:cs="Times New Roman"/>
                <w:b/>
                <w:color w:val="auto"/>
                <w:sz w:val="24"/>
                <w:szCs w:val="24"/>
                <w:lang w:bidi="ar"/>
              </w:rPr>
              <w:t>表</w:t>
            </w:r>
            <w:r>
              <w:rPr>
                <w:rFonts w:hint="eastAsia" w:ascii="Times New Roman" w:hAnsi="Times New Roman" w:cs="Times New Roman"/>
                <w:b/>
                <w:color w:val="auto"/>
                <w:sz w:val="24"/>
                <w:szCs w:val="24"/>
                <w:lang w:val="en-US" w:eastAsia="zh-CN" w:bidi="ar"/>
              </w:rPr>
              <w:t>7</w:t>
            </w:r>
            <w:r>
              <w:rPr>
                <w:rFonts w:hint="default" w:ascii="Times New Roman" w:hAnsi="Times New Roman" w:cs="Times New Roman"/>
                <w:b/>
                <w:color w:val="auto"/>
                <w:sz w:val="24"/>
                <w:szCs w:val="24"/>
                <w:lang w:bidi="ar"/>
              </w:rPr>
              <w:t>主要原辅材料理化性质</w:t>
            </w:r>
          </w:p>
          <w:tbl>
            <w:tblPr>
              <w:tblStyle w:val="34"/>
              <w:tblW w:w="490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534"/>
              <w:gridCol w:w="831"/>
              <w:gridCol w:w="6371"/>
            </w:tblGrid>
            <w:tr w14:paraId="60880E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95" w:hRule="atLeast"/>
                <w:jc w:val="center"/>
              </w:trPr>
              <w:tc>
                <w:tcPr>
                  <w:tcW w:w="345" w:type="pct"/>
                  <w:tcBorders>
                    <w:tl2br w:val="nil"/>
                    <w:tr2bl w:val="nil"/>
                  </w:tcBorders>
                  <w:vAlign w:val="center"/>
                </w:tcPr>
                <w:p w14:paraId="532D8D80">
                  <w:pPr>
                    <w:spacing w:line="280" w:lineRule="atLeast"/>
                    <w:jc w:val="center"/>
                    <w:rPr>
                      <w:rFonts w:hint="default" w:ascii="Times New Roman" w:hAnsi="Times New Roman" w:cs="Times New Roman"/>
                      <w:b/>
                      <w:bCs/>
                      <w:color w:val="auto"/>
                      <w:spacing w:val="-10"/>
                      <w:sz w:val="21"/>
                      <w:szCs w:val="21"/>
                    </w:rPr>
                  </w:pPr>
                  <w:r>
                    <w:rPr>
                      <w:rFonts w:hint="default" w:ascii="Times New Roman" w:hAnsi="Times New Roman" w:cs="Times New Roman"/>
                      <w:b/>
                      <w:bCs/>
                      <w:color w:val="auto"/>
                      <w:spacing w:val="-10"/>
                      <w:sz w:val="21"/>
                      <w:szCs w:val="21"/>
                    </w:rPr>
                    <w:t>序号</w:t>
                  </w:r>
                </w:p>
              </w:tc>
              <w:tc>
                <w:tcPr>
                  <w:tcW w:w="537" w:type="pct"/>
                  <w:tcBorders>
                    <w:tl2br w:val="nil"/>
                    <w:tr2bl w:val="nil"/>
                  </w:tcBorders>
                  <w:vAlign w:val="center"/>
                </w:tcPr>
                <w:p w14:paraId="4B19128D">
                  <w:pPr>
                    <w:spacing w:line="280" w:lineRule="atLeas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pacing w:val="5"/>
                      <w:sz w:val="21"/>
                      <w:szCs w:val="21"/>
                    </w:rPr>
                    <w:t>物质</w:t>
                  </w:r>
                </w:p>
              </w:tc>
              <w:tc>
                <w:tcPr>
                  <w:tcW w:w="4117" w:type="pct"/>
                  <w:tcBorders>
                    <w:tl2br w:val="nil"/>
                    <w:tr2bl w:val="nil"/>
                  </w:tcBorders>
                  <w:vAlign w:val="center"/>
                </w:tcPr>
                <w:p w14:paraId="0D817C37">
                  <w:pPr>
                    <w:spacing w:line="280" w:lineRule="atLeas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pacing w:val="5"/>
                      <w:sz w:val="21"/>
                      <w:szCs w:val="21"/>
                    </w:rPr>
                    <w:t>物化性质</w:t>
                  </w:r>
                </w:p>
              </w:tc>
            </w:tr>
            <w:tr w14:paraId="7AFFE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345" w:type="pct"/>
                  <w:tcBorders>
                    <w:tl2br w:val="nil"/>
                    <w:tr2bl w:val="nil"/>
                  </w:tcBorders>
                  <w:vAlign w:val="center"/>
                </w:tcPr>
                <w:p w14:paraId="203275F1">
                  <w:pPr>
                    <w:widowControl/>
                    <w:spacing w:line="280" w:lineRule="atLeast"/>
                    <w:jc w:val="center"/>
                    <w:rPr>
                      <w:rFonts w:hint="default" w:ascii="Times New Roman" w:hAnsi="Times New Roman" w:cs="Times New Roman"/>
                      <w:b/>
                      <w:bCs/>
                      <w:color w:val="auto"/>
                      <w:spacing w:val="-10"/>
                      <w:sz w:val="21"/>
                      <w:szCs w:val="21"/>
                    </w:rPr>
                  </w:pPr>
                  <w:r>
                    <w:rPr>
                      <w:rFonts w:hint="default" w:ascii="Times New Roman" w:hAnsi="Times New Roman" w:cs="Times New Roman"/>
                      <w:color w:val="auto"/>
                      <w:sz w:val="21"/>
                      <w:szCs w:val="21"/>
                      <w:lang w:bidi="ar"/>
                    </w:rPr>
                    <w:t>1</w:t>
                  </w:r>
                </w:p>
              </w:tc>
              <w:tc>
                <w:tcPr>
                  <w:tcW w:w="537" w:type="pct"/>
                  <w:tcBorders>
                    <w:tl2br w:val="nil"/>
                    <w:tr2bl w:val="nil"/>
                  </w:tcBorders>
                  <w:vAlign w:val="center"/>
                </w:tcPr>
                <w:p w14:paraId="66CE8253">
                  <w:pPr>
                    <w:widowControl/>
                    <w:spacing w:line="280" w:lineRule="atLeast"/>
                    <w:jc w:val="center"/>
                    <w:rPr>
                      <w:rFonts w:hint="default" w:ascii="Times New Roman" w:hAnsi="Times New Roman" w:cs="Times New Roman"/>
                      <w:b/>
                      <w:bCs/>
                      <w:color w:val="auto"/>
                      <w:spacing w:val="5"/>
                      <w:sz w:val="21"/>
                      <w:szCs w:val="21"/>
                    </w:rPr>
                  </w:pPr>
                  <w:r>
                    <w:rPr>
                      <w:rFonts w:hint="default" w:ascii="Times New Roman" w:hAnsi="Times New Roman" w:cs="Times New Roman"/>
                      <w:color w:val="auto"/>
                      <w:sz w:val="21"/>
                      <w:szCs w:val="21"/>
                    </w:rPr>
                    <w:t>聚乙烯PE颗粒</w:t>
                  </w:r>
                </w:p>
              </w:tc>
              <w:tc>
                <w:tcPr>
                  <w:tcW w:w="4117" w:type="pct"/>
                  <w:tcBorders>
                    <w:tl2br w:val="nil"/>
                    <w:tr2bl w:val="nil"/>
                  </w:tcBorders>
                  <w:vAlign w:val="center"/>
                </w:tcPr>
                <w:p w14:paraId="31090911">
                  <w:pPr>
                    <w:pStyle w:val="26"/>
                    <w:spacing w:before="0" w:beforeAutospacing="0" w:after="0" w:afterAutospacing="0" w:line="280" w:lineRule="atLeast"/>
                    <w:jc w:val="center"/>
                    <w:rPr>
                      <w:rFonts w:hint="default" w:ascii="Times New Roman" w:hAnsi="Times New Roman" w:eastAsia="宋体" w:cs="Times New Roman"/>
                      <w:b/>
                      <w:bCs/>
                      <w:color w:val="auto"/>
                      <w:spacing w:val="5"/>
                      <w:sz w:val="21"/>
                      <w:szCs w:val="21"/>
                      <w:lang w:val="en-US" w:eastAsia="zh-CN"/>
                    </w:rPr>
                  </w:pPr>
                  <w:r>
                    <w:rPr>
                      <w:rFonts w:hint="default" w:ascii="Times New Roman" w:hAnsi="Times New Roman" w:cs="Times New Roman"/>
                      <w:color w:val="auto"/>
                      <w:sz w:val="21"/>
                      <w:szCs w:val="21"/>
                    </w:rPr>
                    <w:t>无毒、无味、无臭，呈乳白色颗粒，是乙烯与少量高级α-烯烃（如丁烯-1、己烯-1、辛烯-1、四甲基戊烯-1等）在催化剂作用下，经高压或低压聚合而成的一种共聚物颗粒，密度在0.915~0.940g/cm³之间，熔融温度为110℃左右，热分解温度300℃。分解时有少量甲烷总烃产生。</w:t>
                  </w:r>
                  <w:r>
                    <w:rPr>
                      <w:rFonts w:hint="eastAsia" w:ascii="Times New Roman" w:hAnsi="Times New Roman" w:cs="Times New Roman"/>
                      <w:color w:val="auto"/>
                      <w:sz w:val="21"/>
                      <w:szCs w:val="21"/>
                      <w:lang w:eastAsia="zh-CN"/>
                    </w:rPr>
                    <w:t>粒径</w:t>
                  </w:r>
                  <w:r>
                    <w:rPr>
                      <w:rFonts w:hint="eastAsia" w:ascii="Times New Roman" w:hAnsi="Times New Roman" w:cs="Times New Roman"/>
                      <w:color w:val="auto"/>
                      <w:sz w:val="21"/>
                      <w:szCs w:val="21"/>
                      <w:lang w:val="en-US" w:eastAsia="zh-CN"/>
                    </w:rPr>
                    <w:t>3mm-5mm。</w:t>
                  </w:r>
                </w:p>
              </w:tc>
            </w:tr>
            <w:tr w14:paraId="07970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345" w:type="pct"/>
                  <w:tcBorders>
                    <w:tl2br w:val="nil"/>
                    <w:tr2bl w:val="nil"/>
                  </w:tcBorders>
                  <w:vAlign w:val="center"/>
                </w:tcPr>
                <w:p w14:paraId="2B61757F">
                  <w:pPr>
                    <w:widowControl/>
                    <w:spacing w:line="280" w:lineRule="atLeast"/>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2</w:t>
                  </w:r>
                </w:p>
              </w:tc>
              <w:tc>
                <w:tcPr>
                  <w:tcW w:w="537" w:type="pct"/>
                  <w:tcBorders>
                    <w:tl2br w:val="nil"/>
                    <w:tr2bl w:val="nil"/>
                  </w:tcBorders>
                  <w:vAlign w:val="center"/>
                </w:tcPr>
                <w:p w14:paraId="24551A77">
                  <w:pPr>
                    <w:widowControl/>
                    <w:spacing w:line="28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聚丙烯PP颗粒</w:t>
                  </w:r>
                </w:p>
              </w:tc>
              <w:tc>
                <w:tcPr>
                  <w:tcW w:w="4117" w:type="pct"/>
                  <w:tcBorders>
                    <w:tl2br w:val="nil"/>
                    <w:tr2bl w:val="nil"/>
                  </w:tcBorders>
                  <w:vAlign w:val="center"/>
                </w:tcPr>
                <w:p w14:paraId="667BA843">
                  <w:pPr>
                    <w:pStyle w:val="26"/>
                    <w:spacing w:before="0" w:beforeAutospacing="0" w:after="0" w:afterAutospacing="0" w:line="280" w:lineRule="atLeast"/>
                    <w:jc w:val="center"/>
                    <w:rPr>
                      <w:rFonts w:hint="default" w:ascii="Times New Roman" w:hAnsi="Times New Roman" w:cs="Times New Roman"/>
                      <w:b/>
                      <w:bCs/>
                      <w:color w:val="auto"/>
                      <w:spacing w:val="5"/>
                      <w:sz w:val="21"/>
                      <w:szCs w:val="21"/>
                    </w:rPr>
                  </w:pPr>
                  <w:r>
                    <w:rPr>
                      <w:rFonts w:hint="default" w:ascii="Times New Roman" w:hAnsi="Times New Roman" w:cs="Times New Roman"/>
                      <w:color w:val="auto"/>
                      <w:sz w:val="21"/>
                      <w:szCs w:val="21"/>
                    </w:rPr>
                    <w:t>无毒、无味的乳白色高</w:t>
                  </w:r>
                  <w:r>
                    <w:rPr>
                      <w:rFonts w:hint="eastAsia" w:ascii="Times New Roman" w:hAnsi="Times New Roman" w:cs="Times New Roman"/>
                      <w:color w:val="auto"/>
                      <w:sz w:val="21"/>
                      <w:szCs w:val="21"/>
                      <w:lang w:eastAsia="zh-CN"/>
                    </w:rPr>
                    <w:t>结晶</w:t>
                  </w:r>
                  <w:r>
                    <w:rPr>
                      <w:rFonts w:hint="default" w:ascii="Times New Roman" w:hAnsi="Times New Roman" w:cs="Times New Roman"/>
                      <w:color w:val="auto"/>
                      <w:sz w:val="21"/>
                      <w:szCs w:val="21"/>
                    </w:rPr>
                    <w:t>的聚合物，是目前所有塑料中最轻的品种之一。熔融温度160-175℃，热分解温度350℃。分解时有少量甲烷总烃产生。</w:t>
                  </w:r>
                  <w:r>
                    <w:rPr>
                      <w:rFonts w:hint="eastAsia" w:ascii="Times New Roman" w:hAnsi="Times New Roman" w:cs="Times New Roman"/>
                      <w:color w:val="auto"/>
                      <w:sz w:val="21"/>
                      <w:szCs w:val="21"/>
                      <w:lang w:eastAsia="zh-CN"/>
                    </w:rPr>
                    <w:t>粒径</w:t>
                  </w:r>
                  <w:r>
                    <w:rPr>
                      <w:rFonts w:hint="eastAsia" w:ascii="Times New Roman" w:hAnsi="Times New Roman" w:cs="Times New Roman"/>
                      <w:color w:val="auto"/>
                      <w:sz w:val="21"/>
                      <w:szCs w:val="21"/>
                      <w:lang w:val="en-US" w:eastAsia="zh-CN"/>
                    </w:rPr>
                    <w:t>3mm-5mm。</w:t>
                  </w:r>
                </w:p>
              </w:tc>
            </w:tr>
            <w:tr w14:paraId="4F533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345" w:type="pct"/>
                  <w:tcBorders>
                    <w:tl2br w:val="nil"/>
                    <w:tr2bl w:val="nil"/>
                  </w:tcBorders>
                  <w:vAlign w:val="center"/>
                </w:tcPr>
                <w:p w14:paraId="29E7D28A">
                  <w:pPr>
                    <w:widowControl/>
                    <w:spacing w:line="280" w:lineRule="atLeast"/>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3</w:t>
                  </w:r>
                </w:p>
              </w:tc>
              <w:tc>
                <w:tcPr>
                  <w:tcW w:w="537" w:type="pct"/>
                  <w:tcBorders>
                    <w:tl2br w:val="nil"/>
                    <w:tr2bl w:val="nil"/>
                  </w:tcBorders>
                  <w:vAlign w:val="center"/>
                </w:tcPr>
                <w:p w14:paraId="411FB910">
                  <w:pPr>
                    <w:widowControl/>
                    <w:spacing w:line="280" w:lineRule="atLeast"/>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色母</w:t>
                  </w:r>
                </w:p>
              </w:tc>
              <w:tc>
                <w:tcPr>
                  <w:tcW w:w="4117" w:type="pct"/>
                  <w:tcBorders>
                    <w:tl2br w:val="nil"/>
                    <w:tr2bl w:val="nil"/>
                  </w:tcBorders>
                  <w:vAlign w:val="center"/>
                </w:tcPr>
                <w:p w14:paraId="13A55BE7">
                  <w:pPr>
                    <w:pStyle w:val="26"/>
                    <w:spacing w:before="0" w:beforeAutospacing="0" w:after="0" w:afterAutospacing="0" w:line="280" w:lineRule="atLeast"/>
                    <w:jc w:val="center"/>
                    <w:rPr>
                      <w:rFonts w:hint="default" w:ascii="Times New Roman" w:hAnsi="Times New Roman" w:cs="Times New Roman"/>
                      <w:color w:val="auto"/>
                      <w:sz w:val="21"/>
                      <w:szCs w:val="21"/>
                    </w:rPr>
                  </w:pPr>
                  <w:r>
                    <w:rPr>
                      <w:rFonts w:hint="default" w:ascii="Times New Roman" w:hAnsi="Times New Roman" w:eastAsia="宋体" w:cs="Times New Roman"/>
                      <w:b w:val="0"/>
                      <w:bCs w:val="0"/>
                      <w:i w:val="0"/>
                      <w:iCs w:val="0"/>
                      <w:caps w:val="0"/>
                      <w:color w:val="000000" w:themeColor="text1"/>
                      <w:spacing w:val="0"/>
                      <w:sz w:val="21"/>
                      <w:szCs w:val="21"/>
                      <w:shd w:val="clear" w:fill="FFFFFF"/>
                      <w14:textFill>
                        <w14:solidFill>
                          <w14:schemeClr w14:val="tx1"/>
                        </w14:solidFill>
                      </w14:textFill>
                    </w:rPr>
                    <w:t>色母（ColorMasterBatch）的全称叫</w:t>
                  </w:r>
                  <w:r>
                    <w:rPr>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fldChar w:fldCharType="begin"/>
                  </w:r>
                  <w:r>
                    <w:rPr>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instrText xml:space="preserve"> HYPERLINK "https://baike.baidu.com/item/%E8%89%B2%E6%AF%8D%E7%B2%92/735898" \t "https://baike.baidu.com/item/%E8%89%B2%E6%AF%8D/_blank" </w:instrText>
                  </w:r>
                  <w:r>
                    <w:rPr>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fldChar w:fldCharType="separate"/>
                  </w:r>
                  <w:r>
                    <w:rPr>
                      <w:rStyle w:val="38"/>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t>色母粒</w:t>
                  </w:r>
                  <w:r>
                    <w:rPr>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fldChar w:fldCharType="end"/>
                  </w:r>
                  <w:r>
                    <w:rPr>
                      <w:rFonts w:hint="default" w:ascii="Times New Roman" w:hAnsi="Times New Roman" w:eastAsia="宋体" w:cs="Times New Roman"/>
                      <w:b w:val="0"/>
                      <w:bCs w:val="0"/>
                      <w:i w:val="0"/>
                      <w:iCs w:val="0"/>
                      <w:caps w:val="0"/>
                      <w:color w:val="000000" w:themeColor="text1"/>
                      <w:spacing w:val="0"/>
                      <w:sz w:val="21"/>
                      <w:szCs w:val="21"/>
                      <w:shd w:val="clear" w:fill="FFFFFF"/>
                      <w14:textFill>
                        <w14:solidFill>
                          <w14:schemeClr w14:val="tx1"/>
                        </w14:solidFill>
                      </w14:textFill>
                    </w:rPr>
                    <w:t>，也叫</w:t>
                  </w:r>
                  <w:r>
                    <w:rPr>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fldChar w:fldCharType="begin"/>
                  </w:r>
                  <w:r>
                    <w:rPr>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instrText xml:space="preserve"> HYPERLINK "https://baike.baidu.com/item/%E8%89%B2%E7%A7%8D/917214" \t "https://baike.baidu.com/item/%E8%89%B2%E6%AF%8D/_blank" </w:instrText>
                  </w:r>
                  <w:r>
                    <w:rPr>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fldChar w:fldCharType="separate"/>
                  </w:r>
                  <w:r>
                    <w:rPr>
                      <w:rStyle w:val="38"/>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t>色种</w:t>
                  </w:r>
                  <w:r>
                    <w:rPr>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fldChar w:fldCharType="end"/>
                  </w:r>
                  <w:r>
                    <w:rPr>
                      <w:rFonts w:hint="default" w:ascii="Times New Roman" w:hAnsi="Times New Roman" w:eastAsia="宋体" w:cs="Times New Roman"/>
                      <w:b w:val="0"/>
                      <w:bCs w:val="0"/>
                      <w:i w:val="0"/>
                      <w:iCs w:val="0"/>
                      <w:caps w:val="0"/>
                      <w:color w:val="000000" w:themeColor="text1"/>
                      <w:spacing w:val="0"/>
                      <w:sz w:val="21"/>
                      <w:szCs w:val="21"/>
                      <w:shd w:val="clear" w:fill="FFFFFF"/>
                      <w14:textFill>
                        <w14:solidFill>
                          <w14:schemeClr w14:val="tx1"/>
                        </w14:solidFill>
                      </w14:textFill>
                    </w:rPr>
                    <w:t>，是一种新型高分子</w:t>
                  </w:r>
                  <w:r>
                    <w:rPr>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fldChar w:fldCharType="begin"/>
                  </w:r>
                  <w:r>
                    <w:rPr>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instrText xml:space="preserve"> HYPERLINK "https://baike.baidu.com/item/%E6%9D%90%E6%96%99" \t "https://baike.baidu.com/item/%E8%89%B2%E6%AF%8D/_blank" </w:instrText>
                  </w:r>
                  <w:r>
                    <w:rPr>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fldChar w:fldCharType="separate"/>
                  </w:r>
                  <w:r>
                    <w:rPr>
                      <w:rStyle w:val="38"/>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t>材料</w:t>
                  </w:r>
                  <w:r>
                    <w:rPr>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fldChar w:fldCharType="end"/>
                  </w:r>
                  <w:r>
                    <w:rPr>
                      <w:rFonts w:hint="default" w:ascii="Times New Roman" w:hAnsi="Times New Roman" w:eastAsia="宋体" w:cs="Times New Roman"/>
                      <w:b w:val="0"/>
                      <w:bCs w:val="0"/>
                      <w:i w:val="0"/>
                      <w:iCs w:val="0"/>
                      <w:caps w:val="0"/>
                      <w:color w:val="000000" w:themeColor="text1"/>
                      <w:spacing w:val="0"/>
                      <w:sz w:val="21"/>
                      <w:szCs w:val="21"/>
                      <w:shd w:val="clear" w:fill="FFFFFF"/>
                      <w14:textFill>
                        <w14:solidFill>
                          <w14:schemeClr w14:val="tx1"/>
                        </w14:solidFill>
                      </w14:textFill>
                    </w:rPr>
                    <w:t>专用</w:t>
                  </w:r>
                  <w:r>
                    <w:rPr>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fldChar w:fldCharType="begin"/>
                  </w:r>
                  <w:r>
                    <w:rPr>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instrText xml:space="preserve"> HYPERLINK "https://baike.baidu.com/item/%E7%9D%80%E8%89%B2%E5%89%82/2531263" \t "https://baike.baidu.com/item/%E8%89%B2%E6%AF%8D/_blank" </w:instrText>
                  </w:r>
                  <w:r>
                    <w:rPr>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fldChar w:fldCharType="separate"/>
                  </w:r>
                  <w:r>
                    <w:rPr>
                      <w:rStyle w:val="38"/>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t>着色剂</w:t>
                  </w:r>
                  <w:r>
                    <w:rPr>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fldChar w:fldCharType="end"/>
                  </w:r>
                  <w:r>
                    <w:rPr>
                      <w:rFonts w:hint="default" w:ascii="Times New Roman" w:hAnsi="Times New Roman" w:eastAsia="宋体" w:cs="Times New Roman"/>
                      <w:b w:val="0"/>
                      <w:bCs w:val="0"/>
                      <w:i w:val="0"/>
                      <w:iCs w:val="0"/>
                      <w:caps w:val="0"/>
                      <w:color w:val="000000" w:themeColor="text1"/>
                      <w:spacing w:val="0"/>
                      <w:sz w:val="21"/>
                      <w:szCs w:val="21"/>
                      <w:shd w:val="clear" w:fill="FFFFFF"/>
                      <w14:textFill>
                        <w14:solidFill>
                          <w14:schemeClr w14:val="tx1"/>
                        </w14:solidFill>
                      </w14:textFill>
                    </w:rPr>
                    <w:t>，亦称颜料制备物（PigmentPreparation）。色母主要用在塑料上。色母由</w:t>
                  </w:r>
                  <w:r>
                    <w:rPr>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fldChar w:fldCharType="begin"/>
                  </w:r>
                  <w:r>
                    <w:rPr>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instrText xml:space="preserve"> HYPERLINK "https://baike.baidu.com/item/%E9%A2%9C%E6%96%99/465850" \t "https://baike.baidu.com/item/%E8%89%B2%E6%AF%8D/_blank" </w:instrText>
                  </w:r>
                  <w:r>
                    <w:rPr>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fldChar w:fldCharType="separate"/>
                  </w:r>
                  <w:r>
                    <w:rPr>
                      <w:rStyle w:val="38"/>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t>颜料</w:t>
                  </w:r>
                  <w:r>
                    <w:rPr>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fldChar w:fldCharType="end"/>
                  </w:r>
                  <w:r>
                    <w:rPr>
                      <w:rFonts w:hint="default" w:ascii="Times New Roman" w:hAnsi="Times New Roman" w:eastAsia="宋体" w:cs="Times New Roman"/>
                      <w:b w:val="0"/>
                      <w:bCs w:val="0"/>
                      <w:i w:val="0"/>
                      <w:iCs w:val="0"/>
                      <w:caps w:val="0"/>
                      <w:color w:val="000000" w:themeColor="text1"/>
                      <w:spacing w:val="0"/>
                      <w:sz w:val="21"/>
                      <w:szCs w:val="21"/>
                      <w:shd w:val="clear" w:fill="FFFFFF"/>
                      <w14:textFill>
                        <w14:solidFill>
                          <w14:schemeClr w14:val="tx1"/>
                        </w14:solidFill>
                      </w14:textFill>
                    </w:rPr>
                    <w:t>或</w:t>
                  </w:r>
                  <w:r>
                    <w:rPr>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fldChar w:fldCharType="begin"/>
                  </w:r>
                  <w:r>
                    <w:rPr>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instrText xml:space="preserve"> HYPERLINK "https://baike.baidu.com/item/%E6%9F%93%E6%96%99/1145782" \t "https://baike.baidu.com/item/%E8%89%B2%E6%AF%8D/_blank" </w:instrText>
                  </w:r>
                  <w:r>
                    <w:rPr>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fldChar w:fldCharType="separate"/>
                  </w:r>
                  <w:r>
                    <w:rPr>
                      <w:rStyle w:val="38"/>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t>染料</w:t>
                  </w:r>
                  <w:r>
                    <w:rPr>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fldChar w:fldCharType="end"/>
                  </w:r>
                  <w:r>
                    <w:rPr>
                      <w:rFonts w:hint="default" w:ascii="Times New Roman" w:hAnsi="Times New Roman" w:eastAsia="宋体" w:cs="Times New Roman"/>
                      <w:b w:val="0"/>
                      <w:bCs w:val="0"/>
                      <w:i w:val="0"/>
                      <w:iCs w:val="0"/>
                      <w:caps w:val="0"/>
                      <w:color w:val="000000" w:themeColor="text1"/>
                      <w:spacing w:val="0"/>
                      <w:sz w:val="21"/>
                      <w:szCs w:val="21"/>
                      <w:shd w:val="clear" w:fill="FFFFFF"/>
                      <w14:textFill>
                        <w14:solidFill>
                          <w14:schemeClr w14:val="tx1"/>
                        </w14:solidFill>
                      </w14:textFill>
                    </w:rPr>
                    <w:t>、载体和</w:t>
                  </w:r>
                  <w:r>
                    <w:rPr>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fldChar w:fldCharType="begin"/>
                  </w:r>
                  <w:r>
                    <w:rPr>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instrText xml:space="preserve"> HYPERLINK "https://baike.baidu.com/item/%E6%B7%BB%E5%8A%A0%E5%89%82/5134870" \t "https://baike.baidu.com/item/%E8%89%B2%E6%AF%8D/_blank" </w:instrText>
                  </w:r>
                  <w:r>
                    <w:rPr>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fldChar w:fldCharType="separate"/>
                  </w:r>
                  <w:r>
                    <w:rPr>
                      <w:rStyle w:val="38"/>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t>添加剂</w:t>
                  </w:r>
                  <w:r>
                    <w:rPr>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fldChar w:fldCharType="end"/>
                  </w:r>
                  <w:r>
                    <w:rPr>
                      <w:rFonts w:hint="default" w:ascii="Times New Roman" w:hAnsi="Times New Roman" w:eastAsia="宋体" w:cs="Times New Roman"/>
                      <w:b w:val="0"/>
                      <w:bCs w:val="0"/>
                      <w:i w:val="0"/>
                      <w:iCs w:val="0"/>
                      <w:caps w:val="0"/>
                      <w:color w:val="000000" w:themeColor="text1"/>
                      <w:spacing w:val="0"/>
                      <w:sz w:val="21"/>
                      <w:szCs w:val="21"/>
                      <w:shd w:val="clear" w:fill="FFFFFF"/>
                      <w14:textFill>
                        <w14:solidFill>
                          <w14:schemeClr w14:val="tx1"/>
                        </w14:solidFill>
                      </w14:textFill>
                    </w:rPr>
                    <w:t>三种基本要素所组成，是把超常量的</w:t>
                  </w:r>
                  <w:r>
                    <w:rPr>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fldChar w:fldCharType="begin"/>
                  </w:r>
                  <w:r>
                    <w:rPr>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instrText xml:space="preserve"> HYPERLINK "https://baike.baidu.com/item/%E9%A2%9C%E6%96%99/465850" \t "https://baike.baidu.com/item/%E8%89%B2%E6%AF%8D/_blank" </w:instrText>
                  </w:r>
                  <w:r>
                    <w:rPr>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fldChar w:fldCharType="separate"/>
                  </w:r>
                  <w:r>
                    <w:rPr>
                      <w:rStyle w:val="38"/>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t>颜料</w:t>
                  </w:r>
                  <w:r>
                    <w:rPr>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fldChar w:fldCharType="end"/>
                  </w:r>
                  <w:r>
                    <w:rPr>
                      <w:rFonts w:hint="default" w:ascii="Times New Roman" w:hAnsi="Times New Roman" w:eastAsia="宋体" w:cs="Times New Roman"/>
                      <w:b w:val="0"/>
                      <w:bCs w:val="0"/>
                      <w:i w:val="0"/>
                      <w:iCs w:val="0"/>
                      <w:caps w:val="0"/>
                      <w:color w:val="000000" w:themeColor="text1"/>
                      <w:spacing w:val="0"/>
                      <w:sz w:val="21"/>
                      <w:szCs w:val="21"/>
                      <w:shd w:val="clear" w:fill="FFFFFF"/>
                      <w14:textFill>
                        <w14:solidFill>
                          <w14:schemeClr w14:val="tx1"/>
                        </w14:solidFill>
                      </w14:textFill>
                    </w:rPr>
                    <w:t>均匀载附于</w:t>
                  </w:r>
                  <w:r>
                    <w:rPr>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fldChar w:fldCharType="begin"/>
                  </w:r>
                  <w:r>
                    <w:rPr>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instrText xml:space="preserve"> HYPERLINK "https://baike.baidu.com/item/%E6%A0%91%E8%84%82/281282" \t "https://baike.baidu.com/item/%E8%89%B2%E6%AF%8D/_blank" </w:instrText>
                  </w:r>
                  <w:r>
                    <w:rPr>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fldChar w:fldCharType="separate"/>
                  </w:r>
                  <w:r>
                    <w:rPr>
                      <w:rStyle w:val="38"/>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t>树脂</w:t>
                  </w:r>
                  <w:r>
                    <w:rPr>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fldChar w:fldCharType="end"/>
                  </w:r>
                  <w:r>
                    <w:rPr>
                      <w:rFonts w:hint="default" w:ascii="Times New Roman" w:hAnsi="Times New Roman" w:eastAsia="宋体" w:cs="Times New Roman"/>
                      <w:b w:val="0"/>
                      <w:bCs w:val="0"/>
                      <w:i w:val="0"/>
                      <w:iCs w:val="0"/>
                      <w:caps w:val="0"/>
                      <w:color w:val="000000" w:themeColor="text1"/>
                      <w:spacing w:val="0"/>
                      <w:sz w:val="21"/>
                      <w:szCs w:val="21"/>
                      <w:shd w:val="clear" w:fill="FFFFFF"/>
                      <w14:textFill>
                        <w14:solidFill>
                          <w14:schemeClr w14:val="tx1"/>
                        </w14:solidFill>
                      </w14:textFill>
                    </w:rPr>
                    <w:t>之中而制得的聚集体，可称颜料浓缩物（PigmentConcentration），所以它的着色力高于</w:t>
                  </w:r>
                  <w:r>
                    <w:rPr>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fldChar w:fldCharType="begin"/>
                  </w:r>
                  <w:r>
                    <w:rPr>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instrText xml:space="preserve"> HYPERLINK "https://baike.baidu.com/item/%E9%A2%9C%E6%96%99/465850" \t "https://baike.baidu.com/item/%E8%89%B2%E6%AF%8D/_blank" </w:instrText>
                  </w:r>
                  <w:r>
                    <w:rPr>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fldChar w:fldCharType="separate"/>
                  </w:r>
                  <w:r>
                    <w:rPr>
                      <w:rStyle w:val="38"/>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t>颜料</w:t>
                  </w:r>
                  <w:r>
                    <w:rPr>
                      <w:rFonts w:hint="default" w:ascii="Times New Roman" w:hAnsi="Times New Roman" w:eastAsia="宋体" w:cs="Times New Roman"/>
                      <w:b w:val="0"/>
                      <w:bCs w:val="0"/>
                      <w:i w:val="0"/>
                      <w:iCs w:val="0"/>
                      <w:caps w:val="0"/>
                      <w:color w:val="000000" w:themeColor="text1"/>
                      <w:spacing w:val="0"/>
                      <w:sz w:val="21"/>
                      <w:szCs w:val="21"/>
                      <w:u w:val="none"/>
                      <w:shd w:val="clear" w:fill="FFFFFF"/>
                      <w14:textFill>
                        <w14:solidFill>
                          <w14:schemeClr w14:val="tx1"/>
                        </w14:solidFill>
                      </w14:textFill>
                    </w:rPr>
                    <w:fldChar w:fldCharType="end"/>
                  </w:r>
                  <w:r>
                    <w:rPr>
                      <w:rFonts w:hint="default" w:ascii="Times New Roman" w:hAnsi="Times New Roman" w:eastAsia="宋体" w:cs="Times New Roman"/>
                      <w:b w:val="0"/>
                      <w:bCs w:val="0"/>
                      <w:i w:val="0"/>
                      <w:iCs w:val="0"/>
                      <w:caps w:val="0"/>
                      <w:color w:val="000000" w:themeColor="text1"/>
                      <w:spacing w:val="0"/>
                      <w:sz w:val="21"/>
                      <w:szCs w:val="21"/>
                      <w:shd w:val="clear" w:fill="FFFFFF"/>
                      <w14:textFill>
                        <w14:solidFill>
                          <w14:schemeClr w14:val="tx1"/>
                        </w14:solidFill>
                      </w14:textFill>
                    </w:rPr>
                    <w:t>本身。加工时用少量色母料和未着色树脂掺混，就可达到设计颜料浓度的着色树脂或制品。</w:t>
                  </w:r>
                </w:p>
              </w:tc>
            </w:tr>
            <w:tr w14:paraId="6CD80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345" w:type="pct"/>
                  <w:tcBorders>
                    <w:tl2br w:val="nil"/>
                    <w:tr2bl w:val="nil"/>
                  </w:tcBorders>
                  <w:vAlign w:val="center"/>
                </w:tcPr>
                <w:p w14:paraId="7E80F234">
                  <w:pPr>
                    <w:widowControl/>
                    <w:spacing w:line="280" w:lineRule="atLeast"/>
                    <w:jc w:val="center"/>
                    <w:rPr>
                      <w:rFonts w:hint="default" w:ascii="Times New Roman" w:hAnsi="Times New Roman" w:cs="Times New Roman"/>
                      <w:color w:val="auto"/>
                      <w:sz w:val="21"/>
                      <w:szCs w:val="21"/>
                      <w:lang w:val="en-US" w:eastAsia="zh-CN" w:bidi="ar"/>
                    </w:rPr>
                  </w:pPr>
                  <w:r>
                    <w:rPr>
                      <w:rFonts w:hint="eastAsia" w:ascii="Times New Roman" w:hAnsi="Times New Roman" w:cs="Times New Roman"/>
                      <w:color w:val="auto"/>
                      <w:sz w:val="21"/>
                      <w:szCs w:val="21"/>
                      <w:lang w:val="en-US" w:eastAsia="zh-CN" w:bidi="ar"/>
                    </w:rPr>
                    <w:t>3</w:t>
                  </w:r>
                </w:p>
              </w:tc>
              <w:tc>
                <w:tcPr>
                  <w:tcW w:w="537" w:type="pct"/>
                  <w:tcBorders>
                    <w:tl2br w:val="nil"/>
                    <w:tr2bl w:val="nil"/>
                  </w:tcBorders>
                  <w:vAlign w:val="center"/>
                </w:tcPr>
                <w:p w14:paraId="230A97F4">
                  <w:pPr>
                    <w:widowControl/>
                    <w:spacing w:line="280" w:lineRule="atLeast"/>
                    <w:jc w:val="center"/>
                    <w:rPr>
                      <w:rFonts w:hint="default"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机油</w:t>
                  </w:r>
                </w:p>
              </w:tc>
              <w:tc>
                <w:tcPr>
                  <w:tcW w:w="4117" w:type="pct"/>
                  <w:tcBorders>
                    <w:tl2br w:val="nil"/>
                    <w:tr2bl w:val="nil"/>
                  </w:tcBorders>
                  <w:vAlign w:val="center"/>
                </w:tcPr>
                <w:p w14:paraId="4F7696E2">
                  <w:pPr>
                    <w:widowControl/>
                    <w:spacing w:line="280" w:lineRule="atLeast"/>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kern w:val="2"/>
                      <w:sz w:val="21"/>
                      <w:szCs w:val="21"/>
                      <w:lang w:val="en-US" w:eastAsia="zh-CN" w:bidi="ar-SA"/>
                    </w:rPr>
                    <w:t>分子量230~500，油状液体，淡黄色至褐色，无气味或略带气味，不溶于水，闪点76℃</w:t>
                  </w:r>
                </w:p>
              </w:tc>
            </w:tr>
          </w:tbl>
          <w:p w14:paraId="58689089">
            <w:pPr>
              <w:pStyle w:val="5"/>
              <w:spacing w:after="0" w:line="500" w:lineRule="exact"/>
              <w:ind w:left="0" w:leftChars="0" w:firstLine="482" w:firstLineChars="200"/>
              <w:rPr>
                <w:rFonts w:hint="default" w:ascii="Times New Roman" w:hAnsi="Times New Roman" w:cs="Times New Roman"/>
                <w:b/>
                <w:bCs/>
                <w:color w:val="auto"/>
                <w:szCs w:val="24"/>
                <w:highlight w:val="none"/>
              </w:rPr>
            </w:pPr>
            <w:r>
              <w:rPr>
                <w:rFonts w:hint="default" w:ascii="Times New Roman" w:hAnsi="Times New Roman" w:cs="Times New Roman"/>
                <w:b/>
                <w:bCs/>
                <w:color w:val="auto"/>
                <w:szCs w:val="24"/>
                <w:highlight w:val="none"/>
              </w:rPr>
              <w:t>4、产品方案及产能</w:t>
            </w:r>
          </w:p>
          <w:p w14:paraId="1DE355A9">
            <w:pPr>
              <w:pStyle w:val="5"/>
              <w:spacing w:after="0" w:line="500" w:lineRule="exact"/>
              <w:rPr>
                <w:rFonts w:hint="default" w:ascii="Times New Roman" w:hAnsi="Times New Roman" w:cs="Times New Roman"/>
                <w:color w:val="auto"/>
                <w:szCs w:val="24"/>
              </w:rPr>
            </w:pPr>
            <w:r>
              <w:rPr>
                <w:rFonts w:hint="default" w:ascii="Times New Roman" w:hAnsi="Times New Roman" w:cs="Times New Roman"/>
                <w:color w:val="auto"/>
                <w:szCs w:val="24"/>
                <w:highlight w:val="none"/>
              </w:rPr>
              <w:t>本项目建成后</w:t>
            </w:r>
            <w:r>
              <w:rPr>
                <w:rFonts w:hint="default" w:ascii="Times New Roman" w:hAnsi="Times New Roman" w:cs="Times New Roman"/>
                <w:color w:val="auto"/>
                <w:szCs w:val="24"/>
                <w:highlight w:val="none"/>
                <w:lang w:eastAsia="zh-CN"/>
              </w:rPr>
              <w:t>年产 50 万套置物架项目</w:t>
            </w:r>
            <w:r>
              <w:rPr>
                <w:rFonts w:hint="default" w:ascii="Times New Roman" w:hAnsi="Times New Roman" w:cs="Times New Roman"/>
                <w:color w:val="auto"/>
                <w:szCs w:val="24"/>
                <w:lang w:eastAsia="zh-CN"/>
              </w:rPr>
              <w:t>，</w:t>
            </w:r>
            <w:r>
              <w:rPr>
                <w:rFonts w:hint="default" w:ascii="Times New Roman" w:hAnsi="Times New Roman" w:cs="Times New Roman"/>
                <w:color w:val="auto"/>
                <w:szCs w:val="24"/>
              </w:rPr>
              <w:t>项目产品方案及产品规模见表</w:t>
            </w:r>
            <w:r>
              <w:rPr>
                <w:rFonts w:hint="eastAsia" w:ascii="Times New Roman" w:hAnsi="Times New Roman" w:cs="Times New Roman"/>
                <w:color w:val="auto"/>
                <w:szCs w:val="24"/>
                <w:lang w:val="en-US" w:eastAsia="zh-CN"/>
              </w:rPr>
              <w:t>8</w:t>
            </w:r>
            <w:r>
              <w:rPr>
                <w:rFonts w:hint="default" w:ascii="Times New Roman" w:hAnsi="Times New Roman" w:cs="Times New Roman"/>
                <w:color w:val="auto"/>
                <w:szCs w:val="24"/>
              </w:rPr>
              <w:t>。</w:t>
            </w:r>
          </w:p>
          <w:p w14:paraId="3655835D">
            <w:pPr>
              <w:pStyle w:val="4"/>
              <w:spacing w:line="500" w:lineRule="exact"/>
              <w:ind w:firstLine="482"/>
              <w:jc w:val="center"/>
              <w:rPr>
                <w:rFonts w:hint="default" w:ascii="Times New Roman" w:hAnsi="Times New Roman" w:cs="Times New Roman"/>
                <w:color w:val="auto"/>
                <w:sz w:val="24"/>
                <w:szCs w:val="24"/>
              </w:rPr>
            </w:pPr>
            <w:r>
              <w:rPr>
                <w:rFonts w:hint="default" w:ascii="Times New Roman" w:hAnsi="Times New Roman" w:cs="Times New Roman"/>
                <w:b/>
                <w:bCs/>
                <w:color w:val="auto"/>
                <w:sz w:val="24"/>
                <w:szCs w:val="24"/>
              </w:rPr>
              <w:t>表</w:t>
            </w:r>
            <w:r>
              <w:rPr>
                <w:rFonts w:hint="eastAsia" w:ascii="Times New Roman" w:hAnsi="Times New Roman" w:cs="Times New Roman"/>
                <w:b/>
                <w:bCs/>
                <w:color w:val="auto"/>
                <w:sz w:val="24"/>
                <w:szCs w:val="24"/>
                <w:lang w:val="en-US" w:eastAsia="zh-CN"/>
              </w:rPr>
              <w:t>8</w:t>
            </w:r>
            <w:r>
              <w:rPr>
                <w:rFonts w:hint="default" w:ascii="Times New Roman" w:hAnsi="Times New Roman" w:cs="Times New Roman"/>
                <w:b/>
                <w:bCs/>
                <w:color w:val="auto"/>
                <w:sz w:val="24"/>
                <w:szCs w:val="24"/>
              </w:rPr>
              <w:t>项目产品方案及生产规模一览表</w:t>
            </w:r>
          </w:p>
          <w:tbl>
            <w:tblPr>
              <w:tblStyle w:val="34"/>
              <w:tblW w:w="494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9"/>
              <w:gridCol w:w="2777"/>
              <w:gridCol w:w="2975"/>
              <w:gridCol w:w="1373"/>
            </w:tblGrid>
            <w:tr w14:paraId="197BD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429" w:type="pct"/>
                  <w:vAlign w:val="center"/>
                </w:tcPr>
                <w:p w14:paraId="1C637260">
                  <w:pPr>
                    <w:pStyle w:val="29"/>
                    <w:spacing w:after="0" w:line="280" w:lineRule="atLeast"/>
                    <w:ind w:left="0" w:leftChars="0" w:firstLine="0"/>
                    <w:jc w:val="center"/>
                    <w:textAlignment w:val="baseline"/>
                    <w:rPr>
                      <w:rFonts w:hint="default" w:ascii="Times New Roman" w:hAnsi="Times New Roman" w:cs="Times New Roman"/>
                      <w:b/>
                      <w:bCs/>
                      <w:color w:val="auto"/>
                      <w:szCs w:val="21"/>
                    </w:rPr>
                  </w:pPr>
                  <w:r>
                    <w:rPr>
                      <w:rFonts w:hint="default" w:ascii="Times New Roman" w:hAnsi="Times New Roman" w:cs="Times New Roman"/>
                      <w:b/>
                      <w:bCs/>
                      <w:color w:val="auto"/>
                      <w:szCs w:val="21"/>
                    </w:rPr>
                    <w:t>序号</w:t>
                  </w:r>
                </w:p>
              </w:tc>
              <w:tc>
                <w:tcPr>
                  <w:tcW w:w="1781" w:type="pct"/>
                  <w:vAlign w:val="center"/>
                </w:tcPr>
                <w:p w14:paraId="18D59291">
                  <w:pPr>
                    <w:pStyle w:val="29"/>
                    <w:spacing w:after="0" w:line="280" w:lineRule="atLeast"/>
                    <w:ind w:left="0" w:leftChars="0" w:firstLine="0"/>
                    <w:jc w:val="center"/>
                    <w:textAlignment w:val="baseline"/>
                    <w:rPr>
                      <w:rFonts w:hint="default" w:ascii="Times New Roman" w:hAnsi="Times New Roman" w:cs="Times New Roman"/>
                      <w:b/>
                      <w:bCs/>
                      <w:color w:val="auto"/>
                      <w:szCs w:val="21"/>
                    </w:rPr>
                  </w:pPr>
                  <w:r>
                    <w:rPr>
                      <w:rFonts w:hint="default" w:ascii="Times New Roman" w:hAnsi="Times New Roman" w:cs="Times New Roman"/>
                      <w:b/>
                      <w:bCs/>
                      <w:color w:val="auto"/>
                      <w:szCs w:val="21"/>
                    </w:rPr>
                    <w:t>分类</w:t>
                  </w:r>
                </w:p>
              </w:tc>
              <w:tc>
                <w:tcPr>
                  <w:tcW w:w="1908" w:type="pct"/>
                  <w:vAlign w:val="center"/>
                </w:tcPr>
                <w:p w14:paraId="65CA4BBD">
                  <w:pPr>
                    <w:widowControl/>
                    <w:spacing w:line="280" w:lineRule="atLeas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数量</w:t>
                  </w:r>
                </w:p>
              </w:tc>
              <w:tc>
                <w:tcPr>
                  <w:tcW w:w="880" w:type="pct"/>
                  <w:vAlign w:val="center"/>
                </w:tcPr>
                <w:p w14:paraId="3B415018">
                  <w:pPr>
                    <w:spacing w:line="280" w:lineRule="atLeast"/>
                    <w:jc w:val="center"/>
                    <w:textAlignment w:val="baseline"/>
                    <w:rPr>
                      <w:rFonts w:hint="default" w:ascii="Times New Roman" w:hAnsi="Times New Roman" w:cs="Times New Roman"/>
                      <w:color w:val="auto"/>
                      <w:sz w:val="21"/>
                      <w:szCs w:val="21"/>
                    </w:rPr>
                  </w:pPr>
                  <w:r>
                    <w:rPr>
                      <w:rFonts w:hint="default" w:ascii="Times New Roman" w:hAnsi="Times New Roman" w:cs="Times New Roman"/>
                      <w:b/>
                      <w:bCs/>
                      <w:color w:val="auto"/>
                      <w:sz w:val="21"/>
                      <w:szCs w:val="21"/>
                    </w:rPr>
                    <w:t>单位</w:t>
                  </w:r>
                </w:p>
              </w:tc>
            </w:tr>
            <w:tr w14:paraId="7D7C4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jc w:val="center"/>
              </w:trPr>
              <w:tc>
                <w:tcPr>
                  <w:tcW w:w="429" w:type="pct"/>
                  <w:vAlign w:val="center"/>
                </w:tcPr>
                <w:p w14:paraId="08116906">
                  <w:pPr>
                    <w:spacing w:line="280" w:lineRule="atLeast"/>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1781" w:type="pct"/>
                  <w:vAlign w:val="center"/>
                </w:tcPr>
                <w:p w14:paraId="07743164">
                  <w:pPr>
                    <w:spacing w:line="280" w:lineRule="atLeast"/>
                    <w:jc w:val="center"/>
                    <w:textAlignment w:val="baseline"/>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置物架</w:t>
                  </w:r>
                </w:p>
              </w:tc>
              <w:tc>
                <w:tcPr>
                  <w:tcW w:w="1908" w:type="pct"/>
                  <w:vAlign w:val="center"/>
                </w:tcPr>
                <w:p w14:paraId="0FCE65D3">
                  <w:pPr>
                    <w:spacing w:line="280" w:lineRule="atLeast"/>
                    <w:jc w:val="center"/>
                    <w:textAlignment w:val="baseline"/>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50</w:t>
                  </w:r>
                </w:p>
              </w:tc>
              <w:tc>
                <w:tcPr>
                  <w:tcW w:w="880" w:type="pct"/>
                  <w:vAlign w:val="center"/>
                </w:tcPr>
                <w:p w14:paraId="5624B66C">
                  <w:pPr>
                    <w:spacing w:line="280" w:lineRule="atLeast"/>
                    <w:jc w:val="center"/>
                    <w:textAlignment w:val="baseline"/>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万套/a</w:t>
                  </w:r>
                </w:p>
              </w:tc>
            </w:tr>
          </w:tbl>
          <w:p w14:paraId="34919A2E">
            <w:pPr>
              <w:widowControl/>
              <w:spacing w:line="480" w:lineRule="atLeast"/>
              <w:ind w:firstLine="560" w:firstLineChars="200"/>
              <w:jc w:val="left"/>
              <w:rPr>
                <w:rFonts w:hint="default" w:ascii="Times New Roman" w:hAnsi="Times New Roman" w:cs="Times New Roman"/>
                <w:b/>
                <w:color w:val="auto"/>
                <w:sz w:val="24"/>
                <w:szCs w:val="24"/>
                <w:lang w:bidi="ar"/>
              </w:rPr>
            </w:pPr>
            <w:r>
              <w:drawing>
                <wp:anchor distT="0" distB="0" distL="114300" distR="114300" simplePos="0" relativeHeight="251680768" behindDoc="0" locked="0" layoutInCell="1" allowOverlap="1">
                  <wp:simplePos x="0" y="0"/>
                  <wp:positionH relativeFrom="column">
                    <wp:posOffset>175895</wp:posOffset>
                  </wp:positionH>
                  <wp:positionV relativeFrom="paragraph">
                    <wp:posOffset>40005</wp:posOffset>
                  </wp:positionV>
                  <wp:extent cx="4695825" cy="1885950"/>
                  <wp:effectExtent l="0" t="0" r="9525" b="0"/>
                  <wp:wrapNone/>
                  <wp:docPr id="1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4"/>
                          <pic:cNvPicPr>
                            <a:picLocks noChangeAspect="1"/>
                          </pic:cNvPicPr>
                        </pic:nvPicPr>
                        <pic:blipFill>
                          <a:blip r:embed="rId12"/>
                          <a:stretch>
                            <a:fillRect/>
                          </a:stretch>
                        </pic:blipFill>
                        <pic:spPr>
                          <a:xfrm>
                            <a:off x="0" y="0"/>
                            <a:ext cx="4695825" cy="1885950"/>
                          </a:xfrm>
                          <a:prstGeom prst="rect">
                            <a:avLst/>
                          </a:prstGeom>
                          <a:noFill/>
                          <a:ln>
                            <a:noFill/>
                          </a:ln>
                        </pic:spPr>
                      </pic:pic>
                    </a:graphicData>
                  </a:graphic>
                </wp:anchor>
              </w:drawing>
            </w:r>
          </w:p>
          <w:p w14:paraId="2B9F824A">
            <w:pPr>
              <w:widowControl/>
              <w:spacing w:line="480" w:lineRule="atLeast"/>
              <w:ind w:firstLine="482" w:firstLineChars="200"/>
              <w:jc w:val="left"/>
              <w:rPr>
                <w:rFonts w:hint="default" w:ascii="Times New Roman" w:hAnsi="Times New Roman" w:cs="Times New Roman"/>
                <w:b/>
                <w:color w:val="auto"/>
                <w:sz w:val="24"/>
                <w:szCs w:val="24"/>
                <w:lang w:bidi="ar"/>
              </w:rPr>
            </w:pPr>
          </w:p>
          <w:p w14:paraId="2521C517">
            <w:pPr>
              <w:widowControl/>
              <w:spacing w:line="480" w:lineRule="atLeast"/>
              <w:ind w:firstLine="482" w:firstLineChars="200"/>
              <w:jc w:val="left"/>
              <w:rPr>
                <w:rFonts w:hint="default" w:ascii="Times New Roman" w:hAnsi="Times New Roman" w:cs="Times New Roman"/>
                <w:b/>
                <w:color w:val="auto"/>
                <w:sz w:val="24"/>
                <w:szCs w:val="24"/>
                <w:lang w:bidi="ar"/>
              </w:rPr>
            </w:pPr>
          </w:p>
          <w:p w14:paraId="69411BD3">
            <w:pPr>
              <w:widowControl/>
              <w:spacing w:line="480" w:lineRule="atLeast"/>
              <w:ind w:firstLine="482" w:firstLineChars="200"/>
              <w:jc w:val="left"/>
              <w:rPr>
                <w:rFonts w:hint="default" w:ascii="Times New Roman" w:hAnsi="Times New Roman" w:cs="Times New Roman"/>
                <w:b/>
                <w:color w:val="auto"/>
                <w:sz w:val="24"/>
                <w:szCs w:val="24"/>
                <w:lang w:bidi="ar"/>
              </w:rPr>
            </w:pPr>
          </w:p>
          <w:p w14:paraId="28F1754A">
            <w:pPr>
              <w:widowControl/>
              <w:spacing w:line="480" w:lineRule="atLeast"/>
              <w:ind w:firstLine="482" w:firstLineChars="200"/>
              <w:jc w:val="left"/>
              <w:rPr>
                <w:rFonts w:hint="default" w:ascii="Times New Roman" w:hAnsi="Times New Roman" w:cs="Times New Roman"/>
                <w:b/>
                <w:color w:val="auto"/>
                <w:sz w:val="24"/>
                <w:szCs w:val="24"/>
                <w:lang w:bidi="ar"/>
              </w:rPr>
            </w:pPr>
          </w:p>
          <w:p w14:paraId="52ED5921">
            <w:pPr>
              <w:widowControl/>
              <w:spacing w:line="480" w:lineRule="atLeast"/>
              <w:jc w:val="left"/>
              <w:rPr>
                <w:rFonts w:hint="default" w:ascii="Times New Roman" w:hAnsi="Times New Roman" w:cs="Times New Roman"/>
                <w:b/>
                <w:color w:val="auto"/>
                <w:sz w:val="24"/>
                <w:szCs w:val="24"/>
                <w:lang w:bidi="ar"/>
              </w:rPr>
            </w:pPr>
          </w:p>
          <w:p w14:paraId="784A5C0D">
            <w:pPr>
              <w:widowControl/>
              <w:spacing w:line="480" w:lineRule="atLeast"/>
              <w:ind w:firstLine="482" w:firstLineChars="200"/>
              <w:jc w:val="center"/>
              <w:rPr>
                <w:rFonts w:hint="default" w:ascii="Times New Roman" w:hAnsi="Times New Roman" w:eastAsia="宋体" w:cs="Times New Roman"/>
                <w:b/>
                <w:color w:val="000000" w:themeColor="text1"/>
                <w:sz w:val="24"/>
                <w:szCs w:val="24"/>
                <w:lang w:val="en-US" w:eastAsia="zh-CN" w:bidi="ar"/>
                <w14:textFill>
                  <w14:solidFill>
                    <w14:schemeClr w14:val="tx1"/>
                  </w14:solidFill>
                </w14:textFill>
              </w:rPr>
            </w:pPr>
            <w:r>
              <w:rPr>
                <w:rFonts w:hint="eastAsia" w:ascii="Times New Roman" w:hAnsi="Times New Roman" w:cs="Times New Roman"/>
                <w:b/>
                <w:color w:val="000000" w:themeColor="text1"/>
                <w:sz w:val="24"/>
                <w:szCs w:val="24"/>
                <w:lang w:eastAsia="zh-CN" w:bidi="ar"/>
                <w14:textFill>
                  <w14:solidFill>
                    <w14:schemeClr w14:val="tx1"/>
                  </w14:solidFill>
                </w14:textFill>
              </w:rPr>
              <w:t>图</w:t>
            </w:r>
            <w:r>
              <w:rPr>
                <w:rFonts w:hint="eastAsia" w:ascii="Times New Roman" w:hAnsi="Times New Roman" w:cs="Times New Roman"/>
                <w:b/>
                <w:color w:val="000000" w:themeColor="text1"/>
                <w:sz w:val="24"/>
                <w:szCs w:val="24"/>
                <w:lang w:val="en-US" w:eastAsia="zh-CN" w:bidi="ar"/>
                <w14:textFill>
                  <w14:solidFill>
                    <w14:schemeClr w14:val="tx1"/>
                  </w14:solidFill>
                </w14:textFill>
              </w:rPr>
              <w:t>2 VOC平衡图</w:t>
            </w:r>
          </w:p>
          <w:p w14:paraId="3BCF8D48">
            <w:pPr>
              <w:widowControl/>
              <w:spacing w:line="480" w:lineRule="atLeast"/>
              <w:ind w:firstLine="482" w:firstLineChars="200"/>
              <w:jc w:val="left"/>
              <w:rPr>
                <w:rFonts w:hint="default" w:ascii="Times New Roman" w:hAnsi="Times New Roman" w:eastAsia="宋体" w:cs="Times New Roman"/>
                <w:color w:val="auto"/>
                <w:sz w:val="24"/>
                <w:szCs w:val="24"/>
                <w:lang w:eastAsia="zh-CN"/>
              </w:rPr>
            </w:pPr>
            <w:r>
              <w:rPr>
                <w:rFonts w:hint="default" w:ascii="Times New Roman" w:hAnsi="Times New Roman" w:cs="Times New Roman"/>
                <w:b/>
                <w:color w:val="auto"/>
                <w:sz w:val="24"/>
                <w:szCs w:val="24"/>
                <w:lang w:bidi="ar"/>
              </w:rPr>
              <w:t>5、劳动定员及制度</w:t>
            </w:r>
          </w:p>
          <w:p w14:paraId="1B8B5E34">
            <w:pPr>
              <w:widowControl/>
              <w:spacing w:line="480" w:lineRule="atLeast"/>
              <w:ind w:firstLine="480" w:firstLineChars="20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lang w:bidi="ar"/>
              </w:rPr>
              <w:t>公司劳动定员</w:t>
            </w:r>
            <w:r>
              <w:rPr>
                <w:rFonts w:hint="eastAsia" w:ascii="Times New Roman" w:hAnsi="Times New Roman" w:cs="Times New Roman"/>
                <w:color w:val="auto"/>
                <w:sz w:val="24"/>
                <w:szCs w:val="24"/>
                <w:lang w:val="en-US" w:eastAsia="zh-CN" w:bidi="ar"/>
              </w:rPr>
              <w:t>12</w:t>
            </w:r>
            <w:r>
              <w:rPr>
                <w:rFonts w:hint="default" w:ascii="Times New Roman" w:hAnsi="Times New Roman" w:cs="Times New Roman"/>
                <w:color w:val="auto"/>
                <w:sz w:val="24"/>
                <w:szCs w:val="24"/>
                <w:lang w:bidi="ar"/>
              </w:rPr>
              <w:t>人，</w:t>
            </w:r>
            <w:r>
              <w:rPr>
                <w:rFonts w:hint="default" w:ascii="Times New Roman" w:hAnsi="Times New Roman" w:cs="Times New Roman"/>
                <w:color w:val="auto"/>
                <w:sz w:val="24"/>
                <w:szCs w:val="24"/>
                <w:lang w:eastAsia="zh-CN" w:bidi="ar"/>
              </w:rPr>
              <w:t>单</w:t>
            </w:r>
            <w:r>
              <w:rPr>
                <w:rFonts w:hint="default" w:ascii="Times New Roman" w:hAnsi="Times New Roman" w:cs="Times New Roman"/>
                <w:color w:val="auto"/>
                <w:sz w:val="24"/>
                <w:szCs w:val="24"/>
                <w:lang w:bidi="ar"/>
              </w:rPr>
              <w:t>班工作制，每班工作8小时，年工作300天。</w:t>
            </w:r>
          </w:p>
          <w:p w14:paraId="155724D9">
            <w:pPr>
              <w:widowControl/>
              <w:spacing w:line="480" w:lineRule="atLeast"/>
              <w:ind w:firstLine="482" w:firstLineChars="200"/>
              <w:jc w:val="left"/>
              <w:rPr>
                <w:rFonts w:hint="default" w:ascii="Times New Roman" w:hAnsi="Times New Roman" w:eastAsia="宋体" w:cs="Times New Roman"/>
                <w:b/>
                <w:color w:val="auto"/>
                <w:sz w:val="24"/>
                <w:szCs w:val="24"/>
                <w:lang w:eastAsia="zh-CN" w:bidi="ar"/>
              </w:rPr>
            </w:pPr>
            <w:r>
              <w:rPr>
                <w:rFonts w:hint="default" w:ascii="Times New Roman" w:hAnsi="Times New Roman" w:cs="Times New Roman"/>
                <w:b/>
                <w:color w:val="auto"/>
                <w:sz w:val="24"/>
                <w:szCs w:val="24"/>
                <w:lang w:bidi="ar"/>
              </w:rPr>
              <w:t>6、厂区平面布置</w:t>
            </w:r>
          </w:p>
          <w:p w14:paraId="1E18049E">
            <w:pPr>
              <w:widowControl/>
              <w:spacing w:line="480" w:lineRule="atLeast"/>
              <w:ind w:firstLine="480" w:firstLineChars="200"/>
              <w:jc w:val="left"/>
              <w:rPr>
                <w:rFonts w:hint="default" w:ascii="Times New Roman" w:hAnsi="Times New Roman" w:cs="Times New Roman"/>
                <w:color w:val="auto"/>
                <w:sz w:val="24"/>
                <w:szCs w:val="24"/>
                <w:lang w:bidi="ar"/>
              </w:rPr>
            </w:pPr>
            <w:r>
              <w:rPr>
                <w:rFonts w:hint="eastAsia" w:ascii="Times New Roman" w:hAnsi="Times New Roman" w:cs="Times New Roman"/>
                <w:color w:val="auto"/>
                <w:sz w:val="24"/>
                <w:szCs w:val="24"/>
                <w:lang w:eastAsia="zh-CN" w:bidi="ar"/>
              </w:rPr>
              <w:t>永清县感迈塑料制品有限公司</w:t>
            </w:r>
            <w:r>
              <w:rPr>
                <w:rFonts w:hint="default" w:ascii="Times New Roman" w:hAnsi="Times New Roman" w:cs="Times New Roman"/>
                <w:color w:val="auto"/>
                <w:sz w:val="24"/>
                <w:szCs w:val="24"/>
                <w:lang w:bidi="ar"/>
              </w:rPr>
              <w:t>位于</w:t>
            </w:r>
            <w:r>
              <w:rPr>
                <w:rFonts w:hint="eastAsia" w:ascii="Times New Roman" w:hAnsi="Times New Roman" w:cs="Times New Roman"/>
                <w:color w:val="auto"/>
                <w:sz w:val="24"/>
                <w:szCs w:val="24"/>
                <w:lang w:eastAsia="zh-CN" w:bidi="ar"/>
              </w:rPr>
              <w:t>河北省廊坊市永清县刘街乡小五间房村北</w:t>
            </w:r>
            <w:r>
              <w:rPr>
                <w:rFonts w:hint="default" w:ascii="Times New Roman" w:hAnsi="Times New Roman" w:cs="Times New Roman"/>
                <w:color w:val="auto"/>
                <w:sz w:val="24"/>
                <w:szCs w:val="24"/>
                <w:lang w:bidi="ar"/>
              </w:rPr>
              <w:t>，</w:t>
            </w:r>
            <w:r>
              <w:rPr>
                <w:rFonts w:hint="eastAsia" w:ascii="Times New Roman" w:hAnsi="Times New Roman" w:cs="Times New Roman"/>
                <w:color w:val="auto"/>
                <w:sz w:val="24"/>
                <w:szCs w:val="24"/>
                <w:lang w:eastAsia="zh-CN" w:bidi="ar"/>
              </w:rPr>
              <w:t>办公区位于厂区北侧，危废间位于库房内西南侧，大门位于厂区西北侧，生产车间位于厂区东侧。</w:t>
            </w:r>
            <w:r>
              <w:rPr>
                <w:rFonts w:hint="default" w:ascii="Times New Roman" w:hAnsi="Times New Roman" w:cs="Times New Roman"/>
                <w:color w:val="auto"/>
                <w:sz w:val="24"/>
              </w:rPr>
              <w:t>项目充分考虑安全、合理等要求，按各种不同功能的设施进行分区和组合，力求平面布置紧凑合理，节省用地，方便管理。</w:t>
            </w:r>
          </w:p>
          <w:p w14:paraId="38BBBB23">
            <w:pPr>
              <w:widowControl/>
              <w:spacing w:line="480" w:lineRule="atLeast"/>
              <w:ind w:firstLine="482" w:firstLineChars="200"/>
              <w:jc w:val="left"/>
              <w:rPr>
                <w:rFonts w:hint="default" w:ascii="Times New Roman" w:hAnsi="Times New Roman" w:eastAsia="宋体" w:cs="Times New Roman"/>
                <w:color w:val="auto"/>
                <w:sz w:val="24"/>
                <w:szCs w:val="24"/>
                <w:lang w:eastAsia="zh-CN" w:bidi="ar"/>
              </w:rPr>
            </w:pPr>
            <w:r>
              <w:rPr>
                <w:rFonts w:hint="default" w:ascii="Times New Roman" w:hAnsi="Times New Roman" w:cs="Times New Roman"/>
                <w:b/>
                <w:bCs/>
                <w:color w:val="auto"/>
                <w:sz w:val="24"/>
                <w:szCs w:val="24"/>
                <w:lang w:bidi="ar"/>
              </w:rPr>
              <w:t>7、公用工程</w:t>
            </w:r>
          </w:p>
          <w:p w14:paraId="412AAE20">
            <w:pPr>
              <w:widowControl/>
              <w:spacing w:line="480" w:lineRule="atLeast"/>
              <w:ind w:firstLine="480" w:firstLineChars="200"/>
              <w:jc w:val="left"/>
              <w:rPr>
                <w:rFonts w:hint="default" w:ascii="Times New Roman" w:hAnsi="Times New Roman" w:eastAsia="宋体" w:cs="Times New Roman"/>
                <w:color w:val="auto"/>
                <w:sz w:val="24"/>
                <w:szCs w:val="24"/>
                <w:lang w:eastAsia="zh-CN" w:bidi="ar"/>
              </w:rPr>
            </w:pPr>
            <w:r>
              <w:rPr>
                <w:rFonts w:hint="default" w:ascii="Times New Roman" w:hAnsi="Times New Roman" w:cs="Times New Roman"/>
                <w:color w:val="auto"/>
                <w:sz w:val="24"/>
                <w:szCs w:val="24"/>
                <w:lang w:bidi="ar"/>
              </w:rPr>
              <w:t>（1）给排水</w:t>
            </w:r>
          </w:p>
          <w:p w14:paraId="4F527D76">
            <w:pPr>
              <w:widowControl/>
              <w:spacing w:line="480" w:lineRule="atLeast"/>
              <w:ind w:firstLine="480" w:firstLineChars="200"/>
              <w:rPr>
                <w:rFonts w:ascii="Times New Roman" w:hAnsi="Times New Roman" w:cs="Times New Roman"/>
                <w:color w:val="000000"/>
                <w:sz w:val="24"/>
                <w:szCs w:val="24"/>
              </w:rPr>
            </w:pPr>
            <w:r>
              <w:rPr>
                <w:rFonts w:ascii="Times New Roman" w:hAnsi="Times New Roman" w:cs="Times New Roman"/>
                <w:color w:val="000000"/>
                <w:sz w:val="24"/>
                <w:szCs w:val="24"/>
              </w:rPr>
              <w:t>①给水：</w:t>
            </w:r>
          </w:p>
          <w:p w14:paraId="24897CC4">
            <w:pPr>
              <w:widowControl/>
              <w:spacing w:line="480" w:lineRule="atLeast"/>
              <w:ind w:firstLine="480" w:firstLineChars="200"/>
              <w:rPr>
                <w:rFonts w:ascii="Times New Roman" w:hAnsi="Times New Roman" w:cs="Times New Roman"/>
                <w:color w:val="000000"/>
                <w:sz w:val="24"/>
                <w:szCs w:val="24"/>
              </w:rPr>
            </w:pPr>
            <w:r>
              <w:rPr>
                <w:rFonts w:ascii="Times New Roman" w:hAnsi="Times New Roman" w:cs="Times New Roman"/>
                <w:color w:val="000000"/>
                <w:sz w:val="24"/>
                <w:szCs w:val="24"/>
              </w:rPr>
              <w:t>项目用水为生活用水</w:t>
            </w:r>
            <w:r>
              <w:rPr>
                <w:rFonts w:hint="eastAsia" w:ascii="Times New Roman" w:hAnsi="Times New Roman" w:cs="Times New Roman"/>
                <w:color w:val="000000"/>
                <w:sz w:val="24"/>
                <w:szCs w:val="24"/>
              </w:rPr>
              <w:t>、</w:t>
            </w:r>
            <w:r>
              <w:rPr>
                <w:rFonts w:ascii="Times New Roman" w:hAnsi="Times New Roman" w:cs="Times New Roman"/>
                <w:color w:val="000000"/>
                <w:sz w:val="24"/>
                <w:szCs w:val="24"/>
              </w:rPr>
              <w:t>冷却循环用水。项目总新鲜用水量为</w:t>
            </w:r>
            <w:r>
              <w:rPr>
                <w:rFonts w:hint="eastAsia" w:ascii="Times New Roman" w:hAnsi="Times New Roman" w:cs="Times New Roman"/>
                <w:color w:val="000000"/>
                <w:sz w:val="24"/>
                <w:szCs w:val="24"/>
              </w:rPr>
              <w:t>0.99</w:t>
            </w:r>
            <w:r>
              <w:rPr>
                <w:rFonts w:ascii="Times New Roman" w:hAnsi="Times New Roman" w:cs="Times New Roman"/>
                <w:color w:val="000000"/>
                <w:sz w:val="24"/>
                <w:szCs w:val="24"/>
              </w:rPr>
              <w:t>m</w:t>
            </w:r>
            <w:r>
              <w:rPr>
                <w:rFonts w:ascii="Times New Roman" w:hAnsi="Times New Roman" w:cs="Times New Roman"/>
                <w:color w:val="000000"/>
                <w:sz w:val="24"/>
                <w:szCs w:val="24"/>
                <w:vertAlign w:val="superscript"/>
              </w:rPr>
              <w:t>3</w:t>
            </w:r>
            <w:r>
              <w:rPr>
                <w:rFonts w:ascii="Times New Roman" w:hAnsi="Times New Roman" w:cs="Times New Roman"/>
                <w:color w:val="000000"/>
                <w:sz w:val="24"/>
                <w:szCs w:val="24"/>
              </w:rPr>
              <w:t>/d（</w:t>
            </w:r>
            <w:r>
              <w:rPr>
                <w:rFonts w:hint="eastAsia" w:ascii="Times New Roman" w:hAnsi="Times New Roman" w:cs="Times New Roman"/>
                <w:color w:val="000000"/>
                <w:sz w:val="24"/>
                <w:szCs w:val="24"/>
              </w:rPr>
              <w:t>297</w:t>
            </w:r>
            <w:r>
              <w:rPr>
                <w:rFonts w:ascii="Times New Roman" w:hAnsi="Times New Roman" w:cs="Times New Roman"/>
                <w:color w:val="000000"/>
                <w:sz w:val="24"/>
                <w:szCs w:val="24"/>
              </w:rPr>
              <w:t>m</w:t>
            </w:r>
            <w:r>
              <w:rPr>
                <w:rFonts w:ascii="Times New Roman" w:hAnsi="Times New Roman" w:cs="Times New Roman"/>
                <w:color w:val="000000"/>
                <w:sz w:val="24"/>
                <w:szCs w:val="24"/>
                <w:vertAlign w:val="superscript"/>
              </w:rPr>
              <w:t>3</w:t>
            </w:r>
            <w:r>
              <w:rPr>
                <w:rFonts w:ascii="Times New Roman" w:hAnsi="Times New Roman" w:cs="Times New Roman"/>
                <w:color w:val="000000"/>
                <w:sz w:val="24"/>
                <w:szCs w:val="24"/>
              </w:rPr>
              <w:t>/a），本项目供水由</w:t>
            </w:r>
            <w:r>
              <w:rPr>
                <w:rFonts w:hint="eastAsia" w:ascii="Times New Roman" w:hAnsi="Times New Roman" w:cs="Times New Roman"/>
                <w:color w:val="000000"/>
                <w:sz w:val="24"/>
                <w:szCs w:val="24"/>
                <w:lang w:eastAsia="zh-CN"/>
              </w:rPr>
              <w:t>当地</w:t>
            </w:r>
            <w:r>
              <w:rPr>
                <w:rFonts w:ascii="Times New Roman" w:hAnsi="Times New Roman" w:cs="Times New Roman"/>
                <w:color w:val="000000"/>
                <w:sz w:val="24"/>
                <w:szCs w:val="24"/>
              </w:rPr>
              <w:t>供水管网提供，供水有保障。</w:t>
            </w:r>
          </w:p>
          <w:p w14:paraId="0C3A5E9D">
            <w:pPr>
              <w:widowControl/>
              <w:spacing w:line="500" w:lineRule="atLeast"/>
              <w:ind w:firstLine="480" w:firstLineChars="200"/>
              <w:rPr>
                <w:rFonts w:ascii="Times New Roman" w:hAnsi="Times New Roman" w:cs="Times New Roman"/>
                <w:color w:val="000000"/>
                <w:sz w:val="24"/>
                <w:szCs w:val="24"/>
              </w:rPr>
            </w:pPr>
            <w:r>
              <w:rPr>
                <w:rFonts w:ascii="Times New Roman" w:hAnsi="Times New Roman" w:cs="Times New Roman"/>
                <w:color w:val="000000"/>
                <w:sz w:val="24"/>
                <w:szCs w:val="24"/>
              </w:rPr>
              <w:t>a生活用水：项目职工均为当地居民，厂区不设食堂，故生活用水主要为职工饮用水和盥洗用水，参照《生活与服务业用水定额第</w:t>
            </w:r>
            <w:r>
              <w:rPr>
                <w:rFonts w:hint="eastAsia" w:ascii="Times New Roman" w:hAnsi="Times New Roman" w:cs="Times New Roman"/>
                <w:color w:val="000000"/>
                <w:sz w:val="24"/>
                <w:szCs w:val="24"/>
              </w:rPr>
              <w:t>1</w:t>
            </w:r>
            <w:r>
              <w:rPr>
                <w:rFonts w:ascii="Times New Roman" w:hAnsi="Times New Roman" w:cs="Times New Roman"/>
                <w:color w:val="000000"/>
                <w:sz w:val="24"/>
                <w:szCs w:val="24"/>
              </w:rPr>
              <w:t>部分：</w:t>
            </w:r>
            <w:r>
              <w:rPr>
                <w:rFonts w:hint="eastAsia" w:ascii="Times New Roman" w:hAnsi="Times New Roman" w:cs="Times New Roman"/>
                <w:color w:val="000000"/>
                <w:sz w:val="24"/>
                <w:szCs w:val="24"/>
              </w:rPr>
              <w:t>居民生活</w:t>
            </w:r>
            <w:r>
              <w:rPr>
                <w:rFonts w:ascii="Times New Roman" w:hAnsi="Times New Roman" w:cs="Times New Roman"/>
                <w:color w:val="000000"/>
                <w:sz w:val="24"/>
                <w:szCs w:val="24"/>
              </w:rPr>
              <w:t>》（DB13/T5450.</w:t>
            </w:r>
            <w:r>
              <w:rPr>
                <w:rFonts w:hint="eastAsia" w:ascii="Times New Roman" w:hAnsi="Times New Roman" w:cs="Times New Roman"/>
                <w:color w:val="000000"/>
                <w:sz w:val="24"/>
                <w:szCs w:val="24"/>
              </w:rPr>
              <w:t>1</w:t>
            </w:r>
            <w:r>
              <w:rPr>
                <w:rFonts w:ascii="Times New Roman" w:hAnsi="Times New Roman" w:cs="Times New Roman"/>
                <w:color w:val="000000"/>
                <w:sz w:val="24"/>
                <w:szCs w:val="24"/>
              </w:rPr>
              <w:t>-2021）</w:t>
            </w:r>
            <w:r>
              <w:rPr>
                <w:rFonts w:ascii="Times New Roman" w:hAnsi="Times New Roman" w:cs="Times New Roman"/>
                <w:sz w:val="24"/>
                <w:szCs w:val="24"/>
              </w:rPr>
              <w:t>的规定</w:t>
            </w:r>
            <w:r>
              <w:rPr>
                <w:rFonts w:ascii="Times New Roman" w:hAnsi="Times New Roman" w:cs="Times New Roman"/>
                <w:color w:val="000000"/>
                <w:sz w:val="24"/>
                <w:szCs w:val="24"/>
              </w:rPr>
              <w:t>，项目劳动定员</w:t>
            </w:r>
            <w:r>
              <w:rPr>
                <w:rFonts w:hint="eastAsia" w:ascii="Times New Roman" w:hAnsi="Times New Roman" w:cs="Times New Roman"/>
                <w:color w:val="000000"/>
                <w:sz w:val="24"/>
                <w:szCs w:val="24"/>
              </w:rPr>
              <w:t>12</w:t>
            </w:r>
            <w:r>
              <w:rPr>
                <w:rFonts w:ascii="Times New Roman" w:hAnsi="Times New Roman" w:cs="Times New Roman"/>
                <w:color w:val="000000"/>
                <w:sz w:val="24"/>
                <w:szCs w:val="24"/>
              </w:rPr>
              <w:t>人，按照</w:t>
            </w:r>
            <w:r>
              <w:rPr>
                <w:rFonts w:hint="eastAsia" w:ascii="Times New Roman" w:hAnsi="Times New Roman" w:cs="Times New Roman"/>
                <w:color w:val="000000"/>
                <w:sz w:val="24"/>
                <w:szCs w:val="24"/>
              </w:rPr>
              <w:t>21</w:t>
            </w:r>
            <w:r>
              <w:rPr>
                <w:rFonts w:ascii="Times New Roman" w:hAnsi="Times New Roman" w:cs="Times New Roman"/>
                <w:color w:val="000000"/>
                <w:sz w:val="24"/>
                <w:szCs w:val="24"/>
              </w:rPr>
              <w:t>m³/人·年计算，职工生活用水量</w:t>
            </w:r>
            <w:r>
              <w:rPr>
                <w:rFonts w:hint="eastAsia" w:ascii="Times New Roman" w:hAnsi="Times New Roman" w:cs="Times New Roman"/>
                <w:color w:val="000000"/>
                <w:sz w:val="24"/>
                <w:szCs w:val="24"/>
              </w:rPr>
              <w:t>0.84</w:t>
            </w:r>
            <w:r>
              <w:rPr>
                <w:rFonts w:ascii="Times New Roman" w:hAnsi="Times New Roman" w:cs="Times New Roman"/>
                <w:color w:val="000000"/>
                <w:sz w:val="24"/>
                <w:szCs w:val="24"/>
              </w:rPr>
              <w:t>m</w:t>
            </w:r>
            <w:r>
              <w:rPr>
                <w:rFonts w:ascii="Times New Roman" w:hAnsi="Times New Roman" w:cs="Times New Roman"/>
                <w:color w:val="000000"/>
                <w:sz w:val="24"/>
                <w:szCs w:val="24"/>
                <w:vertAlign w:val="superscript"/>
              </w:rPr>
              <w:t>3</w:t>
            </w:r>
            <w:r>
              <w:rPr>
                <w:rFonts w:ascii="Times New Roman" w:hAnsi="Times New Roman" w:cs="Times New Roman"/>
                <w:color w:val="000000"/>
                <w:sz w:val="24"/>
                <w:szCs w:val="24"/>
              </w:rPr>
              <w:t>/d（</w:t>
            </w:r>
            <w:r>
              <w:rPr>
                <w:rFonts w:hint="eastAsia" w:ascii="Times New Roman" w:hAnsi="Times New Roman" w:cs="Times New Roman"/>
                <w:color w:val="000000"/>
                <w:sz w:val="24"/>
                <w:szCs w:val="24"/>
              </w:rPr>
              <w:t>252</w:t>
            </w:r>
            <w:r>
              <w:rPr>
                <w:rFonts w:ascii="Times New Roman" w:hAnsi="Times New Roman" w:cs="Times New Roman"/>
                <w:color w:val="000000"/>
                <w:sz w:val="24"/>
                <w:szCs w:val="24"/>
              </w:rPr>
              <w:t>m</w:t>
            </w:r>
            <w:r>
              <w:rPr>
                <w:rFonts w:ascii="Times New Roman" w:hAnsi="Times New Roman" w:cs="Times New Roman"/>
                <w:color w:val="000000"/>
                <w:sz w:val="24"/>
                <w:szCs w:val="24"/>
                <w:vertAlign w:val="superscript"/>
              </w:rPr>
              <w:t>3</w:t>
            </w:r>
            <w:r>
              <w:rPr>
                <w:rFonts w:ascii="Times New Roman" w:hAnsi="Times New Roman" w:cs="Times New Roman"/>
                <w:color w:val="000000"/>
                <w:sz w:val="24"/>
                <w:szCs w:val="24"/>
              </w:rPr>
              <w:t>/a）。</w:t>
            </w:r>
          </w:p>
          <w:p w14:paraId="2BE238ED">
            <w:pPr>
              <w:widowControl/>
              <w:spacing w:line="500" w:lineRule="atLeast"/>
              <w:ind w:firstLine="480" w:firstLineChars="200"/>
              <w:rPr>
                <w:rFonts w:ascii="Times New Roman" w:hAnsi="Times New Roman" w:cs="Times New Roman"/>
                <w:color w:val="000000"/>
                <w:sz w:val="24"/>
                <w:szCs w:val="24"/>
              </w:rPr>
            </w:pPr>
            <w:r>
              <w:rPr>
                <w:rFonts w:ascii="Times New Roman" w:hAnsi="Times New Roman" w:cs="Times New Roman"/>
                <w:color w:val="000000"/>
                <w:sz w:val="24"/>
                <w:szCs w:val="24"/>
              </w:rPr>
              <w:t>b冷却</w:t>
            </w:r>
            <w:r>
              <w:rPr>
                <w:rFonts w:hint="eastAsia" w:ascii="Times New Roman" w:hAnsi="Times New Roman" w:cs="Times New Roman"/>
                <w:color w:val="000000"/>
                <w:sz w:val="24"/>
                <w:szCs w:val="24"/>
              </w:rPr>
              <w:t>循环</w:t>
            </w:r>
            <w:r>
              <w:rPr>
                <w:rFonts w:ascii="Times New Roman" w:hAnsi="Times New Roman" w:cs="Times New Roman"/>
                <w:color w:val="000000"/>
                <w:sz w:val="24"/>
                <w:szCs w:val="24"/>
              </w:rPr>
              <w:t>用水：根据建设单位提供数据，冷却水循环量为</w:t>
            </w:r>
            <w:r>
              <w:rPr>
                <w:rFonts w:hint="eastAsia" w:ascii="Times New Roman" w:hAnsi="Times New Roman" w:cs="Times New Roman"/>
                <w:color w:val="000000"/>
                <w:sz w:val="24"/>
                <w:szCs w:val="24"/>
              </w:rPr>
              <w:t>15</w:t>
            </w:r>
            <w:r>
              <w:rPr>
                <w:rFonts w:ascii="Times New Roman" w:hAnsi="Times New Roman" w:cs="Times New Roman"/>
                <w:color w:val="000000"/>
                <w:sz w:val="24"/>
                <w:szCs w:val="24"/>
              </w:rPr>
              <w:t>m</w:t>
            </w:r>
            <w:r>
              <w:rPr>
                <w:rFonts w:ascii="Times New Roman" w:hAnsi="Times New Roman" w:cs="Times New Roman"/>
                <w:color w:val="000000"/>
                <w:sz w:val="24"/>
                <w:szCs w:val="24"/>
                <w:vertAlign w:val="superscript"/>
              </w:rPr>
              <w:t>3</w:t>
            </w:r>
            <w:r>
              <w:rPr>
                <w:rFonts w:hint="eastAsia" w:ascii="Times New Roman" w:hAnsi="Times New Roman" w:cs="Times New Roman"/>
                <w:color w:val="000000"/>
                <w:sz w:val="24"/>
                <w:szCs w:val="24"/>
              </w:rPr>
              <w:t>/d</w:t>
            </w:r>
            <w:r>
              <w:rPr>
                <w:rFonts w:ascii="Times New Roman" w:hAnsi="Times New Roman" w:cs="Times New Roman"/>
                <w:color w:val="000000"/>
                <w:sz w:val="24"/>
                <w:szCs w:val="24"/>
              </w:rPr>
              <w:t>，新鲜水补充量为</w:t>
            </w:r>
            <w:r>
              <w:rPr>
                <w:rFonts w:hint="eastAsia" w:ascii="Times New Roman" w:hAnsi="Times New Roman" w:cs="Times New Roman"/>
                <w:color w:val="000000"/>
                <w:sz w:val="24"/>
                <w:szCs w:val="24"/>
              </w:rPr>
              <w:t>0.15</w:t>
            </w:r>
            <w:r>
              <w:rPr>
                <w:rFonts w:ascii="Times New Roman" w:hAnsi="Times New Roman" w:cs="Times New Roman"/>
                <w:color w:val="000000"/>
                <w:sz w:val="24"/>
                <w:szCs w:val="24"/>
              </w:rPr>
              <w:t>m</w:t>
            </w:r>
            <w:r>
              <w:rPr>
                <w:rFonts w:ascii="Times New Roman" w:hAnsi="Times New Roman" w:cs="Times New Roman"/>
                <w:color w:val="000000"/>
                <w:sz w:val="24"/>
                <w:szCs w:val="24"/>
                <w:vertAlign w:val="superscript"/>
              </w:rPr>
              <w:t>3</w:t>
            </w:r>
            <w:r>
              <w:rPr>
                <w:rFonts w:ascii="Times New Roman" w:hAnsi="Times New Roman" w:cs="Times New Roman"/>
                <w:color w:val="000000"/>
                <w:sz w:val="24"/>
                <w:szCs w:val="24"/>
              </w:rPr>
              <w:t>/d（</w:t>
            </w:r>
            <w:r>
              <w:rPr>
                <w:rFonts w:hint="eastAsia" w:ascii="Times New Roman" w:hAnsi="Times New Roman" w:cs="Times New Roman"/>
                <w:color w:val="000000"/>
                <w:sz w:val="24"/>
                <w:szCs w:val="24"/>
              </w:rPr>
              <w:t>45</w:t>
            </w:r>
            <w:r>
              <w:rPr>
                <w:rFonts w:ascii="Times New Roman" w:hAnsi="Times New Roman" w:cs="Times New Roman"/>
                <w:color w:val="000000"/>
                <w:sz w:val="24"/>
                <w:szCs w:val="24"/>
              </w:rPr>
              <w:t>m</w:t>
            </w:r>
            <w:r>
              <w:rPr>
                <w:rFonts w:ascii="Times New Roman" w:hAnsi="Times New Roman" w:cs="Times New Roman"/>
                <w:color w:val="000000"/>
                <w:sz w:val="24"/>
                <w:szCs w:val="24"/>
                <w:vertAlign w:val="superscript"/>
              </w:rPr>
              <w:t>3</w:t>
            </w:r>
            <w:r>
              <w:rPr>
                <w:rFonts w:ascii="Times New Roman" w:hAnsi="Times New Roman" w:cs="Times New Roman"/>
                <w:color w:val="000000"/>
                <w:sz w:val="24"/>
                <w:szCs w:val="24"/>
              </w:rPr>
              <w:t>/a）。</w:t>
            </w:r>
          </w:p>
          <w:p w14:paraId="56E679C6">
            <w:pPr>
              <w:widowControl/>
              <w:spacing w:line="500" w:lineRule="atLeast"/>
              <w:ind w:firstLine="480" w:firstLineChars="200"/>
              <w:rPr>
                <w:rFonts w:ascii="Times New Roman" w:hAnsi="Times New Roman" w:cs="Times New Roman"/>
                <w:color w:val="000000"/>
                <w:sz w:val="24"/>
                <w:szCs w:val="24"/>
              </w:rPr>
            </w:pPr>
            <w:r>
              <w:rPr>
                <w:rFonts w:ascii="Times New Roman" w:hAnsi="Times New Roman" w:cs="Times New Roman"/>
                <w:color w:val="000000"/>
                <w:sz w:val="24"/>
                <w:szCs w:val="24"/>
              </w:rPr>
              <w:t>②排水：</w:t>
            </w:r>
          </w:p>
          <w:p w14:paraId="59742CCF">
            <w:pPr>
              <w:widowControl/>
              <w:spacing w:line="500" w:lineRule="atLeast"/>
              <w:ind w:firstLine="480" w:firstLineChars="200"/>
              <w:rPr>
                <w:rFonts w:ascii="Times New Roman" w:hAnsi="Times New Roman" w:cs="Times New Roman"/>
                <w:color w:val="000000"/>
                <w:sz w:val="24"/>
                <w:szCs w:val="24"/>
              </w:rPr>
            </w:pPr>
            <w:r>
              <w:rPr>
                <w:rFonts w:ascii="Times New Roman" w:hAnsi="Times New Roman" w:cs="Times New Roman"/>
                <w:color w:val="000000"/>
                <w:sz w:val="24"/>
                <w:szCs w:val="24"/>
              </w:rPr>
              <w:t>a生活</w:t>
            </w:r>
            <w:r>
              <w:rPr>
                <w:rFonts w:hint="eastAsia" w:ascii="Times New Roman" w:hAnsi="Times New Roman" w:cs="Times New Roman"/>
                <w:color w:val="000000"/>
                <w:sz w:val="24"/>
                <w:szCs w:val="24"/>
              </w:rPr>
              <w:t>排水</w:t>
            </w:r>
            <w:r>
              <w:rPr>
                <w:rFonts w:ascii="Times New Roman" w:hAnsi="Times New Roman" w:cs="Times New Roman"/>
                <w:color w:val="000000"/>
                <w:sz w:val="24"/>
                <w:szCs w:val="24"/>
              </w:rPr>
              <w:t>：生活污水产生量按生活用水量的80%计，则产生量为</w:t>
            </w:r>
            <w:r>
              <w:rPr>
                <w:rFonts w:hint="eastAsia" w:ascii="Times New Roman" w:hAnsi="Times New Roman" w:cs="Times New Roman"/>
                <w:color w:val="000000"/>
                <w:sz w:val="24"/>
                <w:szCs w:val="24"/>
              </w:rPr>
              <w:t>0.672</w:t>
            </w:r>
            <w:r>
              <w:rPr>
                <w:rFonts w:ascii="Times New Roman" w:hAnsi="Times New Roman" w:cs="Times New Roman"/>
                <w:color w:val="000000"/>
                <w:sz w:val="24"/>
                <w:szCs w:val="24"/>
              </w:rPr>
              <w:t>m</w:t>
            </w:r>
            <w:r>
              <w:rPr>
                <w:rFonts w:ascii="Times New Roman" w:hAnsi="Times New Roman" w:cs="Times New Roman"/>
                <w:color w:val="000000"/>
                <w:sz w:val="24"/>
                <w:szCs w:val="24"/>
                <w:vertAlign w:val="superscript"/>
              </w:rPr>
              <w:t>3</w:t>
            </w:r>
            <w:r>
              <w:rPr>
                <w:rFonts w:ascii="Times New Roman" w:hAnsi="Times New Roman" w:cs="Times New Roman"/>
                <w:color w:val="000000"/>
                <w:sz w:val="24"/>
                <w:szCs w:val="24"/>
              </w:rPr>
              <w:t>/d（</w:t>
            </w:r>
            <w:r>
              <w:rPr>
                <w:rFonts w:hint="eastAsia" w:ascii="Times New Roman" w:hAnsi="Times New Roman" w:cs="Times New Roman"/>
                <w:color w:val="000000"/>
                <w:sz w:val="24"/>
                <w:szCs w:val="24"/>
              </w:rPr>
              <w:t>201.6</w:t>
            </w:r>
            <w:r>
              <w:rPr>
                <w:rFonts w:ascii="Times New Roman" w:hAnsi="Times New Roman" w:cs="Times New Roman"/>
                <w:color w:val="000000"/>
                <w:sz w:val="24"/>
                <w:szCs w:val="24"/>
              </w:rPr>
              <w:t>m</w:t>
            </w:r>
            <w:r>
              <w:rPr>
                <w:rFonts w:ascii="Times New Roman" w:hAnsi="Times New Roman" w:cs="Times New Roman"/>
                <w:color w:val="000000"/>
                <w:sz w:val="24"/>
                <w:szCs w:val="24"/>
                <w:vertAlign w:val="superscript"/>
              </w:rPr>
              <w:t>3</w:t>
            </w:r>
            <w:r>
              <w:rPr>
                <w:rFonts w:ascii="Times New Roman" w:hAnsi="Times New Roman" w:cs="Times New Roman"/>
                <w:color w:val="000000"/>
                <w:sz w:val="24"/>
                <w:szCs w:val="24"/>
              </w:rPr>
              <w:t>/a），厂区设</w:t>
            </w:r>
            <w:r>
              <w:rPr>
                <w:rFonts w:hint="eastAsia" w:ascii="Times New Roman" w:hAnsi="Times New Roman" w:cs="Times New Roman"/>
                <w:color w:val="000000"/>
                <w:sz w:val="24"/>
                <w:szCs w:val="24"/>
                <w:lang w:eastAsia="zh-CN"/>
              </w:rPr>
              <w:t>化粪池</w:t>
            </w:r>
            <w:r>
              <w:rPr>
                <w:rFonts w:ascii="Times New Roman" w:hAnsi="Times New Roman" w:cs="Times New Roman"/>
                <w:color w:val="000000"/>
                <w:sz w:val="24"/>
                <w:szCs w:val="24"/>
              </w:rPr>
              <w:t>，定期清掏。</w:t>
            </w:r>
          </w:p>
          <w:p w14:paraId="28AF1C55">
            <w:pPr>
              <w:widowControl/>
              <w:spacing w:line="500" w:lineRule="atLeast"/>
              <w:ind w:firstLine="480" w:firstLineChars="200"/>
              <w:rPr>
                <w:rFonts w:ascii="Times New Roman" w:hAnsi="Times New Roman" w:cs="Times New Roman"/>
                <w:color w:val="000000"/>
                <w:sz w:val="24"/>
                <w:szCs w:val="24"/>
              </w:rPr>
            </w:pPr>
            <w:r>
              <w:rPr>
                <w:rFonts w:ascii="Times New Roman" w:hAnsi="Times New Roman" w:cs="Times New Roman"/>
                <w:color w:val="000000"/>
                <w:sz w:val="24"/>
                <w:szCs w:val="24"/>
              </w:rPr>
              <w:t>b冷却</w:t>
            </w:r>
            <w:r>
              <w:rPr>
                <w:rFonts w:hint="eastAsia" w:ascii="Times New Roman" w:hAnsi="Times New Roman" w:cs="Times New Roman"/>
                <w:color w:val="000000"/>
                <w:sz w:val="24"/>
                <w:szCs w:val="24"/>
              </w:rPr>
              <w:t>循环</w:t>
            </w:r>
            <w:r>
              <w:rPr>
                <w:rFonts w:ascii="Times New Roman" w:hAnsi="Times New Roman" w:cs="Times New Roman"/>
                <w:color w:val="000000"/>
                <w:sz w:val="24"/>
                <w:szCs w:val="24"/>
              </w:rPr>
              <w:t>水：冷却循环水循环使用，定期补充，不外排。</w:t>
            </w:r>
          </w:p>
          <w:p w14:paraId="5F29683C">
            <w:pPr>
              <w:widowControl/>
              <w:spacing w:line="500" w:lineRule="atLeast"/>
              <w:ind w:firstLine="560" w:firstLineChars="200"/>
            </w:pPr>
            <w:r>
              <w:drawing>
                <wp:anchor distT="0" distB="0" distL="114300" distR="114300" simplePos="0" relativeHeight="251678720" behindDoc="0" locked="0" layoutInCell="1" allowOverlap="1">
                  <wp:simplePos x="0" y="0"/>
                  <wp:positionH relativeFrom="column">
                    <wp:posOffset>1082040</wp:posOffset>
                  </wp:positionH>
                  <wp:positionV relativeFrom="paragraph">
                    <wp:posOffset>307975</wp:posOffset>
                  </wp:positionV>
                  <wp:extent cx="2716530" cy="1678305"/>
                  <wp:effectExtent l="0" t="0" r="7620" b="17145"/>
                  <wp:wrapNone/>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3"/>
                          <a:srcRect b="1138"/>
                          <a:stretch>
                            <a:fillRect/>
                          </a:stretch>
                        </pic:blipFill>
                        <pic:spPr>
                          <a:xfrm>
                            <a:off x="0" y="0"/>
                            <a:ext cx="2716530" cy="1678305"/>
                          </a:xfrm>
                          <a:prstGeom prst="rect">
                            <a:avLst/>
                          </a:prstGeom>
                          <a:noFill/>
                          <a:ln>
                            <a:noFill/>
                          </a:ln>
                        </pic:spPr>
                      </pic:pic>
                    </a:graphicData>
                  </a:graphic>
                </wp:anchor>
              </w:drawing>
            </w:r>
            <w:r>
              <w:rPr>
                <w:rFonts w:ascii="Times New Roman" w:hAnsi="Times New Roman" w:cs="Times New Roman"/>
                <w:color w:val="000000"/>
                <w:sz w:val="24"/>
                <w:szCs w:val="24"/>
              </w:rPr>
              <w:t>项目给排水平衡图如下：</w:t>
            </w:r>
          </w:p>
          <w:p w14:paraId="014FB0A9">
            <w:pPr>
              <w:pStyle w:val="29"/>
              <w:ind w:left="560" w:firstLine="0"/>
              <w:jc w:val="center"/>
              <w:rPr>
                <w:rFonts w:cs="Times New Roman"/>
                <w:b/>
                <w:color w:val="000000"/>
                <w:sz w:val="24"/>
              </w:rPr>
            </w:pPr>
          </w:p>
          <w:p w14:paraId="2EB4FD09">
            <w:pPr>
              <w:pStyle w:val="29"/>
              <w:ind w:left="560" w:firstLine="0"/>
              <w:jc w:val="center"/>
              <w:rPr>
                <w:rFonts w:cs="Times New Roman"/>
                <w:b/>
                <w:color w:val="000000"/>
                <w:sz w:val="24"/>
              </w:rPr>
            </w:pPr>
          </w:p>
          <w:p w14:paraId="6ADFCA51">
            <w:pPr>
              <w:pStyle w:val="29"/>
              <w:ind w:left="560" w:firstLine="0"/>
              <w:jc w:val="center"/>
              <w:rPr>
                <w:rFonts w:cs="Times New Roman"/>
                <w:b/>
                <w:color w:val="000000"/>
                <w:sz w:val="24"/>
              </w:rPr>
            </w:pPr>
          </w:p>
          <w:p w14:paraId="37A1026D">
            <w:pPr>
              <w:pStyle w:val="29"/>
              <w:ind w:left="560" w:firstLine="0"/>
              <w:jc w:val="center"/>
              <w:rPr>
                <w:rFonts w:cs="Times New Roman"/>
                <w:b/>
                <w:color w:val="000000"/>
                <w:sz w:val="24"/>
              </w:rPr>
            </w:pPr>
          </w:p>
          <w:p w14:paraId="4ECABB0E">
            <w:pPr>
              <w:pStyle w:val="29"/>
              <w:ind w:left="560" w:firstLine="0"/>
              <w:jc w:val="center"/>
              <w:rPr>
                <w:rFonts w:cs="Times New Roman"/>
                <w:b/>
                <w:color w:val="000000"/>
                <w:sz w:val="24"/>
              </w:rPr>
            </w:pPr>
          </w:p>
          <w:p w14:paraId="439A6D7A">
            <w:pPr>
              <w:pStyle w:val="30"/>
              <w:jc w:val="both"/>
            </w:pPr>
          </w:p>
          <w:p w14:paraId="360F6B17">
            <w:pPr>
              <w:pStyle w:val="32"/>
            </w:pPr>
          </w:p>
          <w:p w14:paraId="114CF480">
            <w:pPr>
              <w:pStyle w:val="29"/>
              <w:ind w:left="560" w:firstLine="0"/>
              <w:jc w:val="center"/>
              <w:rPr>
                <w:rFonts w:cs="Times New Roman"/>
                <w:b/>
                <w:bCs/>
                <w:highlight w:val="none"/>
              </w:rPr>
            </w:pPr>
            <w:r>
              <w:rPr>
                <w:rFonts w:cs="Times New Roman"/>
                <w:b/>
                <w:color w:val="000000"/>
                <w:sz w:val="24"/>
                <w:highlight w:val="none"/>
              </w:rPr>
              <w:t>图</w:t>
            </w:r>
            <w:r>
              <w:rPr>
                <w:rFonts w:hint="eastAsia" w:cs="Times New Roman"/>
                <w:b/>
                <w:color w:val="000000"/>
                <w:sz w:val="24"/>
                <w:highlight w:val="none"/>
                <w:lang w:val="en-US" w:eastAsia="zh-CN"/>
              </w:rPr>
              <w:t>3</w:t>
            </w:r>
            <w:r>
              <w:rPr>
                <w:rFonts w:cs="Times New Roman"/>
                <w:b/>
                <w:color w:val="000000"/>
                <w:sz w:val="24"/>
                <w:highlight w:val="none"/>
              </w:rPr>
              <w:t>项目给排水平衡图</w:t>
            </w:r>
            <w:r>
              <w:rPr>
                <w:rFonts w:cs="Times New Roman"/>
                <w:b/>
                <w:bCs/>
                <w:color w:val="000000"/>
                <w:sz w:val="24"/>
                <w:highlight w:val="none"/>
              </w:rPr>
              <w:t>单位：m</w:t>
            </w:r>
            <w:r>
              <w:rPr>
                <w:rFonts w:cs="Times New Roman"/>
                <w:b/>
                <w:bCs/>
                <w:color w:val="000000"/>
                <w:sz w:val="24"/>
                <w:highlight w:val="none"/>
                <w:vertAlign w:val="superscript"/>
              </w:rPr>
              <w:t>3</w:t>
            </w:r>
            <w:r>
              <w:rPr>
                <w:rFonts w:cs="Times New Roman"/>
                <w:b/>
                <w:bCs/>
                <w:color w:val="000000"/>
                <w:sz w:val="24"/>
                <w:highlight w:val="none"/>
              </w:rPr>
              <w:t>/d</w:t>
            </w:r>
          </w:p>
          <w:p w14:paraId="4F5362C0">
            <w:pPr>
              <w:widowControl/>
              <w:spacing w:line="480" w:lineRule="atLeast"/>
              <w:ind w:firstLine="480" w:firstLineChars="200"/>
              <w:jc w:val="left"/>
              <w:rPr>
                <w:rFonts w:hint="default" w:ascii="Times New Roman" w:hAnsi="Times New Roman" w:cs="Times New Roman"/>
                <w:color w:val="auto"/>
                <w:sz w:val="24"/>
                <w:szCs w:val="24"/>
                <w:lang w:bidi="ar"/>
              </w:rPr>
            </w:pPr>
            <w:r>
              <w:rPr>
                <w:rFonts w:hint="default" w:ascii="Times New Roman" w:hAnsi="Times New Roman" w:cs="Times New Roman"/>
                <w:color w:val="auto"/>
                <w:sz w:val="24"/>
                <w:szCs w:val="24"/>
                <w:lang w:bidi="ar"/>
              </w:rPr>
              <w:t>（2）供电：项目生产使用电加热，年用电量200万kW·h，本项目用电由</w:t>
            </w:r>
            <w:r>
              <w:rPr>
                <w:rFonts w:hint="eastAsia" w:ascii="Times New Roman" w:hAnsi="Times New Roman" w:cs="Times New Roman"/>
                <w:color w:val="auto"/>
                <w:sz w:val="24"/>
                <w:szCs w:val="24"/>
                <w:lang w:eastAsia="zh-CN" w:bidi="ar"/>
              </w:rPr>
              <w:t>当地</w:t>
            </w:r>
            <w:r>
              <w:rPr>
                <w:rFonts w:hint="default" w:ascii="Times New Roman" w:hAnsi="Times New Roman" w:cs="Times New Roman"/>
                <w:color w:val="auto"/>
                <w:sz w:val="24"/>
                <w:szCs w:val="24"/>
                <w:lang w:eastAsia="zh-CN" w:bidi="ar"/>
              </w:rPr>
              <w:t>供电系统</w:t>
            </w:r>
            <w:r>
              <w:rPr>
                <w:rFonts w:hint="default" w:ascii="Times New Roman" w:hAnsi="Times New Roman" w:cs="Times New Roman"/>
                <w:color w:val="auto"/>
                <w:sz w:val="24"/>
                <w:szCs w:val="24"/>
                <w:lang w:bidi="ar"/>
              </w:rPr>
              <w:t>供电，供电有保障。</w:t>
            </w:r>
          </w:p>
          <w:p w14:paraId="3617F860">
            <w:pPr>
              <w:widowControl/>
              <w:spacing w:line="480" w:lineRule="atLeast"/>
              <w:ind w:firstLine="480" w:firstLineChars="200"/>
              <w:jc w:val="left"/>
              <w:rPr>
                <w:rFonts w:hint="eastAsia"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lang w:bidi="ar"/>
              </w:rPr>
              <w:t>（3）供热：</w:t>
            </w:r>
            <w:r>
              <w:rPr>
                <w:rFonts w:hint="default" w:ascii="Times New Roman" w:hAnsi="Times New Roman" w:cs="Times New Roman"/>
                <w:color w:val="auto"/>
                <w:sz w:val="24"/>
                <w:szCs w:val="24"/>
              </w:rPr>
              <w:t>项目冬季采暖采用空调，生产加热使用电能</w:t>
            </w:r>
            <w:r>
              <w:rPr>
                <w:rFonts w:hint="eastAsia" w:ascii="Times New Roman" w:hAnsi="Times New Roman" w:cs="Times New Roman"/>
                <w:color w:val="auto"/>
                <w:sz w:val="24"/>
                <w:szCs w:val="24"/>
                <w:lang w:eastAsia="zh-CN"/>
              </w:rPr>
              <w:t>。</w:t>
            </w:r>
          </w:p>
          <w:p w14:paraId="09655707">
            <w:pPr>
              <w:widowControl/>
              <w:spacing w:line="480" w:lineRule="atLeast"/>
              <w:ind w:firstLine="480" w:firstLineChars="200"/>
              <w:jc w:val="left"/>
              <w:rPr>
                <w:rFonts w:hint="default" w:ascii="Times New Roman" w:hAnsi="Times New Roman" w:cs="Times New Roman"/>
                <w:color w:val="auto"/>
                <w:sz w:val="24"/>
                <w:szCs w:val="24"/>
              </w:rPr>
            </w:pPr>
          </w:p>
          <w:p w14:paraId="3C2504C0">
            <w:pPr>
              <w:widowControl/>
              <w:spacing w:line="480" w:lineRule="atLeast"/>
              <w:ind w:firstLine="480" w:firstLineChars="200"/>
              <w:jc w:val="left"/>
              <w:rPr>
                <w:rFonts w:hint="default" w:ascii="Times New Roman" w:hAnsi="Times New Roman" w:cs="Times New Roman"/>
                <w:color w:val="auto"/>
                <w:sz w:val="24"/>
                <w:szCs w:val="24"/>
              </w:rPr>
            </w:pPr>
          </w:p>
          <w:p w14:paraId="356B1A85">
            <w:pPr>
              <w:widowControl/>
              <w:spacing w:line="480" w:lineRule="atLeast"/>
              <w:ind w:firstLine="480" w:firstLineChars="200"/>
              <w:jc w:val="left"/>
              <w:rPr>
                <w:rFonts w:hint="default" w:ascii="Times New Roman" w:hAnsi="Times New Roman" w:cs="Times New Roman"/>
                <w:color w:val="auto"/>
                <w:sz w:val="24"/>
                <w:szCs w:val="24"/>
              </w:rPr>
            </w:pPr>
          </w:p>
          <w:p w14:paraId="6E02CB3D">
            <w:pPr>
              <w:widowControl/>
              <w:spacing w:line="480" w:lineRule="atLeast"/>
              <w:ind w:firstLine="480" w:firstLineChars="200"/>
              <w:jc w:val="left"/>
              <w:rPr>
                <w:rFonts w:hint="default" w:ascii="Times New Roman" w:hAnsi="Times New Roman" w:cs="Times New Roman"/>
                <w:color w:val="auto"/>
                <w:sz w:val="24"/>
                <w:szCs w:val="24"/>
              </w:rPr>
            </w:pPr>
          </w:p>
          <w:p w14:paraId="0440176C">
            <w:pPr>
              <w:widowControl/>
              <w:spacing w:line="480" w:lineRule="atLeast"/>
              <w:ind w:firstLine="480" w:firstLineChars="200"/>
              <w:jc w:val="left"/>
              <w:rPr>
                <w:rFonts w:hint="default" w:ascii="Times New Roman" w:hAnsi="Times New Roman" w:cs="Times New Roman"/>
                <w:color w:val="auto"/>
                <w:sz w:val="24"/>
                <w:szCs w:val="24"/>
              </w:rPr>
            </w:pPr>
          </w:p>
          <w:p w14:paraId="369A765A">
            <w:pPr>
              <w:widowControl/>
              <w:spacing w:line="480" w:lineRule="atLeast"/>
              <w:ind w:firstLine="480" w:firstLineChars="200"/>
              <w:jc w:val="left"/>
              <w:rPr>
                <w:rFonts w:hint="default" w:ascii="Times New Roman" w:hAnsi="Times New Roman" w:cs="Times New Roman"/>
                <w:color w:val="auto"/>
                <w:sz w:val="24"/>
                <w:szCs w:val="24"/>
              </w:rPr>
            </w:pPr>
          </w:p>
          <w:p w14:paraId="26AD4D3E">
            <w:pPr>
              <w:widowControl/>
              <w:spacing w:line="480" w:lineRule="atLeast"/>
              <w:ind w:firstLine="480" w:firstLineChars="200"/>
              <w:jc w:val="left"/>
              <w:rPr>
                <w:rFonts w:hint="default" w:ascii="Times New Roman" w:hAnsi="Times New Roman" w:cs="Times New Roman"/>
                <w:color w:val="auto"/>
                <w:sz w:val="24"/>
                <w:szCs w:val="24"/>
              </w:rPr>
            </w:pPr>
          </w:p>
          <w:p w14:paraId="2C2B2086">
            <w:pPr>
              <w:widowControl/>
              <w:spacing w:line="480" w:lineRule="atLeast"/>
              <w:ind w:firstLine="480" w:firstLineChars="200"/>
              <w:jc w:val="left"/>
              <w:rPr>
                <w:rFonts w:hint="default" w:ascii="Times New Roman" w:hAnsi="Times New Roman" w:cs="Times New Roman"/>
                <w:color w:val="auto"/>
                <w:sz w:val="24"/>
                <w:szCs w:val="24"/>
              </w:rPr>
            </w:pPr>
          </w:p>
          <w:p w14:paraId="56359BDB">
            <w:pPr>
              <w:widowControl/>
              <w:spacing w:line="480" w:lineRule="atLeast"/>
              <w:jc w:val="left"/>
              <w:rPr>
                <w:rFonts w:hint="default" w:ascii="Times New Roman" w:hAnsi="Times New Roman" w:cs="Times New Roman"/>
                <w:color w:val="auto"/>
                <w:sz w:val="24"/>
                <w:szCs w:val="24"/>
              </w:rPr>
            </w:pPr>
          </w:p>
          <w:p w14:paraId="7E781EB2">
            <w:pPr>
              <w:widowControl/>
              <w:spacing w:line="480" w:lineRule="atLeast"/>
              <w:ind w:firstLine="420" w:firstLineChars="200"/>
              <w:jc w:val="left"/>
              <w:rPr>
                <w:rFonts w:hint="default" w:ascii="Times New Roman" w:hAnsi="Times New Roman" w:cs="Times New Roman" w:eastAsiaTheme="majorEastAsia"/>
                <w:color w:val="auto"/>
                <w:sz w:val="21"/>
                <w:szCs w:val="21"/>
              </w:rPr>
            </w:pPr>
          </w:p>
          <w:p w14:paraId="1DB70368">
            <w:pPr>
              <w:widowControl/>
              <w:spacing w:line="480" w:lineRule="atLeast"/>
              <w:ind w:firstLine="420" w:firstLineChars="200"/>
              <w:jc w:val="left"/>
              <w:rPr>
                <w:rFonts w:hint="default" w:ascii="Times New Roman" w:hAnsi="Times New Roman" w:cs="Times New Roman" w:eastAsiaTheme="majorEastAsia"/>
                <w:color w:val="auto"/>
                <w:sz w:val="21"/>
                <w:szCs w:val="21"/>
              </w:rPr>
            </w:pPr>
          </w:p>
          <w:p w14:paraId="68CA1712">
            <w:pPr>
              <w:widowControl/>
              <w:spacing w:line="480" w:lineRule="atLeast"/>
              <w:ind w:firstLine="420" w:firstLineChars="200"/>
              <w:jc w:val="left"/>
              <w:rPr>
                <w:rFonts w:hint="default" w:ascii="Times New Roman" w:hAnsi="Times New Roman" w:cs="Times New Roman" w:eastAsiaTheme="majorEastAsia"/>
                <w:color w:val="auto"/>
                <w:sz w:val="21"/>
                <w:szCs w:val="21"/>
              </w:rPr>
            </w:pPr>
          </w:p>
          <w:p w14:paraId="4116DDB8">
            <w:pPr>
              <w:widowControl/>
              <w:spacing w:line="480" w:lineRule="atLeast"/>
              <w:ind w:firstLine="420" w:firstLineChars="200"/>
              <w:jc w:val="left"/>
              <w:rPr>
                <w:rFonts w:hint="default" w:ascii="Times New Roman" w:hAnsi="Times New Roman" w:cs="Times New Roman" w:eastAsiaTheme="majorEastAsia"/>
                <w:color w:val="auto"/>
                <w:sz w:val="21"/>
                <w:szCs w:val="21"/>
              </w:rPr>
            </w:pPr>
          </w:p>
          <w:p w14:paraId="0CC07B6F">
            <w:pPr>
              <w:widowControl/>
              <w:spacing w:line="480" w:lineRule="atLeast"/>
              <w:ind w:firstLine="420" w:firstLineChars="200"/>
              <w:jc w:val="left"/>
              <w:rPr>
                <w:rFonts w:hint="default" w:ascii="Times New Roman" w:hAnsi="Times New Roman" w:cs="Times New Roman" w:eastAsiaTheme="majorEastAsia"/>
                <w:color w:val="auto"/>
                <w:sz w:val="21"/>
                <w:szCs w:val="21"/>
              </w:rPr>
            </w:pPr>
          </w:p>
          <w:p w14:paraId="1628B8E2">
            <w:pPr>
              <w:widowControl/>
              <w:spacing w:line="480" w:lineRule="atLeast"/>
              <w:ind w:firstLine="420" w:firstLineChars="200"/>
              <w:jc w:val="left"/>
              <w:rPr>
                <w:rFonts w:hint="default" w:ascii="Times New Roman" w:hAnsi="Times New Roman" w:cs="Times New Roman" w:eastAsiaTheme="majorEastAsia"/>
                <w:color w:val="auto"/>
                <w:sz w:val="21"/>
                <w:szCs w:val="21"/>
              </w:rPr>
            </w:pPr>
          </w:p>
          <w:p w14:paraId="6E216BC8">
            <w:pPr>
              <w:pStyle w:val="4"/>
              <w:rPr>
                <w:rFonts w:hint="default" w:ascii="Times New Roman" w:hAnsi="Times New Roman" w:cs="Times New Roman" w:eastAsiaTheme="majorEastAsia"/>
                <w:color w:val="auto"/>
                <w:sz w:val="21"/>
                <w:szCs w:val="21"/>
              </w:rPr>
            </w:pPr>
          </w:p>
          <w:p w14:paraId="6E0BA4B2">
            <w:pPr>
              <w:pStyle w:val="9"/>
              <w:rPr>
                <w:rFonts w:hint="default" w:ascii="Times New Roman" w:hAnsi="Times New Roman" w:cs="Times New Roman" w:eastAsiaTheme="majorEastAsia"/>
                <w:color w:val="auto"/>
                <w:sz w:val="21"/>
                <w:szCs w:val="21"/>
              </w:rPr>
            </w:pPr>
          </w:p>
          <w:p w14:paraId="6E19BBD3">
            <w:pPr>
              <w:rPr>
                <w:rFonts w:hint="default" w:ascii="Times New Roman" w:hAnsi="Times New Roman" w:cs="Times New Roman" w:eastAsiaTheme="majorEastAsia"/>
                <w:color w:val="auto"/>
                <w:sz w:val="21"/>
                <w:szCs w:val="21"/>
              </w:rPr>
            </w:pPr>
          </w:p>
          <w:p w14:paraId="041AAAC4">
            <w:pPr>
              <w:pStyle w:val="4"/>
              <w:rPr>
                <w:rFonts w:hint="default" w:ascii="Times New Roman" w:hAnsi="Times New Roman" w:cs="Times New Roman" w:eastAsiaTheme="majorEastAsia"/>
                <w:color w:val="auto"/>
                <w:sz w:val="21"/>
                <w:szCs w:val="21"/>
              </w:rPr>
            </w:pPr>
          </w:p>
          <w:p w14:paraId="6315DD95">
            <w:pPr>
              <w:pStyle w:val="9"/>
              <w:rPr>
                <w:rFonts w:hint="default" w:ascii="Times New Roman" w:hAnsi="Times New Roman" w:cs="Times New Roman" w:eastAsiaTheme="majorEastAsia"/>
                <w:color w:val="auto"/>
                <w:sz w:val="21"/>
                <w:szCs w:val="21"/>
              </w:rPr>
            </w:pPr>
          </w:p>
          <w:p w14:paraId="2997049C">
            <w:pPr>
              <w:rPr>
                <w:rFonts w:hint="default" w:ascii="Times New Roman" w:hAnsi="Times New Roman" w:cs="Times New Roman" w:eastAsiaTheme="majorEastAsia"/>
                <w:color w:val="auto"/>
                <w:sz w:val="21"/>
                <w:szCs w:val="21"/>
              </w:rPr>
            </w:pPr>
          </w:p>
          <w:p w14:paraId="083A0800">
            <w:pPr>
              <w:pStyle w:val="9"/>
              <w:rPr>
                <w:rFonts w:hint="default"/>
              </w:rPr>
            </w:pPr>
          </w:p>
        </w:tc>
      </w:tr>
      <w:tr w14:paraId="7DFEE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76" w:hRule="atLeast"/>
          <w:jc w:val="center"/>
        </w:trPr>
        <w:tc>
          <w:tcPr>
            <w:tcW w:w="839" w:type="dxa"/>
            <w:vAlign w:val="center"/>
          </w:tcPr>
          <w:p w14:paraId="3EA3C668">
            <w:pPr>
              <w:widowControl/>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4"/>
                <w:szCs w:val="24"/>
                <w:lang w:bidi="ar"/>
              </w:rPr>
              <w:t>工艺流程和产排污环节</w:t>
            </w:r>
          </w:p>
        </w:tc>
        <w:tc>
          <w:tcPr>
            <w:tcW w:w="8028" w:type="dxa"/>
          </w:tcPr>
          <w:p w14:paraId="60DB5E26">
            <w:pPr>
              <w:spacing w:line="520" w:lineRule="atLeast"/>
              <w:jc w:val="both"/>
              <w:rPr>
                <w:rFonts w:hint="default" w:ascii="Times New Roman" w:hAnsi="Times New Roman" w:cs="Times New Roman"/>
                <w:b/>
                <w:bCs/>
                <w:color w:val="auto"/>
                <w:sz w:val="24"/>
                <w:szCs w:val="24"/>
              </w:rPr>
            </w:pPr>
            <w:r>
              <w:drawing>
                <wp:anchor distT="0" distB="0" distL="114300" distR="114300" simplePos="0" relativeHeight="251679744" behindDoc="0" locked="0" layoutInCell="1" allowOverlap="1">
                  <wp:simplePos x="0" y="0"/>
                  <wp:positionH relativeFrom="column">
                    <wp:posOffset>-1905</wp:posOffset>
                  </wp:positionH>
                  <wp:positionV relativeFrom="paragraph">
                    <wp:posOffset>86360</wp:posOffset>
                  </wp:positionV>
                  <wp:extent cx="5012690" cy="855980"/>
                  <wp:effectExtent l="0" t="0" r="16510" b="1270"/>
                  <wp:wrapNone/>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14"/>
                          <a:stretch>
                            <a:fillRect/>
                          </a:stretch>
                        </pic:blipFill>
                        <pic:spPr>
                          <a:xfrm>
                            <a:off x="0" y="0"/>
                            <a:ext cx="5012690" cy="855980"/>
                          </a:xfrm>
                          <a:prstGeom prst="rect">
                            <a:avLst/>
                          </a:prstGeom>
                          <a:noFill/>
                          <a:ln>
                            <a:noFill/>
                          </a:ln>
                        </pic:spPr>
                      </pic:pic>
                    </a:graphicData>
                  </a:graphic>
                </wp:anchor>
              </w:drawing>
            </w:r>
          </w:p>
          <w:p w14:paraId="2A1F82CC">
            <w:pPr>
              <w:spacing w:line="520" w:lineRule="atLeast"/>
              <w:jc w:val="center"/>
              <w:rPr>
                <w:rFonts w:hint="default" w:ascii="Times New Roman" w:hAnsi="Times New Roman" w:cs="Times New Roman"/>
                <w:b/>
                <w:bCs/>
                <w:color w:val="FF0000"/>
                <w:sz w:val="24"/>
                <w:szCs w:val="24"/>
              </w:rPr>
            </w:pPr>
          </w:p>
          <w:p w14:paraId="3A63A671">
            <w:pPr>
              <w:spacing w:line="520" w:lineRule="atLeast"/>
              <w:jc w:val="both"/>
              <w:rPr>
                <w:rFonts w:hint="default" w:ascii="Times New Roman" w:hAnsi="Times New Roman" w:cs="Times New Roman"/>
                <w:b/>
                <w:bCs/>
                <w:color w:val="FF0000"/>
                <w:sz w:val="24"/>
                <w:szCs w:val="24"/>
              </w:rPr>
            </w:pPr>
          </w:p>
          <w:p w14:paraId="1F6BE96F">
            <w:pPr>
              <w:spacing w:line="520" w:lineRule="atLeast"/>
              <w:jc w:val="center"/>
              <w:rPr>
                <w:rFonts w:hint="default" w:ascii="Times New Roman" w:hAnsi="Times New Roman" w:cs="Times New Roman"/>
                <w:b/>
                <w:bCs/>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14:textFill>
                  <w14:solidFill>
                    <w14:schemeClr w14:val="tx1"/>
                  </w14:solidFill>
                </w14:textFill>
              </w:rPr>
              <w:t>图</w:t>
            </w:r>
            <w:r>
              <w:rPr>
                <w:rFonts w:hint="eastAsia" w:ascii="Times New Roman" w:hAnsi="Times New Roman" w:cs="Times New Roman"/>
                <w:b/>
                <w:bCs/>
                <w:color w:val="000000" w:themeColor="text1"/>
                <w:sz w:val="24"/>
                <w:szCs w:val="24"/>
                <w:lang w:val="en-US" w:eastAsia="zh-CN"/>
                <w14:textFill>
                  <w14:solidFill>
                    <w14:schemeClr w14:val="tx1"/>
                  </w14:solidFill>
                </w14:textFill>
              </w:rPr>
              <w:t>5</w:t>
            </w:r>
            <w:r>
              <w:rPr>
                <w:rFonts w:hint="default" w:ascii="Times New Roman" w:hAnsi="Times New Roman" w:cs="Times New Roman"/>
                <w:b/>
                <w:bCs/>
                <w:color w:val="000000" w:themeColor="text1"/>
                <w:sz w:val="24"/>
                <w:szCs w:val="24"/>
                <w14:textFill>
                  <w14:solidFill>
                    <w14:schemeClr w14:val="tx1"/>
                  </w14:solidFill>
                </w14:textFill>
              </w:rPr>
              <w:t>生产工艺流程及产污</w:t>
            </w:r>
            <w:r>
              <w:rPr>
                <w:rFonts w:hint="default" w:ascii="Times New Roman" w:hAnsi="Times New Roman" w:cs="Times New Roman"/>
                <w:b/>
                <w:bCs/>
                <w:color w:val="000000" w:themeColor="text1"/>
                <w:sz w:val="24"/>
                <w:szCs w:val="24"/>
                <w:lang w:eastAsia="zh-CN"/>
                <w14:textFill>
                  <w14:solidFill>
                    <w14:schemeClr w14:val="tx1"/>
                  </w14:solidFill>
                </w14:textFill>
              </w:rPr>
              <w:t>节点</w:t>
            </w:r>
            <w:r>
              <w:rPr>
                <w:rFonts w:hint="default" w:ascii="Times New Roman" w:hAnsi="Times New Roman" w:cs="Times New Roman"/>
                <w:b/>
                <w:bCs/>
                <w:color w:val="000000" w:themeColor="text1"/>
                <w:sz w:val="24"/>
                <w:szCs w:val="24"/>
                <w14:textFill>
                  <w14:solidFill>
                    <w14:schemeClr w14:val="tx1"/>
                  </w14:solidFill>
                </w14:textFill>
              </w:rPr>
              <w:t>图</w:t>
            </w:r>
          </w:p>
          <w:p w14:paraId="6CA46288">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1</w:t>
            </w:r>
            <w:r>
              <w:rPr>
                <w:rFonts w:hint="default"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lang w:eastAsia="zh-CN"/>
              </w:rPr>
              <w:t>搅拌</w:t>
            </w:r>
            <w:r>
              <w:rPr>
                <w:rFonts w:hint="default" w:ascii="Times New Roman" w:hAnsi="Times New Roman" w:cs="Times New Roman"/>
                <w:color w:val="auto"/>
                <w:sz w:val="24"/>
                <w:highlight w:val="none"/>
              </w:rPr>
              <w:t>： PE、PP</w:t>
            </w:r>
            <w:r>
              <w:rPr>
                <w:rFonts w:hint="eastAsia" w:ascii="Times New Roman" w:hAnsi="Times New Roman" w:cs="Times New Roman"/>
                <w:color w:val="auto"/>
                <w:sz w:val="24"/>
                <w:highlight w:val="none"/>
                <w:lang w:eastAsia="zh-CN"/>
              </w:rPr>
              <w:t>、色母颗粒</w:t>
            </w:r>
            <w:r>
              <w:rPr>
                <w:rFonts w:hint="default" w:ascii="Times New Roman" w:hAnsi="Times New Roman" w:cs="Times New Roman"/>
                <w:color w:val="auto"/>
                <w:sz w:val="24"/>
                <w:highlight w:val="none"/>
              </w:rPr>
              <w:t>原料，生产时仅采用其中一种不混合使用。将外购的塑料颗粒和色母颗粒，通过</w:t>
            </w:r>
            <w:r>
              <w:rPr>
                <w:rFonts w:hint="eastAsia" w:ascii="Times New Roman" w:hAnsi="Times New Roman" w:cs="Times New Roman"/>
                <w:color w:val="auto"/>
                <w:sz w:val="24"/>
                <w:highlight w:val="none"/>
                <w:lang w:eastAsia="zh-CN"/>
              </w:rPr>
              <w:t>负压吸</w:t>
            </w:r>
            <w:r>
              <w:rPr>
                <w:rFonts w:hint="default" w:ascii="Times New Roman" w:hAnsi="Times New Roman" w:cs="Times New Roman"/>
                <w:color w:val="auto"/>
                <w:sz w:val="24"/>
                <w:highlight w:val="none"/>
              </w:rPr>
              <w:t>至</w:t>
            </w:r>
            <w:r>
              <w:rPr>
                <w:rFonts w:hint="eastAsia" w:ascii="Times New Roman" w:hAnsi="Times New Roman" w:cs="Times New Roman"/>
                <w:color w:val="auto"/>
                <w:sz w:val="24"/>
                <w:highlight w:val="none"/>
                <w:lang w:eastAsia="zh-CN"/>
              </w:rPr>
              <w:t>搅拌机内</w:t>
            </w:r>
            <w:r>
              <w:rPr>
                <w:rFonts w:hint="default" w:ascii="Times New Roman" w:hAnsi="Times New Roman" w:cs="Times New Roman"/>
                <w:color w:val="auto"/>
                <w:sz w:val="24"/>
                <w:highlight w:val="none"/>
              </w:rPr>
              <w:t>搅拌混合。</w:t>
            </w:r>
            <w:r>
              <w:rPr>
                <w:rFonts w:hint="eastAsia" w:ascii="Times New Roman" w:hAnsi="Times New Roman" w:cs="Times New Roman"/>
                <w:color w:val="auto"/>
                <w:sz w:val="24"/>
                <w:highlight w:val="none"/>
                <w:lang w:eastAsia="zh-CN"/>
              </w:rPr>
              <w:t>此工序产生废包装物</w:t>
            </w:r>
            <w:r>
              <w:rPr>
                <w:rFonts w:hint="eastAsia" w:ascii="Times New Roman" w:hAnsi="Times New Roman" w:cs="Times New Roman"/>
                <w:color w:val="auto"/>
                <w:sz w:val="24"/>
                <w:highlight w:val="none"/>
                <w:lang w:val="en-US" w:eastAsia="zh-CN"/>
              </w:rPr>
              <w:t>S</w:t>
            </w:r>
            <w:r>
              <w:rPr>
                <w:rFonts w:hint="eastAsia" w:ascii="Times New Roman" w:hAnsi="Times New Roman" w:cs="Times New Roman"/>
                <w:color w:val="auto"/>
                <w:sz w:val="24"/>
                <w:highlight w:val="none"/>
                <w:lang w:eastAsia="zh-CN"/>
              </w:rPr>
              <w:t>、噪声</w:t>
            </w:r>
            <w:r>
              <w:rPr>
                <w:rFonts w:hint="eastAsia" w:ascii="Times New Roman" w:hAnsi="Times New Roman" w:cs="Times New Roman"/>
                <w:color w:val="auto"/>
                <w:sz w:val="24"/>
                <w:highlight w:val="none"/>
                <w:lang w:val="en-US" w:eastAsia="zh-CN"/>
              </w:rPr>
              <w:t>N。</w:t>
            </w:r>
          </w:p>
          <w:p w14:paraId="154490F8">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lang w:val="en-US" w:eastAsia="zh-CN"/>
              </w:rPr>
              <w:t>2</w:t>
            </w:r>
            <w:r>
              <w:rPr>
                <w:rFonts w:hint="default"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lang w:eastAsia="zh-CN"/>
              </w:rPr>
              <w:t>注塑</w:t>
            </w:r>
            <w:r>
              <w:rPr>
                <w:rFonts w:hint="default" w:ascii="Times New Roman" w:hAnsi="Times New Roman" w:cs="Times New Roman"/>
                <w:color w:val="auto"/>
                <w:sz w:val="24"/>
                <w:highlight w:val="none"/>
              </w:rPr>
              <w:t>：将</w:t>
            </w:r>
            <w:r>
              <w:rPr>
                <w:rFonts w:hint="eastAsia" w:ascii="Times New Roman" w:hAnsi="Times New Roman" w:cs="Times New Roman"/>
                <w:color w:val="auto"/>
                <w:sz w:val="24"/>
                <w:highlight w:val="none"/>
                <w:lang w:eastAsia="zh-CN"/>
              </w:rPr>
              <w:t>搅拌好的</w:t>
            </w:r>
            <w:r>
              <w:rPr>
                <w:rFonts w:hint="default" w:ascii="Times New Roman" w:hAnsi="Times New Roman" w:cs="Times New Roman"/>
                <w:color w:val="auto"/>
                <w:sz w:val="24"/>
                <w:highlight w:val="none"/>
              </w:rPr>
              <w:t>的原料</w:t>
            </w:r>
            <w:r>
              <w:rPr>
                <w:rFonts w:hint="eastAsia" w:ascii="Times New Roman" w:hAnsi="Times New Roman" w:cs="Times New Roman"/>
                <w:color w:val="auto"/>
                <w:sz w:val="24"/>
                <w:highlight w:val="none"/>
                <w:lang w:eastAsia="zh-CN"/>
              </w:rPr>
              <w:t>负压吸</w:t>
            </w:r>
            <w:r>
              <w:rPr>
                <w:rFonts w:hint="default" w:ascii="Times New Roman" w:hAnsi="Times New Roman" w:cs="Times New Roman"/>
                <w:color w:val="auto"/>
                <w:sz w:val="24"/>
                <w:highlight w:val="none"/>
              </w:rPr>
              <w:t>至注塑机内，注塑机采用电加热方式，温度为</w:t>
            </w:r>
            <w:r>
              <w:rPr>
                <w:rFonts w:hint="eastAsia" w:ascii="Times New Roman" w:hAnsi="Times New Roman" w:cs="Times New Roman"/>
                <w:color w:val="auto"/>
                <w:sz w:val="24"/>
                <w:highlight w:val="none"/>
                <w:lang w:val="en-US" w:eastAsia="zh-CN"/>
              </w:rPr>
              <w:t>170</w:t>
            </w:r>
            <w:r>
              <w:rPr>
                <w:rFonts w:hint="default" w:ascii="Times New Roman" w:hAnsi="Times New Roman" w:cs="Times New Roman"/>
                <w:color w:val="auto"/>
                <w:sz w:val="24"/>
                <w:highlight w:val="none"/>
              </w:rPr>
              <w:t>-</w:t>
            </w:r>
            <w:r>
              <w:rPr>
                <w:rFonts w:hint="eastAsia" w:ascii="Times New Roman" w:hAnsi="Times New Roman" w:cs="Times New Roman"/>
                <w:color w:val="auto"/>
                <w:sz w:val="24"/>
                <w:highlight w:val="none"/>
                <w:lang w:val="en-US" w:eastAsia="zh-CN"/>
              </w:rPr>
              <w:t>190</w:t>
            </w:r>
            <w:r>
              <w:rPr>
                <w:rFonts w:hint="default" w:ascii="Times New Roman" w:hAnsi="Times New Roman" w:cs="Times New Roman"/>
                <w:color w:val="auto"/>
                <w:sz w:val="24"/>
                <w:highlight w:val="none"/>
              </w:rPr>
              <w:t>℃原料加热到熔融状态后，以很高的压力注入模腔中，固化定型后得到产品。</w:t>
            </w:r>
            <w:r>
              <w:rPr>
                <w:rFonts w:hint="eastAsia" w:ascii="Times New Roman" w:hAnsi="Times New Roman" w:cs="Times New Roman"/>
                <w:color w:val="auto"/>
                <w:sz w:val="24"/>
                <w:highlight w:val="none"/>
                <w:lang w:eastAsia="zh-CN"/>
              </w:rPr>
              <w:t>此工序产生有机废气</w:t>
            </w:r>
            <w:r>
              <w:rPr>
                <w:rFonts w:hint="eastAsia" w:ascii="Times New Roman" w:hAnsi="Times New Roman" w:cs="Times New Roman"/>
                <w:color w:val="auto"/>
                <w:sz w:val="24"/>
                <w:highlight w:val="none"/>
                <w:lang w:val="en-US" w:eastAsia="zh-CN"/>
              </w:rPr>
              <w:t>G、噪声N。</w:t>
            </w:r>
          </w:p>
          <w:p w14:paraId="17BADB0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lang w:val="en-US" w:eastAsia="zh-CN"/>
              </w:rPr>
              <w:t>3</w:t>
            </w:r>
            <w:r>
              <w:rPr>
                <w:rFonts w:hint="default"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lang w:eastAsia="zh-CN"/>
              </w:rPr>
              <w:t>冷却</w:t>
            </w:r>
            <w:r>
              <w:rPr>
                <w:rFonts w:hint="default" w:ascii="Times New Roman" w:hAnsi="Times New Roman" w:cs="Times New Roman"/>
                <w:color w:val="auto"/>
                <w:sz w:val="24"/>
                <w:highlight w:val="none"/>
              </w:rPr>
              <w:t>：设备冷却采用循环水冷的方式。</w:t>
            </w:r>
            <w:r>
              <w:rPr>
                <w:rFonts w:hint="eastAsia" w:ascii="Times New Roman" w:hAnsi="Times New Roman" w:cs="Times New Roman"/>
                <w:color w:val="auto"/>
                <w:sz w:val="24"/>
                <w:highlight w:val="none"/>
                <w:lang w:eastAsia="zh-CN"/>
              </w:rPr>
              <w:t>注塑</w:t>
            </w:r>
            <w:r>
              <w:rPr>
                <w:rFonts w:hint="default" w:ascii="Times New Roman" w:hAnsi="Times New Roman" w:cs="Times New Roman"/>
                <w:color w:val="auto"/>
                <w:sz w:val="24"/>
                <w:highlight w:val="none"/>
              </w:rPr>
              <w:t>成型完成后，利用循环冷却水对</w:t>
            </w:r>
            <w:r>
              <w:rPr>
                <w:rFonts w:hint="eastAsia" w:ascii="Times New Roman" w:hAnsi="Times New Roman" w:cs="Times New Roman"/>
                <w:color w:val="auto"/>
                <w:sz w:val="24"/>
                <w:highlight w:val="none"/>
                <w:lang w:eastAsia="zh-CN"/>
              </w:rPr>
              <w:t>产品</w:t>
            </w:r>
            <w:r>
              <w:rPr>
                <w:rFonts w:hint="default" w:ascii="Times New Roman" w:hAnsi="Times New Roman" w:cs="Times New Roman"/>
                <w:color w:val="auto"/>
                <w:sz w:val="24"/>
                <w:highlight w:val="none"/>
              </w:rPr>
              <w:t>进行降温，使其最后定型，然后将成型件自模具内取出。</w:t>
            </w:r>
            <w:r>
              <w:rPr>
                <w:rFonts w:hint="eastAsia" w:ascii="Times New Roman" w:hAnsi="Times New Roman" w:cs="Times New Roman"/>
                <w:color w:val="auto"/>
                <w:sz w:val="24"/>
                <w:highlight w:val="none"/>
                <w:lang w:eastAsia="zh-CN"/>
              </w:rPr>
              <w:t>此工序产生冷却水</w:t>
            </w:r>
            <w:r>
              <w:rPr>
                <w:rFonts w:hint="eastAsia" w:ascii="Times New Roman" w:hAnsi="Times New Roman" w:cs="Times New Roman"/>
                <w:color w:val="auto"/>
                <w:sz w:val="24"/>
                <w:highlight w:val="none"/>
                <w:lang w:val="en-US" w:eastAsia="zh-CN"/>
              </w:rPr>
              <w:t>W。</w:t>
            </w:r>
          </w:p>
          <w:p w14:paraId="7A09DF0D">
            <w:pPr>
              <w:spacing w:line="520" w:lineRule="exact"/>
              <w:ind w:firstLine="480" w:firstLineChars="200"/>
              <w:rPr>
                <w:rFonts w:hint="default"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lang w:val="en-US" w:eastAsia="zh-CN"/>
              </w:rPr>
              <w:t>4</w:t>
            </w:r>
            <w:r>
              <w:rPr>
                <w:rFonts w:hint="eastAsia" w:ascii="Times New Roman" w:hAnsi="Times New Roman" w:cs="Times New Roman"/>
                <w:color w:val="auto"/>
                <w:sz w:val="24"/>
                <w:szCs w:val="24"/>
                <w:lang w:eastAsia="zh-CN"/>
              </w:rPr>
              <w:t>）检验、修边：人工检验产品质量，并对合格产品进行修边。此工序产生不合格产品</w:t>
            </w:r>
            <w:r>
              <w:rPr>
                <w:rFonts w:hint="eastAsia" w:ascii="Times New Roman" w:hAnsi="Times New Roman" w:cs="Times New Roman"/>
                <w:color w:val="auto"/>
                <w:sz w:val="24"/>
                <w:szCs w:val="24"/>
                <w:lang w:val="en-US" w:eastAsia="zh-CN"/>
              </w:rPr>
              <w:t>S、边角料S、噪声N。</w:t>
            </w:r>
          </w:p>
          <w:p w14:paraId="2D5B7D0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5</w:t>
            </w:r>
            <w:r>
              <w:rPr>
                <w:rFonts w:hint="eastAsia" w:ascii="Times New Roman" w:hAnsi="Times New Roman" w:cs="Times New Roman"/>
                <w:color w:val="000000" w:themeColor="text1"/>
                <w:sz w:val="24"/>
                <w:szCs w:val="24"/>
                <w:lang w:eastAsia="zh-CN"/>
                <w14:textFill>
                  <w14:solidFill>
                    <w14:schemeClr w14:val="tx1"/>
                  </w14:solidFill>
                </w14:textFill>
              </w:rPr>
              <w:t>）扎包、打包：将合格产品放入扎包机内套上包装袋，并用扎带进行扎包。扎包后的的产品进入打包工序，打包装盒。此工序产生废包装物</w:t>
            </w:r>
            <w:r>
              <w:rPr>
                <w:rFonts w:hint="eastAsia" w:ascii="Times New Roman" w:hAnsi="Times New Roman" w:cs="Times New Roman"/>
                <w:color w:val="000000" w:themeColor="text1"/>
                <w:sz w:val="24"/>
                <w:szCs w:val="24"/>
                <w:lang w:val="en-US" w:eastAsia="zh-CN"/>
                <w14:textFill>
                  <w14:solidFill>
                    <w14:schemeClr w14:val="tx1"/>
                  </w14:solidFill>
                </w14:textFill>
              </w:rPr>
              <w:t>S、噪声N。</w:t>
            </w:r>
          </w:p>
          <w:p w14:paraId="19C3443E">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imes New Roman" w:hAnsi="Times New Roman" w:cs="Times New Roman"/>
                <w:color w:val="auto"/>
                <w:sz w:val="24"/>
                <w:highlight w:val="none"/>
                <w:lang w:val="en-US" w:eastAsia="zh-CN"/>
              </w:rPr>
            </w:pP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lang w:val="en-US" w:eastAsia="zh-CN"/>
              </w:rPr>
              <w:t>6</w:t>
            </w:r>
            <w:r>
              <w:rPr>
                <w:rFonts w:hint="eastAsia" w:ascii="Times New Roman" w:hAnsi="Times New Roman" w:cs="Times New Roman"/>
                <w:color w:val="auto"/>
                <w:sz w:val="24"/>
                <w:szCs w:val="24"/>
                <w:lang w:eastAsia="zh-CN"/>
              </w:rPr>
              <w:t>）粉碎：</w:t>
            </w:r>
            <w:r>
              <w:rPr>
                <w:rFonts w:hint="default" w:ascii="Times New Roman" w:hAnsi="Times New Roman" w:cs="Times New Roman"/>
                <w:color w:val="auto"/>
                <w:sz w:val="24"/>
                <w:highlight w:val="none"/>
              </w:rPr>
              <w:t>边角料及不合格产品送入粉碎机进行破碎后回用于生产工序。</w:t>
            </w:r>
            <w:r>
              <w:rPr>
                <w:rFonts w:hint="eastAsia" w:ascii="Times New Roman" w:hAnsi="Times New Roman" w:cs="Times New Roman"/>
                <w:color w:val="auto"/>
                <w:sz w:val="24"/>
                <w:highlight w:val="none"/>
                <w:lang w:eastAsia="zh-CN"/>
              </w:rPr>
              <w:t>此工序产生粉尘废气</w:t>
            </w:r>
            <w:r>
              <w:rPr>
                <w:rFonts w:hint="eastAsia" w:ascii="Times New Roman" w:hAnsi="Times New Roman" w:cs="Times New Roman"/>
                <w:color w:val="auto"/>
                <w:sz w:val="24"/>
                <w:highlight w:val="none"/>
                <w:lang w:val="en-US" w:eastAsia="zh-CN"/>
              </w:rPr>
              <w:t>G、噪声N、废布袋S。</w:t>
            </w:r>
          </w:p>
          <w:p w14:paraId="6DD56AFD">
            <w:pPr>
              <w:spacing w:line="520" w:lineRule="exact"/>
              <w:ind w:firstLine="480" w:firstLineChars="200"/>
              <w:rPr>
                <w:rFonts w:hint="default" w:ascii="Times New Roman" w:hAnsi="Times New Roman" w:cs="Times New Roman"/>
                <w:b/>
                <w:color w:val="auto"/>
                <w:sz w:val="24"/>
                <w:szCs w:val="24"/>
              </w:rPr>
            </w:pPr>
            <w:r>
              <w:rPr>
                <w:rFonts w:hint="default" w:ascii="Times New Roman" w:hAnsi="Times New Roman" w:cs="Times New Roman"/>
                <w:color w:val="auto"/>
                <w:sz w:val="24"/>
                <w:szCs w:val="24"/>
              </w:rPr>
              <w:t>项目主要污染物的</w:t>
            </w:r>
            <w:r>
              <w:rPr>
                <w:rFonts w:hint="default" w:ascii="Times New Roman" w:hAnsi="Times New Roman" w:cs="Times New Roman"/>
                <w:bCs/>
                <w:color w:val="auto"/>
                <w:sz w:val="24"/>
                <w:szCs w:val="24"/>
              </w:rPr>
              <w:t>产生情况见表</w:t>
            </w:r>
            <w:r>
              <w:rPr>
                <w:rFonts w:hint="eastAsia" w:ascii="Times New Roman" w:hAnsi="Times New Roman" w:cs="Times New Roman"/>
                <w:bCs/>
                <w:color w:val="auto"/>
                <w:sz w:val="24"/>
                <w:szCs w:val="24"/>
                <w:lang w:val="en-US" w:eastAsia="zh-CN"/>
              </w:rPr>
              <w:t>9</w:t>
            </w:r>
            <w:r>
              <w:rPr>
                <w:rFonts w:hint="default" w:ascii="Times New Roman" w:hAnsi="Times New Roman" w:cs="Times New Roman"/>
                <w:bCs/>
                <w:color w:val="auto"/>
                <w:sz w:val="24"/>
                <w:szCs w:val="24"/>
              </w:rPr>
              <w:t>。</w:t>
            </w:r>
          </w:p>
          <w:p w14:paraId="79945C40">
            <w:pPr>
              <w:spacing w:line="480" w:lineRule="atLeast"/>
              <w:jc w:val="center"/>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表</w:t>
            </w:r>
            <w:r>
              <w:rPr>
                <w:rFonts w:hint="eastAsia" w:ascii="Times New Roman" w:hAnsi="Times New Roman" w:cs="Times New Roman"/>
                <w:b/>
                <w:color w:val="auto"/>
                <w:sz w:val="24"/>
                <w:szCs w:val="24"/>
                <w:lang w:val="en-US" w:eastAsia="zh-CN"/>
              </w:rPr>
              <w:t>9</w:t>
            </w:r>
            <w:r>
              <w:rPr>
                <w:rFonts w:hint="default" w:ascii="Times New Roman" w:hAnsi="Times New Roman" w:cs="Times New Roman"/>
                <w:b/>
                <w:color w:val="auto"/>
                <w:sz w:val="24"/>
                <w:szCs w:val="24"/>
              </w:rPr>
              <w:t>项目主要污染物产生情况一览表</w:t>
            </w:r>
          </w:p>
          <w:tbl>
            <w:tblPr>
              <w:tblStyle w:val="34"/>
              <w:tblW w:w="499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589"/>
              <w:gridCol w:w="661"/>
              <w:gridCol w:w="2091"/>
              <w:gridCol w:w="1405"/>
              <w:gridCol w:w="3119"/>
            </w:tblGrid>
            <w:tr w14:paraId="0ABE8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374" w:type="pct"/>
                  <w:vAlign w:val="center"/>
                </w:tcPr>
                <w:p w14:paraId="0F20BD79">
                  <w:pPr>
                    <w:spacing w:line="280" w:lineRule="atLeas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污染物类型</w:t>
                  </w:r>
                </w:p>
              </w:tc>
              <w:tc>
                <w:tcPr>
                  <w:tcW w:w="420" w:type="pct"/>
                  <w:vAlign w:val="center"/>
                </w:tcPr>
                <w:p w14:paraId="6B1625FD">
                  <w:pPr>
                    <w:spacing w:line="280" w:lineRule="atLeas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序号</w:t>
                  </w:r>
                </w:p>
              </w:tc>
              <w:tc>
                <w:tcPr>
                  <w:tcW w:w="1329" w:type="pct"/>
                  <w:vAlign w:val="center"/>
                </w:tcPr>
                <w:p w14:paraId="0D0733D3">
                  <w:pPr>
                    <w:spacing w:line="280" w:lineRule="atLeas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排污节点</w:t>
                  </w:r>
                </w:p>
              </w:tc>
              <w:tc>
                <w:tcPr>
                  <w:tcW w:w="893" w:type="pct"/>
                  <w:vAlign w:val="center"/>
                </w:tcPr>
                <w:p w14:paraId="0B718CB7">
                  <w:pPr>
                    <w:spacing w:line="280" w:lineRule="atLeas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主要污染物</w:t>
                  </w:r>
                </w:p>
              </w:tc>
              <w:tc>
                <w:tcPr>
                  <w:tcW w:w="1982" w:type="pct"/>
                  <w:vAlign w:val="center"/>
                </w:tcPr>
                <w:p w14:paraId="5DFD6CE6">
                  <w:pPr>
                    <w:spacing w:line="280" w:lineRule="atLeas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治理措施</w:t>
                  </w:r>
                </w:p>
              </w:tc>
            </w:tr>
            <w:tr w14:paraId="65979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374" w:type="pct"/>
                  <w:vMerge w:val="restart"/>
                  <w:vAlign w:val="center"/>
                </w:tcPr>
                <w:p w14:paraId="2B08C8E3">
                  <w:pPr>
                    <w:spacing w:line="28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废气</w:t>
                  </w:r>
                </w:p>
              </w:tc>
              <w:tc>
                <w:tcPr>
                  <w:tcW w:w="420" w:type="pct"/>
                  <w:vAlign w:val="center"/>
                </w:tcPr>
                <w:p w14:paraId="08C55F82">
                  <w:pPr>
                    <w:spacing w:line="28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G</w:t>
                  </w:r>
                </w:p>
              </w:tc>
              <w:tc>
                <w:tcPr>
                  <w:tcW w:w="1329" w:type="pct"/>
                  <w:vAlign w:val="center"/>
                </w:tcPr>
                <w:p w14:paraId="012FFC39">
                  <w:pPr>
                    <w:spacing w:line="28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注塑</w:t>
                  </w:r>
                </w:p>
              </w:tc>
              <w:tc>
                <w:tcPr>
                  <w:tcW w:w="893" w:type="pct"/>
                  <w:vAlign w:val="center"/>
                </w:tcPr>
                <w:p w14:paraId="62BF1E7F">
                  <w:pPr>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非甲烷总烃、臭气浓度</w:t>
                  </w:r>
                </w:p>
              </w:tc>
              <w:tc>
                <w:tcPr>
                  <w:tcW w:w="1982" w:type="pct"/>
                  <w:vAlign w:val="center"/>
                </w:tcPr>
                <w:p w14:paraId="377D9AF9">
                  <w:pPr>
                    <w:spacing w:line="28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集气罩+</w:t>
                  </w:r>
                  <w:r>
                    <w:rPr>
                      <w:rFonts w:hint="eastAsia" w:ascii="Times New Roman" w:hAnsi="Times New Roman" w:cs="Times New Roman"/>
                      <w:color w:val="auto"/>
                      <w:sz w:val="21"/>
                      <w:szCs w:val="21"/>
                      <w:lang w:val="en-US" w:eastAsia="zh-CN"/>
                    </w:rPr>
                    <w:t>二级活性炭装置</w:t>
                  </w:r>
                  <w:r>
                    <w:rPr>
                      <w:rFonts w:hint="default" w:ascii="Times New Roman" w:hAnsi="Times New Roman" w:eastAsia="宋体" w:cs="Times New Roman"/>
                      <w:color w:val="auto"/>
                      <w:sz w:val="21"/>
                      <w:szCs w:val="21"/>
                      <w:lang w:val="en-US" w:eastAsia="zh-CN"/>
                    </w:rPr>
                    <w:t>+15m排气筒DA001排放</w:t>
                  </w:r>
                </w:p>
              </w:tc>
            </w:tr>
            <w:tr w14:paraId="2EF1F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374" w:type="pct"/>
                  <w:vMerge w:val="continue"/>
                  <w:vAlign w:val="center"/>
                </w:tcPr>
                <w:p w14:paraId="684AFB93">
                  <w:pPr>
                    <w:spacing w:line="280" w:lineRule="atLeast"/>
                    <w:jc w:val="center"/>
                    <w:rPr>
                      <w:rFonts w:hint="default" w:ascii="Times New Roman" w:hAnsi="Times New Roman" w:cs="Times New Roman"/>
                      <w:color w:val="auto"/>
                      <w:sz w:val="21"/>
                      <w:szCs w:val="21"/>
                    </w:rPr>
                  </w:pPr>
                </w:p>
              </w:tc>
              <w:tc>
                <w:tcPr>
                  <w:tcW w:w="420" w:type="pct"/>
                  <w:vAlign w:val="center"/>
                </w:tcPr>
                <w:p w14:paraId="56A05EFF">
                  <w:pPr>
                    <w:spacing w:line="28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G</w:t>
                  </w:r>
                </w:p>
              </w:tc>
              <w:tc>
                <w:tcPr>
                  <w:tcW w:w="1329" w:type="pct"/>
                  <w:vAlign w:val="center"/>
                </w:tcPr>
                <w:p w14:paraId="440676A7">
                  <w:pPr>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粉碎工序</w:t>
                  </w:r>
                </w:p>
              </w:tc>
              <w:tc>
                <w:tcPr>
                  <w:tcW w:w="893" w:type="pct"/>
                  <w:vAlign w:val="center"/>
                </w:tcPr>
                <w:p w14:paraId="79E5D494">
                  <w:pPr>
                    <w:spacing w:line="280" w:lineRule="atLeast"/>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颗粒物</w:t>
                  </w:r>
                </w:p>
              </w:tc>
              <w:tc>
                <w:tcPr>
                  <w:tcW w:w="1982" w:type="pct"/>
                  <w:vAlign w:val="center"/>
                </w:tcPr>
                <w:p w14:paraId="2B9AEFE9">
                  <w:pPr>
                    <w:spacing w:line="28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集气罩+1套布袋除尘器+1根15m高排气筒DA002</w:t>
                  </w:r>
                </w:p>
              </w:tc>
            </w:tr>
            <w:tr w14:paraId="77880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4" w:hRule="atLeast"/>
                <w:jc w:val="center"/>
              </w:trPr>
              <w:tc>
                <w:tcPr>
                  <w:tcW w:w="374" w:type="pct"/>
                  <w:vMerge w:val="restart"/>
                  <w:vAlign w:val="center"/>
                </w:tcPr>
                <w:p w14:paraId="6E7A1659">
                  <w:pPr>
                    <w:spacing w:line="28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污水</w:t>
                  </w:r>
                </w:p>
              </w:tc>
              <w:tc>
                <w:tcPr>
                  <w:tcW w:w="420" w:type="pct"/>
                  <w:vAlign w:val="center"/>
                </w:tcPr>
                <w:p w14:paraId="5BADBECF">
                  <w:pPr>
                    <w:spacing w:line="28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w:t>
                  </w:r>
                </w:p>
              </w:tc>
              <w:tc>
                <w:tcPr>
                  <w:tcW w:w="1329" w:type="pct"/>
                  <w:vAlign w:val="center"/>
                </w:tcPr>
                <w:p w14:paraId="1DC36512">
                  <w:pPr>
                    <w:spacing w:line="28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职工生活</w:t>
                  </w:r>
                </w:p>
              </w:tc>
              <w:tc>
                <w:tcPr>
                  <w:tcW w:w="893" w:type="pct"/>
                  <w:vAlign w:val="center"/>
                </w:tcPr>
                <w:p w14:paraId="1C2C959B">
                  <w:pPr>
                    <w:spacing w:line="28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生活污水</w:t>
                  </w:r>
                </w:p>
              </w:tc>
              <w:tc>
                <w:tcPr>
                  <w:tcW w:w="1982" w:type="pct"/>
                  <w:vAlign w:val="center"/>
                </w:tcPr>
                <w:p w14:paraId="36138837">
                  <w:pPr>
                    <w:spacing w:line="280" w:lineRule="atLeast"/>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排入</w:t>
                  </w:r>
                  <w:r>
                    <w:rPr>
                      <w:rFonts w:hint="eastAsia" w:ascii="Times New Roman" w:hAnsi="Times New Roman" w:cs="Times New Roman"/>
                      <w:color w:val="auto"/>
                      <w:sz w:val="21"/>
                      <w:szCs w:val="21"/>
                      <w:lang w:val="en-US" w:eastAsia="zh-CN"/>
                    </w:rPr>
                    <w:t>化粪池</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定期清掏不外排</w:t>
                  </w:r>
                </w:p>
              </w:tc>
            </w:tr>
            <w:tr w14:paraId="79F06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4" w:hRule="atLeast"/>
                <w:jc w:val="center"/>
              </w:trPr>
              <w:tc>
                <w:tcPr>
                  <w:tcW w:w="374" w:type="pct"/>
                  <w:vMerge w:val="continue"/>
                  <w:vAlign w:val="center"/>
                </w:tcPr>
                <w:p w14:paraId="3D200669">
                  <w:pPr>
                    <w:spacing w:line="280" w:lineRule="atLeast"/>
                    <w:jc w:val="center"/>
                    <w:rPr>
                      <w:rFonts w:hint="default" w:ascii="Times New Roman" w:hAnsi="Times New Roman" w:cs="Times New Roman"/>
                      <w:color w:val="auto"/>
                    </w:rPr>
                  </w:pPr>
                </w:p>
              </w:tc>
              <w:tc>
                <w:tcPr>
                  <w:tcW w:w="420" w:type="pct"/>
                  <w:vAlign w:val="top"/>
                </w:tcPr>
                <w:p w14:paraId="765FC5BB">
                  <w:pPr>
                    <w:spacing w:line="280" w:lineRule="atLeast"/>
                    <w:jc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w:t>
                  </w:r>
                </w:p>
              </w:tc>
              <w:tc>
                <w:tcPr>
                  <w:tcW w:w="1329" w:type="pct"/>
                  <w:vAlign w:val="top"/>
                </w:tcPr>
                <w:p w14:paraId="1DE5C6D0">
                  <w:pPr>
                    <w:spacing w:line="28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生产冷却水</w:t>
                  </w:r>
                </w:p>
              </w:tc>
              <w:tc>
                <w:tcPr>
                  <w:tcW w:w="893" w:type="pct"/>
                  <w:vAlign w:val="top"/>
                </w:tcPr>
                <w:p w14:paraId="6348414B">
                  <w:pPr>
                    <w:spacing w:line="28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1982" w:type="pct"/>
                  <w:vAlign w:val="top"/>
                </w:tcPr>
                <w:p w14:paraId="4DA3E3A8">
                  <w:pPr>
                    <w:spacing w:line="28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循环使用，定期补充，不外排</w:t>
                  </w:r>
                </w:p>
              </w:tc>
            </w:tr>
            <w:tr w14:paraId="6146A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374" w:type="pct"/>
                  <w:vAlign w:val="center"/>
                </w:tcPr>
                <w:p w14:paraId="058C723B">
                  <w:pPr>
                    <w:spacing w:line="28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噪声</w:t>
                  </w:r>
                </w:p>
              </w:tc>
              <w:tc>
                <w:tcPr>
                  <w:tcW w:w="420" w:type="pct"/>
                  <w:vAlign w:val="center"/>
                </w:tcPr>
                <w:p w14:paraId="74388182">
                  <w:pPr>
                    <w:spacing w:line="28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w:t>
                  </w:r>
                </w:p>
              </w:tc>
              <w:tc>
                <w:tcPr>
                  <w:tcW w:w="1329" w:type="pct"/>
                  <w:vAlign w:val="center"/>
                </w:tcPr>
                <w:p w14:paraId="31408FB3">
                  <w:pPr>
                    <w:spacing w:line="28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设备生产</w:t>
                  </w:r>
                </w:p>
              </w:tc>
              <w:tc>
                <w:tcPr>
                  <w:tcW w:w="893" w:type="pct"/>
                  <w:vAlign w:val="center"/>
                </w:tcPr>
                <w:p w14:paraId="3E942592">
                  <w:pPr>
                    <w:spacing w:line="28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噪声</w:t>
                  </w:r>
                </w:p>
              </w:tc>
              <w:tc>
                <w:tcPr>
                  <w:tcW w:w="1982" w:type="pct"/>
                  <w:vAlign w:val="center"/>
                </w:tcPr>
                <w:p w14:paraId="4F1A4526">
                  <w:pPr>
                    <w:spacing w:line="28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基础减震、厂房隔声</w:t>
                  </w:r>
                </w:p>
              </w:tc>
            </w:tr>
            <w:tr w14:paraId="1FADE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1" w:hRule="atLeast"/>
                <w:jc w:val="center"/>
              </w:trPr>
              <w:tc>
                <w:tcPr>
                  <w:tcW w:w="374" w:type="pct"/>
                  <w:vMerge w:val="restart"/>
                  <w:vAlign w:val="center"/>
                </w:tcPr>
                <w:p w14:paraId="1CC6F9F7">
                  <w:pPr>
                    <w:spacing w:line="28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固废</w:t>
                  </w:r>
                </w:p>
              </w:tc>
              <w:tc>
                <w:tcPr>
                  <w:tcW w:w="420" w:type="pct"/>
                  <w:vAlign w:val="center"/>
                </w:tcPr>
                <w:p w14:paraId="32D311F8">
                  <w:pPr>
                    <w:spacing w:line="28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1329" w:type="pct"/>
                  <w:vAlign w:val="center"/>
                </w:tcPr>
                <w:p w14:paraId="499537EE">
                  <w:pPr>
                    <w:spacing w:line="28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职工生活</w:t>
                  </w:r>
                </w:p>
              </w:tc>
              <w:tc>
                <w:tcPr>
                  <w:tcW w:w="893" w:type="pct"/>
                  <w:vAlign w:val="center"/>
                </w:tcPr>
                <w:p w14:paraId="5ACBB228">
                  <w:pPr>
                    <w:spacing w:line="28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生活垃圾</w:t>
                  </w:r>
                </w:p>
              </w:tc>
              <w:tc>
                <w:tcPr>
                  <w:tcW w:w="1982" w:type="pct"/>
                  <w:vAlign w:val="center"/>
                </w:tcPr>
                <w:p w14:paraId="75B8D430">
                  <w:pPr>
                    <w:spacing w:line="28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交由环卫部门处理</w:t>
                  </w:r>
                </w:p>
              </w:tc>
            </w:tr>
            <w:tr w14:paraId="39D0D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1" w:hRule="atLeast"/>
                <w:jc w:val="center"/>
              </w:trPr>
              <w:tc>
                <w:tcPr>
                  <w:tcW w:w="374" w:type="pct"/>
                  <w:vMerge w:val="continue"/>
                  <w:vAlign w:val="center"/>
                </w:tcPr>
                <w:p w14:paraId="3A1F5B02">
                  <w:pPr>
                    <w:spacing w:line="280" w:lineRule="atLeast"/>
                    <w:jc w:val="center"/>
                    <w:rPr>
                      <w:rFonts w:hint="default" w:ascii="Times New Roman" w:hAnsi="Times New Roman" w:cs="Times New Roman"/>
                      <w:color w:val="auto"/>
                    </w:rPr>
                  </w:pPr>
                </w:p>
              </w:tc>
              <w:tc>
                <w:tcPr>
                  <w:tcW w:w="420" w:type="pct"/>
                  <w:vAlign w:val="center"/>
                </w:tcPr>
                <w:p w14:paraId="4F4AAF13">
                  <w:pPr>
                    <w:spacing w:line="280" w:lineRule="atLeast"/>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S</w:t>
                  </w:r>
                </w:p>
              </w:tc>
              <w:tc>
                <w:tcPr>
                  <w:tcW w:w="1329" w:type="pct"/>
                  <w:vAlign w:val="center"/>
                </w:tcPr>
                <w:p w14:paraId="661714CA">
                  <w:pPr>
                    <w:spacing w:line="280" w:lineRule="atLeast"/>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生产工序</w:t>
                  </w:r>
                </w:p>
              </w:tc>
              <w:tc>
                <w:tcPr>
                  <w:tcW w:w="893" w:type="pct"/>
                  <w:vAlign w:val="center"/>
                </w:tcPr>
                <w:p w14:paraId="63EEEBAD">
                  <w:pPr>
                    <w:spacing w:line="28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废包装</w:t>
                  </w:r>
                </w:p>
              </w:tc>
              <w:tc>
                <w:tcPr>
                  <w:tcW w:w="1982" w:type="pct"/>
                  <w:vAlign w:val="center"/>
                </w:tcPr>
                <w:p w14:paraId="712C5E85">
                  <w:pPr>
                    <w:spacing w:line="28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外售综合利用</w:t>
                  </w:r>
                </w:p>
              </w:tc>
            </w:tr>
            <w:tr w14:paraId="497F2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374" w:type="pct"/>
                  <w:vMerge w:val="continue"/>
                  <w:vAlign w:val="center"/>
                </w:tcPr>
                <w:p w14:paraId="28D572BB">
                  <w:pPr>
                    <w:spacing w:line="280" w:lineRule="atLeast"/>
                    <w:jc w:val="center"/>
                    <w:rPr>
                      <w:rFonts w:hint="default" w:ascii="Times New Roman" w:hAnsi="Times New Roman" w:cs="Times New Roman"/>
                      <w:color w:val="auto"/>
                      <w:sz w:val="21"/>
                      <w:szCs w:val="21"/>
                    </w:rPr>
                  </w:pPr>
                </w:p>
              </w:tc>
              <w:tc>
                <w:tcPr>
                  <w:tcW w:w="420" w:type="pct"/>
                  <w:vAlign w:val="center"/>
                </w:tcPr>
                <w:p w14:paraId="5B7D54CD">
                  <w:pPr>
                    <w:spacing w:line="280" w:lineRule="atLeast"/>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S</w:t>
                  </w:r>
                </w:p>
              </w:tc>
              <w:tc>
                <w:tcPr>
                  <w:tcW w:w="1329" w:type="pct"/>
                  <w:shd w:val="clear" w:color="auto" w:fill="auto"/>
                  <w:vAlign w:val="center"/>
                </w:tcPr>
                <w:p w14:paraId="01230DED">
                  <w:pPr>
                    <w:spacing w:line="280" w:lineRule="atLeast"/>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修边</w:t>
                  </w:r>
                </w:p>
              </w:tc>
              <w:tc>
                <w:tcPr>
                  <w:tcW w:w="893" w:type="pct"/>
                  <w:shd w:val="clear" w:color="auto" w:fill="auto"/>
                  <w:vAlign w:val="center"/>
                </w:tcPr>
                <w:p w14:paraId="774CE8A6">
                  <w:pPr>
                    <w:spacing w:line="28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塑料边角料</w:t>
                  </w:r>
                </w:p>
              </w:tc>
              <w:tc>
                <w:tcPr>
                  <w:tcW w:w="1982" w:type="pct"/>
                  <w:vMerge w:val="restart"/>
                  <w:vAlign w:val="center"/>
                </w:tcPr>
                <w:p w14:paraId="48A9F572">
                  <w:pPr>
                    <w:spacing w:line="28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粉碎后回用于生产</w:t>
                  </w:r>
                </w:p>
              </w:tc>
            </w:tr>
            <w:tr w14:paraId="04A18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7" w:hRule="atLeast"/>
                <w:jc w:val="center"/>
              </w:trPr>
              <w:tc>
                <w:tcPr>
                  <w:tcW w:w="374" w:type="pct"/>
                  <w:vMerge w:val="continue"/>
                  <w:vAlign w:val="center"/>
                </w:tcPr>
                <w:p w14:paraId="40F2ADF7">
                  <w:pPr>
                    <w:spacing w:line="280" w:lineRule="atLeast"/>
                    <w:jc w:val="center"/>
                    <w:rPr>
                      <w:rFonts w:hint="default" w:ascii="Times New Roman" w:hAnsi="Times New Roman" w:cs="Times New Roman"/>
                      <w:color w:val="auto"/>
                      <w:sz w:val="21"/>
                      <w:szCs w:val="21"/>
                    </w:rPr>
                  </w:pPr>
                </w:p>
              </w:tc>
              <w:tc>
                <w:tcPr>
                  <w:tcW w:w="420" w:type="pct"/>
                  <w:vAlign w:val="center"/>
                </w:tcPr>
                <w:p w14:paraId="7FC4E379">
                  <w:pPr>
                    <w:spacing w:line="280" w:lineRule="atLeast"/>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S</w:t>
                  </w:r>
                </w:p>
              </w:tc>
              <w:tc>
                <w:tcPr>
                  <w:tcW w:w="1329" w:type="pct"/>
                  <w:shd w:val="clear" w:color="auto" w:fill="auto"/>
                  <w:vAlign w:val="center"/>
                </w:tcPr>
                <w:p w14:paraId="24C828D2">
                  <w:pPr>
                    <w:spacing w:line="28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检验工序</w:t>
                  </w:r>
                </w:p>
              </w:tc>
              <w:tc>
                <w:tcPr>
                  <w:tcW w:w="893" w:type="pct"/>
                  <w:shd w:val="clear" w:color="auto" w:fill="auto"/>
                  <w:vAlign w:val="center"/>
                </w:tcPr>
                <w:p w14:paraId="556E4A8E">
                  <w:pPr>
                    <w:spacing w:line="28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不合格品</w:t>
                  </w:r>
                </w:p>
              </w:tc>
              <w:tc>
                <w:tcPr>
                  <w:tcW w:w="1982" w:type="pct"/>
                  <w:vMerge w:val="continue"/>
                  <w:vAlign w:val="center"/>
                </w:tcPr>
                <w:p w14:paraId="545EE8AA">
                  <w:pPr>
                    <w:spacing w:line="280" w:lineRule="atLeast"/>
                    <w:jc w:val="center"/>
                    <w:rPr>
                      <w:rFonts w:hint="default" w:ascii="Times New Roman" w:hAnsi="Times New Roman" w:eastAsia="宋体" w:cs="Times New Roman"/>
                      <w:color w:val="auto"/>
                      <w:sz w:val="21"/>
                      <w:szCs w:val="21"/>
                      <w:lang w:val="en-US" w:eastAsia="zh-CN"/>
                    </w:rPr>
                  </w:pPr>
                </w:p>
              </w:tc>
            </w:tr>
            <w:tr w14:paraId="5008E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374" w:type="pct"/>
                  <w:vMerge w:val="continue"/>
                  <w:vAlign w:val="center"/>
                </w:tcPr>
                <w:p w14:paraId="19DBC3CB">
                  <w:pPr>
                    <w:spacing w:line="280" w:lineRule="atLeast"/>
                    <w:jc w:val="center"/>
                    <w:rPr>
                      <w:rFonts w:hint="default" w:ascii="Times New Roman" w:hAnsi="Times New Roman" w:cs="Times New Roman"/>
                      <w:color w:val="auto"/>
                      <w:sz w:val="21"/>
                      <w:szCs w:val="21"/>
                    </w:rPr>
                  </w:pPr>
                </w:p>
              </w:tc>
              <w:tc>
                <w:tcPr>
                  <w:tcW w:w="420" w:type="pct"/>
                  <w:vAlign w:val="center"/>
                </w:tcPr>
                <w:p w14:paraId="475B1A63">
                  <w:pPr>
                    <w:spacing w:line="28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S</w:t>
                  </w:r>
                </w:p>
              </w:tc>
              <w:tc>
                <w:tcPr>
                  <w:tcW w:w="1329" w:type="pct"/>
                  <w:vAlign w:val="center"/>
                </w:tcPr>
                <w:p w14:paraId="67897A11">
                  <w:pPr>
                    <w:spacing w:line="28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环保设备</w:t>
                  </w:r>
                </w:p>
              </w:tc>
              <w:tc>
                <w:tcPr>
                  <w:tcW w:w="893" w:type="pct"/>
                  <w:vAlign w:val="center"/>
                </w:tcPr>
                <w:p w14:paraId="56C2629C">
                  <w:pPr>
                    <w:spacing w:line="28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除尘灰</w:t>
                  </w:r>
                  <w:r>
                    <w:rPr>
                      <w:rFonts w:hint="eastAsia" w:ascii="Times New Roman" w:hAnsi="Times New Roman" w:eastAsia="宋体" w:cs="Times New Roman"/>
                      <w:color w:val="auto"/>
                      <w:sz w:val="21"/>
                      <w:szCs w:val="21"/>
                      <w:lang w:val="en-US" w:eastAsia="zh-CN"/>
                    </w:rPr>
                    <w:t>、废布袋</w:t>
                  </w:r>
                </w:p>
              </w:tc>
              <w:tc>
                <w:tcPr>
                  <w:tcW w:w="1982" w:type="pct"/>
                  <w:vAlign w:val="center"/>
                </w:tcPr>
                <w:p w14:paraId="4E388AD9">
                  <w:pPr>
                    <w:spacing w:line="28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外售综合利用</w:t>
                  </w:r>
                </w:p>
              </w:tc>
            </w:tr>
            <w:tr w14:paraId="1BF57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374" w:type="pct"/>
                  <w:vMerge w:val="continue"/>
                  <w:vAlign w:val="center"/>
                </w:tcPr>
                <w:p w14:paraId="1E80C931">
                  <w:pPr>
                    <w:spacing w:line="280" w:lineRule="atLeast"/>
                    <w:jc w:val="center"/>
                    <w:rPr>
                      <w:rFonts w:hint="default" w:ascii="Times New Roman" w:hAnsi="Times New Roman" w:cs="Times New Roman"/>
                      <w:color w:val="auto"/>
                      <w:sz w:val="21"/>
                      <w:szCs w:val="21"/>
                    </w:rPr>
                  </w:pPr>
                </w:p>
              </w:tc>
              <w:tc>
                <w:tcPr>
                  <w:tcW w:w="420" w:type="pct"/>
                  <w:vAlign w:val="center"/>
                </w:tcPr>
                <w:p w14:paraId="501AE9FC">
                  <w:pPr>
                    <w:spacing w:line="28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1329" w:type="pct"/>
                  <w:vAlign w:val="center"/>
                </w:tcPr>
                <w:p w14:paraId="00D016F0">
                  <w:pPr>
                    <w:spacing w:line="28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生产设备维护</w:t>
                  </w:r>
                </w:p>
              </w:tc>
              <w:tc>
                <w:tcPr>
                  <w:tcW w:w="893" w:type="pct"/>
                  <w:vAlign w:val="center"/>
                </w:tcPr>
                <w:p w14:paraId="560BF51B">
                  <w:pPr>
                    <w:spacing w:line="280" w:lineRule="atLeast"/>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废机油</w:t>
                  </w:r>
                  <w:r>
                    <w:rPr>
                      <w:rFonts w:hint="default" w:ascii="Times New Roman" w:hAnsi="Times New Roman" w:eastAsia="宋体" w:cs="Times New Roman"/>
                      <w:color w:val="auto"/>
                      <w:sz w:val="21"/>
                      <w:szCs w:val="21"/>
                      <w:lang w:val="en-US" w:eastAsia="zh-CN"/>
                    </w:rPr>
                    <w:t>、废油桶</w:t>
                  </w:r>
                </w:p>
              </w:tc>
              <w:tc>
                <w:tcPr>
                  <w:tcW w:w="1982" w:type="pct"/>
                  <w:vMerge w:val="restart"/>
                  <w:vAlign w:val="center"/>
                </w:tcPr>
                <w:p w14:paraId="5AE6ABF7">
                  <w:pPr>
                    <w:spacing w:line="28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暂存危废储存间，定期交有资质单位处理</w:t>
                  </w:r>
                </w:p>
              </w:tc>
            </w:tr>
            <w:tr w14:paraId="724CD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374" w:type="pct"/>
                  <w:vMerge w:val="continue"/>
                  <w:vAlign w:val="center"/>
                </w:tcPr>
                <w:p w14:paraId="258232F6">
                  <w:pPr>
                    <w:spacing w:line="280" w:lineRule="atLeast"/>
                    <w:jc w:val="center"/>
                    <w:rPr>
                      <w:rFonts w:hint="default" w:ascii="Times New Roman" w:hAnsi="Times New Roman" w:cs="Times New Roman"/>
                      <w:color w:val="auto"/>
                      <w:sz w:val="21"/>
                      <w:szCs w:val="21"/>
                    </w:rPr>
                  </w:pPr>
                </w:p>
              </w:tc>
              <w:tc>
                <w:tcPr>
                  <w:tcW w:w="420" w:type="pct"/>
                  <w:vAlign w:val="center"/>
                </w:tcPr>
                <w:p w14:paraId="1ABB144F">
                  <w:pPr>
                    <w:spacing w:line="28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1329" w:type="pct"/>
                  <w:vAlign w:val="center"/>
                </w:tcPr>
                <w:p w14:paraId="1F557293">
                  <w:pPr>
                    <w:spacing w:line="28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环保设备</w:t>
                  </w:r>
                </w:p>
              </w:tc>
              <w:tc>
                <w:tcPr>
                  <w:tcW w:w="893" w:type="pct"/>
                  <w:vAlign w:val="center"/>
                </w:tcPr>
                <w:p w14:paraId="543EE176">
                  <w:pPr>
                    <w:spacing w:line="28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废活性炭</w:t>
                  </w:r>
                </w:p>
              </w:tc>
              <w:tc>
                <w:tcPr>
                  <w:tcW w:w="1982" w:type="pct"/>
                  <w:vMerge w:val="continue"/>
                  <w:vAlign w:val="center"/>
                </w:tcPr>
                <w:p w14:paraId="6E9D6EAE">
                  <w:pPr>
                    <w:spacing w:line="280" w:lineRule="atLeast"/>
                    <w:jc w:val="center"/>
                    <w:rPr>
                      <w:rFonts w:hint="default" w:ascii="Times New Roman" w:hAnsi="Times New Roman" w:cs="Times New Roman"/>
                      <w:color w:val="auto"/>
                      <w:sz w:val="21"/>
                      <w:szCs w:val="21"/>
                    </w:rPr>
                  </w:pPr>
                </w:p>
              </w:tc>
            </w:tr>
          </w:tbl>
          <w:p w14:paraId="31B51B6D">
            <w:pPr>
              <w:pStyle w:val="4"/>
              <w:ind w:firstLine="0" w:firstLineChars="0"/>
              <w:rPr>
                <w:rFonts w:hint="default" w:ascii="Times New Roman" w:hAnsi="Times New Roman" w:cs="Times New Roman" w:eastAsiaTheme="majorEastAsia"/>
                <w:color w:val="auto"/>
                <w:sz w:val="24"/>
                <w:szCs w:val="24"/>
              </w:rPr>
            </w:pPr>
          </w:p>
        </w:tc>
      </w:tr>
      <w:tr w14:paraId="2295A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7" w:hRule="atLeast"/>
          <w:jc w:val="center"/>
        </w:trPr>
        <w:tc>
          <w:tcPr>
            <w:tcW w:w="839" w:type="dxa"/>
            <w:vAlign w:val="center"/>
          </w:tcPr>
          <w:p w14:paraId="52A65438">
            <w:pPr>
              <w:widowControl/>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4"/>
                <w:szCs w:val="24"/>
                <w:lang w:bidi="ar"/>
              </w:rPr>
              <w:t>与项目有关的原有环境污染问题</w:t>
            </w:r>
          </w:p>
        </w:tc>
        <w:tc>
          <w:tcPr>
            <w:tcW w:w="8028" w:type="dxa"/>
            <w:vAlign w:val="center"/>
          </w:tcPr>
          <w:p w14:paraId="5A471735">
            <w:pPr>
              <w:widowControl/>
              <w:spacing w:line="480" w:lineRule="atLeast"/>
              <w:jc w:val="center"/>
              <w:rPr>
                <w:rFonts w:hint="default" w:ascii="Times New Roman" w:hAnsi="Times New Roman" w:cs="Times New Roman"/>
                <w:color w:val="auto"/>
                <w:sz w:val="24"/>
                <w:szCs w:val="24"/>
              </w:rPr>
            </w:pPr>
          </w:p>
          <w:p w14:paraId="37CE6493">
            <w:pPr>
              <w:widowControl/>
              <w:spacing w:line="480" w:lineRule="atLeast"/>
              <w:jc w:val="center"/>
              <w:rPr>
                <w:rFonts w:hint="default" w:ascii="Times New Roman" w:hAnsi="Times New Roman" w:cs="Times New Roman"/>
                <w:color w:val="auto"/>
                <w:sz w:val="24"/>
                <w:szCs w:val="24"/>
              </w:rPr>
            </w:pPr>
          </w:p>
          <w:p w14:paraId="0C2E56C6">
            <w:pPr>
              <w:widowControl/>
              <w:spacing w:line="480" w:lineRule="atLeast"/>
              <w:jc w:val="center"/>
              <w:rPr>
                <w:rFonts w:hint="default" w:ascii="Times New Roman" w:hAnsi="Times New Roman" w:cs="Times New Roman"/>
                <w:color w:val="auto"/>
                <w:sz w:val="24"/>
                <w:szCs w:val="24"/>
              </w:rPr>
            </w:pPr>
          </w:p>
          <w:p w14:paraId="2CB1F16F">
            <w:pPr>
              <w:widowControl/>
              <w:spacing w:line="480" w:lineRule="atLeast"/>
              <w:jc w:val="center"/>
              <w:rPr>
                <w:rFonts w:hint="default" w:ascii="Times New Roman" w:hAnsi="Times New Roman" w:cs="Times New Roman"/>
                <w:color w:val="auto"/>
                <w:sz w:val="24"/>
                <w:szCs w:val="24"/>
              </w:rPr>
            </w:pPr>
          </w:p>
          <w:p w14:paraId="11545B73">
            <w:pPr>
              <w:widowControl/>
              <w:spacing w:line="480" w:lineRule="atLeast"/>
              <w:jc w:val="center"/>
              <w:rPr>
                <w:rFonts w:hint="default" w:ascii="Times New Roman" w:hAnsi="Times New Roman" w:cs="Times New Roman"/>
                <w:color w:val="auto"/>
                <w:sz w:val="24"/>
                <w:szCs w:val="24"/>
              </w:rPr>
            </w:pPr>
          </w:p>
          <w:p w14:paraId="728C0C83">
            <w:pPr>
              <w:widowControl/>
              <w:spacing w:line="480" w:lineRule="atLeast"/>
              <w:jc w:val="center"/>
              <w:rPr>
                <w:rFonts w:hint="default" w:ascii="Times New Roman" w:hAnsi="Times New Roman" w:cs="Times New Roman"/>
                <w:color w:val="auto"/>
                <w:sz w:val="24"/>
                <w:szCs w:val="24"/>
              </w:rPr>
            </w:pPr>
          </w:p>
          <w:p w14:paraId="68A6B1C4">
            <w:pPr>
              <w:widowControl/>
              <w:spacing w:line="480" w:lineRule="atLeast"/>
              <w:jc w:val="center"/>
              <w:rPr>
                <w:rFonts w:hint="default" w:ascii="Times New Roman" w:hAnsi="Times New Roman" w:cs="Times New Roman"/>
                <w:color w:val="auto"/>
                <w:sz w:val="24"/>
                <w:szCs w:val="24"/>
              </w:rPr>
            </w:pPr>
          </w:p>
          <w:p w14:paraId="192D1B45">
            <w:pPr>
              <w:widowControl/>
              <w:spacing w:line="480" w:lineRule="atLeast"/>
              <w:jc w:val="center"/>
              <w:rPr>
                <w:rFonts w:hint="default" w:ascii="Times New Roman" w:hAnsi="Times New Roman" w:cs="Times New Roman"/>
                <w:color w:val="auto"/>
                <w:sz w:val="24"/>
                <w:szCs w:val="24"/>
              </w:rPr>
            </w:pPr>
          </w:p>
          <w:p w14:paraId="5CEA78AE">
            <w:pPr>
              <w:widowControl/>
              <w:spacing w:line="480" w:lineRule="atLeast"/>
              <w:jc w:val="center"/>
              <w:rPr>
                <w:rFonts w:hint="default" w:ascii="Times New Roman" w:hAnsi="Times New Roman" w:cs="Times New Roman"/>
                <w:color w:val="auto"/>
                <w:sz w:val="24"/>
                <w:szCs w:val="24"/>
              </w:rPr>
            </w:pPr>
          </w:p>
          <w:p w14:paraId="07476F7E">
            <w:pPr>
              <w:widowControl/>
              <w:spacing w:line="480" w:lineRule="atLeast"/>
              <w:jc w:val="center"/>
              <w:rPr>
                <w:rFonts w:hint="default" w:ascii="Times New Roman" w:hAnsi="Times New Roman" w:cs="Times New Roman"/>
                <w:color w:val="auto"/>
                <w:sz w:val="24"/>
                <w:szCs w:val="24"/>
              </w:rPr>
            </w:pPr>
          </w:p>
          <w:p w14:paraId="0DCEB313">
            <w:pPr>
              <w:widowControl/>
              <w:spacing w:line="480" w:lineRule="atLeast"/>
              <w:jc w:val="center"/>
              <w:rPr>
                <w:rFonts w:hint="default" w:ascii="Times New Roman" w:hAnsi="Times New Roman" w:cs="Times New Roman"/>
                <w:color w:val="auto"/>
                <w:sz w:val="24"/>
                <w:szCs w:val="24"/>
              </w:rPr>
            </w:pPr>
          </w:p>
          <w:p w14:paraId="3A65C450">
            <w:pPr>
              <w:widowControl/>
              <w:spacing w:line="480" w:lineRule="atLeast"/>
              <w:jc w:val="center"/>
              <w:rPr>
                <w:rFonts w:hint="default" w:ascii="Times New Roman" w:hAnsi="Times New Roman" w:cs="Times New Roman"/>
                <w:color w:val="auto"/>
                <w:sz w:val="24"/>
                <w:szCs w:val="24"/>
              </w:rPr>
            </w:pPr>
          </w:p>
          <w:p w14:paraId="1F8772AC">
            <w:pPr>
              <w:widowControl/>
              <w:spacing w:line="480" w:lineRule="atLeast"/>
              <w:jc w:val="center"/>
              <w:rPr>
                <w:rFonts w:hint="default" w:ascii="Times New Roman" w:hAnsi="Times New Roman" w:cs="Times New Roman"/>
                <w:color w:val="auto"/>
                <w:sz w:val="24"/>
                <w:szCs w:val="24"/>
              </w:rPr>
            </w:pPr>
          </w:p>
          <w:p w14:paraId="722DF84F">
            <w:pPr>
              <w:widowControl/>
              <w:spacing w:line="480" w:lineRule="atLeast"/>
              <w:jc w:val="center"/>
              <w:rPr>
                <w:rFonts w:hint="default" w:ascii="Times New Roman" w:hAnsi="Times New Roman" w:cs="Times New Roman"/>
                <w:color w:val="auto"/>
                <w:sz w:val="24"/>
                <w:szCs w:val="24"/>
              </w:rPr>
            </w:pPr>
          </w:p>
          <w:p w14:paraId="412283F2">
            <w:pPr>
              <w:widowControl/>
              <w:spacing w:line="480" w:lineRule="atLeast"/>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本项目为新建项目，不存在与本项目有关的原有污染情况及环境问题</w:t>
            </w:r>
          </w:p>
          <w:p w14:paraId="32A8773B">
            <w:pPr>
              <w:pStyle w:val="4"/>
              <w:rPr>
                <w:rFonts w:hint="default" w:ascii="Times New Roman" w:hAnsi="Times New Roman" w:cs="Times New Roman"/>
                <w:color w:val="auto"/>
                <w:sz w:val="24"/>
                <w:szCs w:val="24"/>
              </w:rPr>
            </w:pPr>
          </w:p>
          <w:p w14:paraId="0DA30CA1">
            <w:pPr>
              <w:pStyle w:val="9"/>
              <w:rPr>
                <w:rFonts w:hint="default" w:ascii="Times New Roman" w:hAnsi="Times New Roman" w:cs="Times New Roman"/>
                <w:color w:val="auto"/>
                <w:sz w:val="24"/>
                <w:szCs w:val="24"/>
              </w:rPr>
            </w:pPr>
          </w:p>
          <w:p w14:paraId="11E4C44E">
            <w:pPr>
              <w:rPr>
                <w:rFonts w:hint="default" w:ascii="Times New Roman" w:hAnsi="Times New Roman" w:cs="Times New Roman"/>
                <w:color w:val="auto"/>
                <w:sz w:val="24"/>
                <w:szCs w:val="24"/>
              </w:rPr>
            </w:pPr>
          </w:p>
          <w:p w14:paraId="1BA05826">
            <w:pPr>
              <w:pStyle w:val="4"/>
              <w:rPr>
                <w:rFonts w:hint="default" w:ascii="Times New Roman" w:hAnsi="Times New Roman" w:cs="Times New Roman"/>
                <w:color w:val="auto"/>
                <w:sz w:val="24"/>
                <w:szCs w:val="24"/>
              </w:rPr>
            </w:pPr>
          </w:p>
          <w:p w14:paraId="2685C4A0">
            <w:pPr>
              <w:pStyle w:val="9"/>
              <w:rPr>
                <w:rFonts w:hint="default" w:ascii="Times New Roman" w:hAnsi="Times New Roman" w:cs="Times New Roman"/>
                <w:color w:val="auto"/>
                <w:sz w:val="24"/>
                <w:szCs w:val="24"/>
              </w:rPr>
            </w:pPr>
          </w:p>
          <w:p w14:paraId="18E07F36">
            <w:pPr>
              <w:rPr>
                <w:rFonts w:hint="default" w:ascii="Times New Roman" w:hAnsi="Times New Roman" w:cs="Times New Roman"/>
                <w:color w:val="auto"/>
                <w:sz w:val="24"/>
                <w:szCs w:val="24"/>
              </w:rPr>
            </w:pPr>
          </w:p>
          <w:p w14:paraId="36CC6CA0">
            <w:pPr>
              <w:pStyle w:val="4"/>
              <w:rPr>
                <w:rFonts w:hint="default" w:ascii="Times New Roman" w:hAnsi="Times New Roman" w:cs="Times New Roman"/>
                <w:color w:val="auto"/>
                <w:sz w:val="24"/>
                <w:szCs w:val="24"/>
              </w:rPr>
            </w:pPr>
          </w:p>
          <w:p w14:paraId="034B244C">
            <w:pPr>
              <w:pStyle w:val="9"/>
              <w:rPr>
                <w:rFonts w:hint="default" w:ascii="Times New Roman" w:hAnsi="Times New Roman" w:cs="Times New Roman"/>
                <w:color w:val="auto"/>
                <w:sz w:val="24"/>
                <w:szCs w:val="24"/>
              </w:rPr>
            </w:pPr>
          </w:p>
          <w:p w14:paraId="06854F07">
            <w:pPr>
              <w:pStyle w:val="9"/>
              <w:rPr>
                <w:rFonts w:hint="default"/>
              </w:rPr>
            </w:pPr>
          </w:p>
          <w:p w14:paraId="1DD7CA82">
            <w:pPr>
              <w:rPr>
                <w:rFonts w:hint="default"/>
              </w:rPr>
            </w:pPr>
          </w:p>
        </w:tc>
      </w:tr>
    </w:tbl>
    <w:p w14:paraId="63A08321">
      <w:pPr>
        <w:rPr>
          <w:rFonts w:hint="default" w:ascii="Times New Roman" w:hAnsi="Times New Roman" w:eastAsia="黑体" w:cs="Times New Roman"/>
          <w:color w:val="auto"/>
          <w:sz w:val="30"/>
          <w:szCs w:val="30"/>
          <w:lang w:bidi="ar"/>
        </w:rPr>
      </w:pPr>
      <w:r>
        <w:rPr>
          <w:rFonts w:hint="default" w:ascii="Times New Roman" w:hAnsi="Times New Roman" w:eastAsia="黑体" w:cs="Times New Roman"/>
          <w:color w:val="auto"/>
          <w:sz w:val="21"/>
          <w:szCs w:val="21"/>
          <w:lang w:bidi="ar"/>
        </w:rPr>
        <w:br w:type="page"/>
      </w:r>
    </w:p>
    <w:p w14:paraId="02F4EE43">
      <w:pPr>
        <w:widowControl/>
        <w:jc w:val="center"/>
        <w:rPr>
          <w:rFonts w:hint="default" w:ascii="Times New Roman" w:hAnsi="Times New Roman" w:cs="Times New Roman"/>
          <w:color w:val="auto"/>
        </w:rPr>
      </w:pPr>
      <w:r>
        <w:rPr>
          <w:rFonts w:hint="default" w:ascii="Times New Roman" w:hAnsi="Times New Roman" w:eastAsia="黑体" w:cs="Times New Roman"/>
          <w:color w:val="auto"/>
          <w:sz w:val="30"/>
          <w:szCs w:val="30"/>
          <w:lang w:bidi="ar"/>
        </w:rPr>
        <w:t>三、区域环境质量现状、环境保护目标及评价标准</w:t>
      </w:r>
    </w:p>
    <w:tbl>
      <w:tblPr>
        <w:tblStyle w:val="35"/>
        <w:tblW w:w="95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9143"/>
      </w:tblGrid>
      <w:tr w14:paraId="699C4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2" w:hRule="atLeast"/>
          <w:jc w:val="center"/>
        </w:trPr>
        <w:tc>
          <w:tcPr>
            <w:tcW w:w="710" w:type="dxa"/>
            <w:vAlign w:val="center"/>
          </w:tcPr>
          <w:p w14:paraId="7BD63514">
            <w:pPr>
              <w:widowControl/>
              <w:jc w:val="center"/>
              <w:rPr>
                <w:rFonts w:hint="default" w:ascii="Times New Roman" w:hAnsi="Times New Roman" w:cs="Times New Roman"/>
                <w:color w:val="auto"/>
              </w:rPr>
            </w:pPr>
            <w:r>
              <w:rPr>
                <w:rFonts w:hint="default" w:ascii="Times New Roman" w:hAnsi="Times New Roman" w:cs="Times New Roman"/>
                <w:color w:val="auto"/>
                <w:sz w:val="24"/>
                <w:szCs w:val="24"/>
                <w:lang w:bidi="ar"/>
              </w:rPr>
              <w:t>区域环境质量现状</w:t>
            </w:r>
          </w:p>
        </w:tc>
        <w:tc>
          <w:tcPr>
            <w:tcW w:w="8847" w:type="dxa"/>
            <w:vAlign w:val="center"/>
          </w:tcPr>
          <w:p w14:paraId="61BAD14A">
            <w:pPr>
              <w:keepNext w:val="0"/>
              <w:keepLines w:val="0"/>
              <w:pageBreakBefore w:val="0"/>
              <w:widowControl w:val="0"/>
              <w:kinsoku/>
              <w:wordWrap/>
              <w:overflowPunct/>
              <w:topLinePunct w:val="0"/>
              <w:bidi w:val="0"/>
              <w:adjustRightInd w:val="0"/>
              <w:snapToGrid w:val="0"/>
              <w:spacing w:line="500" w:lineRule="exact"/>
              <w:ind w:left="0" w:firstLine="482" w:firstLineChars="200"/>
              <w:textAlignment w:val="auto"/>
              <w:rPr>
                <w:rFonts w:hint="default" w:ascii="Times New Roman" w:hAnsi="Times New Roman" w:eastAsia="宋体" w:cs="Times New Roman"/>
                <w:b/>
                <w:color w:val="auto"/>
                <w:kern w:val="0"/>
                <w:sz w:val="24"/>
                <w:highlight w:val="none"/>
              </w:rPr>
            </w:pPr>
            <w:r>
              <w:rPr>
                <w:rFonts w:hint="default" w:ascii="Times New Roman" w:hAnsi="Times New Roman" w:eastAsia="宋体" w:cs="Times New Roman"/>
                <w:b/>
                <w:color w:val="auto"/>
                <w:kern w:val="0"/>
                <w:sz w:val="24"/>
                <w:highlight w:val="none"/>
              </w:rPr>
              <w:t>1、环境空气质量现状</w:t>
            </w:r>
          </w:p>
          <w:p w14:paraId="334CED35">
            <w:pPr>
              <w:pStyle w:val="4"/>
              <w:keepNext w:val="0"/>
              <w:keepLines w:val="0"/>
              <w:pageBreakBefore w:val="0"/>
              <w:widowControl w:val="0"/>
              <w:tabs>
                <w:tab w:val="left" w:pos="1960"/>
              </w:tabs>
              <w:kinsoku/>
              <w:wordWrap/>
              <w:overflowPunct/>
              <w:topLinePunct w:val="0"/>
              <w:bidi w:val="0"/>
              <w:spacing w:line="500" w:lineRule="exact"/>
              <w:ind w:left="0" w:firstLine="480" w:firstLineChars="200"/>
              <w:textAlignment w:val="auto"/>
              <w:rPr>
                <w:rFonts w:hint="default" w:ascii="Times New Roman" w:hAnsi="Times New Roman" w:eastAsia="宋体" w:cs="Times New Roman"/>
                <w:bCs/>
                <w:snapToGrid w:val="0"/>
                <w:color w:val="auto"/>
                <w:sz w:val="24"/>
                <w:highlight w:val="none"/>
              </w:rPr>
            </w:pPr>
            <w:r>
              <w:rPr>
                <w:rFonts w:hint="default" w:ascii="Times New Roman" w:hAnsi="Times New Roman" w:eastAsia="宋体" w:cs="Times New Roman"/>
                <w:color w:val="auto"/>
                <w:sz w:val="24"/>
                <w:szCs w:val="24"/>
                <w:highlight w:val="none"/>
              </w:rPr>
              <w:t>（1）环境空气质量达标区判定</w:t>
            </w:r>
          </w:p>
          <w:p w14:paraId="71702B41">
            <w:pPr>
              <w:keepNext w:val="0"/>
              <w:keepLines w:val="0"/>
              <w:pageBreakBefore w:val="0"/>
              <w:widowControl w:val="0"/>
              <w:kinsoku/>
              <w:wordWrap/>
              <w:overflowPunct/>
              <w:topLinePunct w:val="0"/>
              <w:autoSpaceDE w:val="0"/>
              <w:autoSpaceDN w:val="0"/>
              <w:bidi w:val="0"/>
              <w:adjustRightInd w:val="0"/>
              <w:snapToGrid w:val="0"/>
              <w:spacing w:line="480" w:lineRule="exact"/>
              <w:ind w:firstLine="480" w:firstLineChars="200"/>
              <w:textAlignment w:val="auto"/>
              <w:rPr>
                <w:rFonts w:hint="default" w:ascii="Times New Roman" w:hAnsi="Times New Roman" w:cs="Times New Roman"/>
                <w:bCs/>
                <w:color w:val="000000" w:themeColor="text1"/>
                <w:sz w:val="24"/>
                <w:szCs w:val="24"/>
                <w:highlight w:val="none"/>
                <w14:textFill>
                  <w14:solidFill>
                    <w14:schemeClr w14:val="tx1"/>
                  </w14:solidFill>
                </w14:textFill>
              </w:rPr>
            </w:pPr>
            <w:r>
              <w:rPr>
                <w:rFonts w:hint="default" w:ascii="Times New Roman" w:hAnsi="Times New Roman" w:cs="Times New Roman"/>
                <w:color w:val="auto"/>
                <w:sz w:val="24"/>
                <w:highlight w:val="none"/>
              </w:rPr>
              <w:t>区域环境空气质量现状数据引用廊坊市生态环境局</w:t>
            </w:r>
            <w:r>
              <w:rPr>
                <w:rFonts w:hint="default" w:ascii="Times New Roman" w:hAnsi="Times New Roman" w:cs="Times New Roman"/>
                <w:color w:val="000000" w:themeColor="text1"/>
                <w:sz w:val="24"/>
                <w:highlight w:val="none"/>
                <w14:textFill>
                  <w14:solidFill>
                    <w14:schemeClr w14:val="tx1"/>
                  </w14:solidFill>
                </w14:textFill>
              </w:rPr>
              <w:t>发布的</w:t>
            </w:r>
            <w:r>
              <w:rPr>
                <w:rFonts w:hint="default" w:ascii="Times New Roman" w:hAnsi="Times New Roman" w:cs="Times New Roman"/>
                <w:bCs/>
                <w:color w:val="000000" w:themeColor="text1"/>
                <w:sz w:val="24"/>
                <w:szCs w:val="24"/>
                <w:highlight w:val="none"/>
                <w14:textFill>
                  <w14:solidFill>
                    <w14:schemeClr w14:val="tx1"/>
                  </w14:solidFill>
                </w14:textFill>
              </w:rPr>
              <w:t>《廊坊市生态环境质量</w:t>
            </w:r>
            <w:r>
              <w:rPr>
                <w:rFonts w:hint="default" w:ascii="Times New Roman" w:hAnsi="Times New Roman" w:cs="Times New Roman"/>
                <w:bCs/>
                <w:color w:val="000000" w:themeColor="text1"/>
                <w:sz w:val="24"/>
                <w:szCs w:val="24"/>
                <w:highlight w:val="none"/>
                <w:lang w:val="en-US" w:eastAsia="zh-CN"/>
                <w14:textFill>
                  <w14:solidFill>
                    <w14:schemeClr w14:val="tx1"/>
                  </w14:solidFill>
                </w14:textFill>
              </w:rPr>
              <w:t>报告书</w:t>
            </w:r>
            <w:r>
              <w:rPr>
                <w:rFonts w:hint="default" w:ascii="Times New Roman" w:hAnsi="Times New Roman" w:cs="Times New Roman"/>
                <w:bCs/>
                <w:color w:val="000000" w:themeColor="text1"/>
                <w:sz w:val="24"/>
                <w:szCs w:val="24"/>
                <w:highlight w:val="none"/>
                <w14:textFill>
                  <w14:solidFill>
                    <w14:schemeClr w14:val="tx1"/>
                  </w14:solidFill>
                </w14:textFill>
              </w:rPr>
              <w:t>（</w:t>
            </w:r>
            <w:r>
              <w:rPr>
                <w:rFonts w:hint="default" w:ascii="Times New Roman" w:hAnsi="Times New Roman" w:cs="Times New Roman"/>
                <w:bCs/>
                <w:color w:val="000000" w:themeColor="text1"/>
                <w:sz w:val="24"/>
                <w:szCs w:val="24"/>
                <w:highlight w:val="none"/>
                <w:lang w:val="en-US" w:eastAsia="zh-CN"/>
                <w14:textFill>
                  <w14:solidFill>
                    <w14:schemeClr w14:val="tx1"/>
                  </w14:solidFill>
                </w14:textFill>
              </w:rPr>
              <w:t>2024</w:t>
            </w:r>
            <w:r>
              <w:rPr>
                <w:rFonts w:hint="default" w:ascii="Times New Roman" w:hAnsi="Times New Roman" w:cs="Times New Roman"/>
                <w:bCs/>
                <w:color w:val="000000" w:themeColor="text1"/>
                <w:sz w:val="24"/>
                <w:szCs w:val="24"/>
                <w:highlight w:val="none"/>
                <w14:textFill>
                  <w14:solidFill>
                    <w14:schemeClr w14:val="tx1"/>
                  </w14:solidFill>
                </w14:textFill>
              </w:rPr>
              <w:t>年）》，永清县监测数据及评价结果见表</w:t>
            </w:r>
            <w:r>
              <w:rPr>
                <w:rFonts w:hint="default" w:ascii="Times New Roman" w:hAnsi="Times New Roman" w:cs="Times New Roman"/>
                <w:bCs/>
                <w:color w:val="000000" w:themeColor="text1"/>
                <w:sz w:val="24"/>
                <w:szCs w:val="24"/>
                <w:highlight w:val="none"/>
                <w:lang w:val="en-US" w:eastAsia="zh-CN"/>
                <w14:textFill>
                  <w14:solidFill>
                    <w14:schemeClr w14:val="tx1"/>
                  </w14:solidFill>
                </w14:textFill>
              </w:rPr>
              <w:t>19</w:t>
            </w:r>
            <w:r>
              <w:rPr>
                <w:rFonts w:hint="default" w:ascii="Times New Roman" w:hAnsi="Times New Roman" w:cs="Times New Roman"/>
                <w:bCs/>
                <w:color w:val="000000" w:themeColor="text1"/>
                <w:sz w:val="24"/>
                <w:szCs w:val="24"/>
                <w:highlight w:val="none"/>
                <w14:textFill>
                  <w14:solidFill>
                    <w14:schemeClr w14:val="tx1"/>
                  </w14:solidFill>
                </w14:textFill>
              </w:rPr>
              <w:t>。</w:t>
            </w:r>
          </w:p>
          <w:p w14:paraId="2822544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b/>
                <w:bCs/>
                <w:color w:val="000000" w:themeColor="text1"/>
                <w:sz w:val="24"/>
                <w:szCs w:val="24"/>
                <w:highlight w:val="none"/>
                <w14:textFill>
                  <w14:solidFill>
                    <w14:schemeClr w14:val="tx1"/>
                  </w14:solidFill>
                </w14:textFill>
              </w:rPr>
            </w:pPr>
            <w:r>
              <w:rPr>
                <w:rFonts w:hint="default" w:ascii="Times New Roman" w:hAnsi="Times New Roman" w:cs="Times New Roman"/>
                <w:b/>
                <w:bCs/>
                <w:color w:val="000000" w:themeColor="text1"/>
                <w:sz w:val="24"/>
                <w:szCs w:val="24"/>
                <w:highlight w:val="none"/>
                <w14:textFill>
                  <w14:solidFill>
                    <w14:schemeClr w14:val="tx1"/>
                  </w14:solidFill>
                </w14:textFill>
              </w:rPr>
              <w:t>表</w:t>
            </w:r>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10永清县</w:t>
            </w:r>
            <w:r>
              <w:rPr>
                <w:rFonts w:hint="default" w:ascii="Times New Roman" w:hAnsi="Times New Roman" w:cs="Times New Roman"/>
                <w:b/>
                <w:color w:val="000000" w:themeColor="text1"/>
                <w:kern w:val="0"/>
                <w:sz w:val="24"/>
                <w:highlight w:val="none"/>
                <w14:textFill>
                  <w14:solidFill>
                    <w14:schemeClr w14:val="tx1"/>
                  </w14:solidFill>
                </w14:textFill>
              </w:rPr>
              <w:t>环境空气质量现状评价表</w:t>
            </w:r>
          </w:p>
          <w:tbl>
            <w:tblPr>
              <w:tblStyle w:val="34"/>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845"/>
              <w:gridCol w:w="2547"/>
              <w:gridCol w:w="1703"/>
              <w:gridCol w:w="1461"/>
              <w:gridCol w:w="1166"/>
              <w:gridCol w:w="1188"/>
            </w:tblGrid>
            <w:tr w14:paraId="774B3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3" w:hRule="atLeast"/>
                <w:jc w:val="center"/>
              </w:trPr>
              <w:tc>
                <w:tcPr>
                  <w:tcW w:w="474" w:type="pct"/>
                  <w:tcBorders>
                    <w:tl2br w:val="nil"/>
                    <w:tr2bl w:val="nil"/>
                  </w:tcBorders>
                  <w:noWrap w:val="0"/>
                  <w:vAlign w:val="center"/>
                </w:tcPr>
                <w:p w14:paraId="3986456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污染物</w:t>
                  </w:r>
                </w:p>
              </w:tc>
              <w:tc>
                <w:tcPr>
                  <w:tcW w:w="1428" w:type="pct"/>
                  <w:tcBorders>
                    <w:tl2br w:val="nil"/>
                    <w:tr2bl w:val="nil"/>
                  </w:tcBorders>
                  <w:noWrap w:val="0"/>
                  <w:vAlign w:val="center"/>
                </w:tcPr>
                <w:p w14:paraId="22705183">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年评价指标</w:t>
                  </w:r>
                </w:p>
              </w:tc>
              <w:tc>
                <w:tcPr>
                  <w:tcW w:w="955" w:type="pct"/>
                  <w:tcBorders>
                    <w:tl2br w:val="nil"/>
                    <w:tr2bl w:val="nil"/>
                  </w:tcBorders>
                  <w:noWrap w:val="0"/>
                  <w:vAlign w:val="center"/>
                </w:tcPr>
                <w:p w14:paraId="3B5279A2">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现状浓度</w:t>
                  </w:r>
                </w:p>
              </w:tc>
              <w:tc>
                <w:tcPr>
                  <w:tcW w:w="819" w:type="pct"/>
                  <w:tcBorders>
                    <w:tl2br w:val="nil"/>
                    <w:tr2bl w:val="nil"/>
                  </w:tcBorders>
                  <w:noWrap w:val="0"/>
                  <w:vAlign w:val="center"/>
                </w:tcPr>
                <w:p w14:paraId="1FE94E60">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标准值</w:t>
                  </w:r>
                </w:p>
              </w:tc>
              <w:tc>
                <w:tcPr>
                  <w:tcW w:w="654" w:type="pct"/>
                  <w:tcBorders>
                    <w:tl2br w:val="nil"/>
                    <w:tr2bl w:val="nil"/>
                  </w:tcBorders>
                  <w:noWrap w:val="0"/>
                  <w:vAlign w:val="center"/>
                </w:tcPr>
                <w:p w14:paraId="06554316">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占标率%</w:t>
                  </w:r>
                </w:p>
              </w:tc>
              <w:tc>
                <w:tcPr>
                  <w:tcW w:w="666" w:type="pct"/>
                  <w:tcBorders>
                    <w:tl2br w:val="nil"/>
                    <w:tr2bl w:val="nil"/>
                  </w:tcBorders>
                  <w:noWrap w:val="0"/>
                  <w:vAlign w:val="center"/>
                </w:tcPr>
                <w:p w14:paraId="58C4394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达标情况</w:t>
                  </w:r>
                </w:p>
              </w:tc>
            </w:tr>
            <w:tr w14:paraId="64809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3" w:hRule="atLeast"/>
                <w:jc w:val="center"/>
              </w:trPr>
              <w:tc>
                <w:tcPr>
                  <w:tcW w:w="754" w:type="dxa"/>
                  <w:tcBorders>
                    <w:tl2br w:val="nil"/>
                    <w:tr2bl w:val="nil"/>
                  </w:tcBorders>
                  <w:noWrap w:val="0"/>
                  <w:vAlign w:val="center"/>
                </w:tcPr>
                <w:p w14:paraId="3FB68078">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420" w:leftChars="0" w:right="0" w:rightChars="0" w:hanging="42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SO</w:t>
                  </w:r>
                  <w:r>
                    <w:rPr>
                      <w:rFonts w:hint="default" w:ascii="Times New Roman" w:hAnsi="Times New Roman" w:eastAsia="宋体" w:cs="Times New Roman"/>
                      <w:color w:val="000000" w:themeColor="text1"/>
                      <w:sz w:val="21"/>
                      <w:szCs w:val="21"/>
                      <w:highlight w:val="none"/>
                      <w:vertAlign w:val="subscript"/>
                      <w14:textFill>
                        <w14:solidFill>
                          <w14:schemeClr w14:val="tx1"/>
                        </w14:solidFill>
                      </w14:textFill>
                    </w:rPr>
                    <w:t>2</w:t>
                  </w:r>
                </w:p>
              </w:tc>
              <w:tc>
                <w:tcPr>
                  <w:tcW w:w="2275" w:type="dxa"/>
                  <w:tcBorders>
                    <w:tl2br w:val="nil"/>
                    <w:tr2bl w:val="nil"/>
                  </w:tcBorders>
                  <w:noWrap w:val="0"/>
                  <w:vAlign w:val="center"/>
                </w:tcPr>
                <w:p w14:paraId="3A2BF7DD">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420" w:leftChars="0" w:right="0" w:rightChars="0" w:hanging="42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年平均质量浓度</w:t>
                  </w:r>
                </w:p>
              </w:tc>
              <w:tc>
                <w:tcPr>
                  <w:tcW w:w="1521" w:type="dxa"/>
                  <w:tcBorders>
                    <w:tl2br w:val="nil"/>
                    <w:tr2bl w:val="nil"/>
                  </w:tcBorders>
                  <w:noWrap w:val="0"/>
                  <w:vAlign w:val="center"/>
                </w:tcPr>
                <w:p w14:paraId="108AFB7E">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420" w:leftChars="0" w:right="0" w:rightChars="0" w:hanging="420" w:firstLineChars="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7</w:t>
                  </w:r>
                  <w:r>
                    <w:rPr>
                      <w:rFonts w:hint="default" w:ascii="Times New Roman" w:hAnsi="Times New Roman" w:eastAsia="宋体" w:cs="Times New Roman"/>
                      <w:color w:val="000000" w:themeColor="text1"/>
                      <w:sz w:val="21"/>
                      <w:szCs w:val="21"/>
                      <w:highlight w:val="none"/>
                      <w14:textFill>
                        <w14:solidFill>
                          <w14:schemeClr w14:val="tx1"/>
                        </w14:solidFill>
                      </w14:textFill>
                    </w:rPr>
                    <w:t>μg/m</w:t>
                  </w:r>
                  <w:r>
                    <w:rPr>
                      <w:rFonts w:hint="default" w:ascii="Times New Roman" w:hAnsi="Times New Roman" w:eastAsia="宋体" w:cs="Times New Roman"/>
                      <w:color w:val="000000" w:themeColor="text1"/>
                      <w:sz w:val="21"/>
                      <w:szCs w:val="21"/>
                      <w:highlight w:val="none"/>
                      <w:vertAlign w:val="superscript"/>
                      <w14:textFill>
                        <w14:solidFill>
                          <w14:schemeClr w14:val="tx1"/>
                        </w14:solidFill>
                      </w14:textFill>
                    </w:rPr>
                    <w:t>3</w:t>
                  </w:r>
                </w:p>
              </w:tc>
              <w:tc>
                <w:tcPr>
                  <w:tcW w:w="1305" w:type="dxa"/>
                  <w:tcBorders>
                    <w:tl2br w:val="nil"/>
                    <w:tr2bl w:val="nil"/>
                  </w:tcBorders>
                  <w:noWrap w:val="0"/>
                  <w:vAlign w:val="center"/>
                </w:tcPr>
                <w:p w14:paraId="642AB8B0">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420" w:leftChars="0" w:right="0" w:rightChars="0" w:hanging="42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60</w:t>
                  </w:r>
                  <w:r>
                    <w:rPr>
                      <w:rFonts w:hint="default" w:ascii="Times New Roman" w:hAnsi="Times New Roman" w:eastAsia="宋体" w:cs="Times New Roman"/>
                      <w:color w:val="000000" w:themeColor="text1"/>
                      <w:sz w:val="21"/>
                      <w:szCs w:val="21"/>
                      <w:highlight w:val="none"/>
                      <w14:textFill>
                        <w14:solidFill>
                          <w14:schemeClr w14:val="tx1"/>
                        </w14:solidFill>
                      </w14:textFill>
                    </w:rPr>
                    <w:t>μg/m</w:t>
                  </w:r>
                  <w:r>
                    <w:rPr>
                      <w:rFonts w:hint="default" w:ascii="Times New Roman" w:hAnsi="Times New Roman" w:eastAsia="宋体" w:cs="Times New Roman"/>
                      <w:color w:val="000000" w:themeColor="text1"/>
                      <w:sz w:val="21"/>
                      <w:szCs w:val="21"/>
                      <w:highlight w:val="none"/>
                      <w:vertAlign w:val="superscript"/>
                      <w14:textFill>
                        <w14:solidFill>
                          <w14:schemeClr w14:val="tx1"/>
                        </w14:solidFill>
                      </w14:textFill>
                    </w:rPr>
                    <w:t>3</w:t>
                  </w:r>
                </w:p>
              </w:tc>
              <w:tc>
                <w:tcPr>
                  <w:tcW w:w="1042" w:type="dxa"/>
                  <w:tcBorders>
                    <w:tl2br w:val="nil"/>
                    <w:tr2bl w:val="nil"/>
                  </w:tcBorders>
                  <w:noWrap w:val="0"/>
                  <w:vAlign w:val="center"/>
                </w:tcPr>
                <w:p w14:paraId="5DE57217">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420" w:leftChars="0" w:right="0" w:rightChars="0" w:hanging="420" w:firstLineChars="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11.667</w:t>
                  </w:r>
                </w:p>
              </w:tc>
              <w:tc>
                <w:tcPr>
                  <w:tcW w:w="1061" w:type="dxa"/>
                  <w:tcBorders>
                    <w:tl2br w:val="nil"/>
                    <w:tr2bl w:val="nil"/>
                  </w:tcBorders>
                  <w:noWrap w:val="0"/>
                  <w:vAlign w:val="center"/>
                </w:tcPr>
                <w:p w14:paraId="57FE6BDE">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420" w:leftChars="0" w:right="0" w:rightChars="0" w:hanging="42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达标</w:t>
                  </w:r>
                </w:p>
              </w:tc>
            </w:tr>
            <w:tr w14:paraId="53AFF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50" w:hRule="atLeast"/>
                <w:jc w:val="center"/>
              </w:trPr>
              <w:tc>
                <w:tcPr>
                  <w:tcW w:w="754" w:type="dxa"/>
                  <w:tcBorders>
                    <w:tl2br w:val="nil"/>
                    <w:tr2bl w:val="nil"/>
                  </w:tcBorders>
                  <w:noWrap w:val="0"/>
                  <w:vAlign w:val="center"/>
                </w:tcPr>
                <w:p w14:paraId="48494A18">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420" w:leftChars="0" w:right="0" w:rightChars="0" w:hanging="42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NO</w:t>
                  </w:r>
                  <w:r>
                    <w:rPr>
                      <w:rFonts w:hint="default" w:ascii="Times New Roman" w:hAnsi="Times New Roman" w:eastAsia="宋体" w:cs="Times New Roman"/>
                      <w:color w:val="000000" w:themeColor="text1"/>
                      <w:sz w:val="21"/>
                      <w:szCs w:val="21"/>
                      <w:highlight w:val="none"/>
                      <w:vertAlign w:val="subscript"/>
                      <w14:textFill>
                        <w14:solidFill>
                          <w14:schemeClr w14:val="tx1"/>
                        </w14:solidFill>
                      </w14:textFill>
                    </w:rPr>
                    <w:t>2</w:t>
                  </w:r>
                </w:p>
              </w:tc>
              <w:tc>
                <w:tcPr>
                  <w:tcW w:w="2275" w:type="dxa"/>
                  <w:tcBorders>
                    <w:tl2br w:val="nil"/>
                    <w:tr2bl w:val="nil"/>
                  </w:tcBorders>
                  <w:noWrap w:val="0"/>
                  <w:vAlign w:val="center"/>
                </w:tcPr>
                <w:p w14:paraId="18D3DB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420" w:leftChars="0" w:right="0" w:rightChars="0" w:hanging="42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年平均质量浓度</w:t>
                  </w:r>
                </w:p>
              </w:tc>
              <w:tc>
                <w:tcPr>
                  <w:tcW w:w="1521" w:type="dxa"/>
                  <w:tcBorders>
                    <w:tl2br w:val="nil"/>
                    <w:tr2bl w:val="nil"/>
                  </w:tcBorders>
                  <w:noWrap w:val="0"/>
                  <w:vAlign w:val="center"/>
                </w:tcPr>
                <w:p w14:paraId="7427D32A">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420" w:leftChars="0" w:right="0" w:rightChars="0" w:hanging="420" w:firstLineChars="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33</w:t>
                  </w:r>
                  <w:r>
                    <w:rPr>
                      <w:rFonts w:hint="default" w:ascii="Times New Roman" w:hAnsi="Times New Roman" w:eastAsia="宋体" w:cs="Times New Roman"/>
                      <w:color w:val="000000" w:themeColor="text1"/>
                      <w:sz w:val="21"/>
                      <w:szCs w:val="21"/>
                      <w:highlight w:val="none"/>
                      <w14:textFill>
                        <w14:solidFill>
                          <w14:schemeClr w14:val="tx1"/>
                        </w14:solidFill>
                      </w14:textFill>
                    </w:rPr>
                    <w:t>μg/m</w:t>
                  </w:r>
                  <w:r>
                    <w:rPr>
                      <w:rFonts w:hint="default" w:ascii="Times New Roman" w:hAnsi="Times New Roman" w:eastAsia="宋体" w:cs="Times New Roman"/>
                      <w:color w:val="000000" w:themeColor="text1"/>
                      <w:sz w:val="21"/>
                      <w:szCs w:val="21"/>
                      <w:highlight w:val="none"/>
                      <w:vertAlign w:val="superscript"/>
                      <w14:textFill>
                        <w14:solidFill>
                          <w14:schemeClr w14:val="tx1"/>
                        </w14:solidFill>
                      </w14:textFill>
                    </w:rPr>
                    <w:t>3</w:t>
                  </w:r>
                </w:p>
              </w:tc>
              <w:tc>
                <w:tcPr>
                  <w:tcW w:w="1305" w:type="dxa"/>
                  <w:tcBorders>
                    <w:tl2br w:val="nil"/>
                    <w:tr2bl w:val="nil"/>
                  </w:tcBorders>
                  <w:noWrap w:val="0"/>
                  <w:vAlign w:val="center"/>
                </w:tcPr>
                <w:p w14:paraId="32DAFAD5">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420" w:leftChars="0" w:right="0" w:rightChars="0" w:hanging="42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40</w:t>
                  </w:r>
                  <w:r>
                    <w:rPr>
                      <w:rFonts w:hint="default" w:ascii="Times New Roman" w:hAnsi="Times New Roman" w:eastAsia="宋体" w:cs="Times New Roman"/>
                      <w:color w:val="000000" w:themeColor="text1"/>
                      <w:sz w:val="21"/>
                      <w:szCs w:val="21"/>
                      <w:highlight w:val="none"/>
                      <w14:textFill>
                        <w14:solidFill>
                          <w14:schemeClr w14:val="tx1"/>
                        </w14:solidFill>
                      </w14:textFill>
                    </w:rPr>
                    <w:t>μg/m</w:t>
                  </w:r>
                  <w:r>
                    <w:rPr>
                      <w:rFonts w:hint="default" w:ascii="Times New Roman" w:hAnsi="Times New Roman" w:eastAsia="宋体" w:cs="Times New Roman"/>
                      <w:color w:val="000000" w:themeColor="text1"/>
                      <w:sz w:val="21"/>
                      <w:szCs w:val="21"/>
                      <w:highlight w:val="none"/>
                      <w:vertAlign w:val="superscript"/>
                      <w14:textFill>
                        <w14:solidFill>
                          <w14:schemeClr w14:val="tx1"/>
                        </w14:solidFill>
                      </w14:textFill>
                    </w:rPr>
                    <w:t>3</w:t>
                  </w:r>
                </w:p>
              </w:tc>
              <w:tc>
                <w:tcPr>
                  <w:tcW w:w="1042" w:type="dxa"/>
                  <w:tcBorders>
                    <w:tl2br w:val="nil"/>
                    <w:tr2bl w:val="nil"/>
                  </w:tcBorders>
                  <w:noWrap w:val="0"/>
                  <w:vAlign w:val="center"/>
                </w:tcPr>
                <w:p w14:paraId="5DC3715A">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420" w:leftChars="0" w:right="0" w:rightChars="0" w:hanging="420" w:firstLineChars="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82.5</w:t>
                  </w:r>
                </w:p>
              </w:tc>
              <w:tc>
                <w:tcPr>
                  <w:tcW w:w="1061" w:type="dxa"/>
                  <w:tcBorders>
                    <w:tl2br w:val="nil"/>
                    <w:tr2bl w:val="nil"/>
                  </w:tcBorders>
                  <w:noWrap w:val="0"/>
                  <w:vAlign w:val="center"/>
                </w:tcPr>
                <w:p w14:paraId="7723A632">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420" w:leftChars="0" w:right="0" w:rightChars="0" w:hanging="42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达标</w:t>
                  </w:r>
                </w:p>
              </w:tc>
            </w:tr>
            <w:tr w14:paraId="66155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3" w:hRule="atLeast"/>
                <w:jc w:val="center"/>
              </w:trPr>
              <w:tc>
                <w:tcPr>
                  <w:tcW w:w="754" w:type="dxa"/>
                  <w:tcBorders>
                    <w:tl2br w:val="nil"/>
                    <w:tr2bl w:val="nil"/>
                  </w:tcBorders>
                  <w:noWrap w:val="0"/>
                  <w:vAlign w:val="center"/>
                </w:tcPr>
                <w:p w14:paraId="7A2F903A">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420" w:leftChars="0" w:right="0" w:rightChars="0" w:hanging="42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PM</w:t>
                  </w:r>
                  <w:r>
                    <w:rPr>
                      <w:rFonts w:hint="default" w:ascii="Times New Roman" w:hAnsi="Times New Roman" w:eastAsia="宋体" w:cs="Times New Roman"/>
                      <w:color w:val="000000" w:themeColor="text1"/>
                      <w:sz w:val="21"/>
                      <w:szCs w:val="21"/>
                      <w:highlight w:val="none"/>
                      <w:vertAlign w:val="subscript"/>
                      <w14:textFill>
                        <w14:solidFill>
                          <w14:schemeClr w14:val="tx1"/>
                        </w14:solidFill>
                      </w14:textFill>
                    </w:rPr>
                    <w:t>10</w:t>
                  </w:r>
                </w:p>
              </w:tc>
              <w:tc>
                <w:tcPr>
                  <w:tcW w:w="2275" w:type="dxa"/>
                  <w:tcBorders>
                    <w:tl2br w:val="nil"/>
                    <w:tr2bl w:val="nil"/>
                  </w:tcBorders>
                  <w:noWrap w:val="0"/>
                  <w:vAlign w:val="center"/>
                </w:tcPr>
                <w:p w14:paraId="0382135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420" w:leftChars="0" w:right="0" w:rightChars="0" w:hanging="42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年平均质量浓度</w:t>
                  </w:r>
                </w:p>
              </w:tc>
              <w:tc>
                <w:tcPr>
                  <w:tcW w:w="1521" w:type="dxa"/>
                  <w:tcBorders>
                    <w:tl2br w:val="nil"/>
                    <w:tr2bl w:val="nil"/>
                  </w:tcBorders>
                  <w:noWrap w:val="0"/>
                  <w:vAlign w:val="center"/>
                </w:tcPr>
                <w:p w14:paraId="0603156F">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420" w:leftChars="0" w:right="0" w:rightChars="0" w:hanging="420" w:firstLineChars="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74</w:t>
                  </w:r>
                  <w:r>
                    <w:rPr>
                      <w:rFonts w:hint="default" w:ascii="Times New Roman" w:hAnsi="Times New Roman" w:eastAsia="宋体" w:cs="Times New Roman"/>
                      <w:color w:val="000000" w:themeColor="text1"/>
                      <w:sz w:val="21"/>
                      <w:szCs w:val="21"/>
                      <w:highlight w:val="none"/>
                      <w14:textFill>
                        <w14:solidFill>
                          <w14:schemeClr w14:val="tx1"/>
                        </w14:solidFill>
                      </w14:textFill>
                    </w:rPr>
                    <w:t>μg/m</w:t>
                  </w:r>
                  <w:r>
                    <w:rPr>
                      <w:rFonts w:hint="default" w:ascii="Times New Roman" w:hAnsi="Times New Roman" w:eastAsia="宋体" w:cs="Times New Roman"/>
                      <w:color w:val="000000" w:themeColor="text1"/>
                      <w:sz w:val="21"/>
                      <w:szCs w:val="21"/>
                      <w:highlight w:val="none"/>
                      <w:vertAlign w:val="superscript"/>
                      <w14:textFill>
                        <w14:solidFill>
                          <w14:schemeClr w14:val="tx1"/>
                        </w14:solidFill>
                      </w14:textFill>
                    </w:rPr>
                    <w:t>3</w:t>
                  </w:r>
                </w:p>
              </w:tc>
              <w:tc>
                <w:tcPr>
                  <w:tcW w:w="1305" w:type="dxa"/>
                  <w:tcBorders>
                    <w:tl2br w:val="nil"/>
                    <w:tr2bl w:val="nil"/>
                  </w:tcBorders>
                  <w:noWrap w:val="0"/>
                  <w:vAlign w:val="center"/>
                </w:tcPr>
                <w:p w14:paraId="18658865">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420" w:leftChars="0" w:right="0" w:rightChars="0" w:hanging="42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70</w:t>
                  </w:r>
                  <w:r>
                    <w:rPr>
                      <w:rFonts w:hint="default" w:ascii="Times New Roman" w:hAnsi="Times New Roman" w:eastAsia="宋体" w:cs="Times New Roman"/>
                      <w:color w:val="000000" w:themeColor="text1"/>
                      <w:sz w:val="21"/>
                      <w:szCs w:val="21"/>
                      <w:highlight w:val="none"/>
                      <w14:textFill>
                        <w14:solidFill>
                          <w14:schemeClr w14:val="tx1"/>
                        </w14:solidFill>
                      </w14:textFill>
                    </w:rPr>
                    <w:t>μg/m</w:t>
                  </w:r>
                  <w:r>
                    <w:rPr>
                      <w:rFonts w:hint="default" w:ascii="Times New Roman" w:hAnsi="Times New Roman" w:eastAsia="宋体" w:cs="Times New Roman"/>
                      <w:color w:val="000000" w:themeColor="text1"/>
                      <w:sz w:val="21"/>
                      <w:szCs w:val="21"/>
                      <w:highlight w:val="none"/>
                      <w:vertAlign w:val="superscript"/>
                      <w14:textFill>
                        <w14:solidFill>
                          <w14:schemeClr w14:val="tx1"/>
                        </w14:solidFill>
                      </w14:textFill>
                    </w:rPr>
                    <w:t>3</w:t>
                  </w:r>
                </w:p>
              </w:tc>
              <w:tc>
                <w:tcPr>
                  <w:tcW w:w="1042" w:type="dxa"/>
                  <w:tcBorders>
                    <w:tl2br w:val="nil"/>
                    <w:tr2bl w:val="nil"/>
                  </w:tcBorders>
                  <w:noWrap w:val="0"/>
                  <w:vAlign w:val="center"/>
                </w:tcPr>
                <w:p w14:paraId="32598183">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420" w:leftChars="0" w:right="0" w:rightChars="0" w:hanging="420" w:firstLineChars="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105.714</w:t>
                  </w:r>
                </w:p>
              </w:tc>
              <w:tc>
                <w:tcPr>
                  <w:tcW w:w="1061" w:type="dxa"/>
                  <w:tcBorders>
                    <w:tl2br w:val="nil"/>
                    <w:tr2bl w:val="nil"/>
                  </w:tcBorders>
                  <w:noWrap w:val="0"/>
                  <w:vAlign w:val="center"/>
                </w:tcPr>
                <w:p w14:paraId="19C279D0">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420" w:leftChars="0" w:right="0" w:rightChars="0" w:hanging="42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lang w:eastAsia="zh-CN"/>
                      <w14:textFill>
                        <w14:solidFill>
                          <w14:schemeClr w14:val="tx1"/>
                        </w14:solidFill>
                      </w14:textFill>
                    </w:rPr>
                    <w:t>超标</w:t>
                  </w:r>
                </w:p>
              </w:tc>
            </w:tr>
            <w:tr w14:paraId="27605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3" w:hRule="atLeast"/>
                <w:jc w:val="center"/>
              </w:trPr>
              <w:tc>
                <w:tcPr>
                  <w:tcW w:w="754" w:type="dxa"/>
                  <w:tcBorders>
                    <w:tl2br w:val="nil"/>
                    <w:tr2bl w:val="nil"/>
                  </w:tcBorders>
                  <w:noWrap w:val="0"/>
                  <w:vAlign w:val="center"/>
                </w:tcPr>
                <w:p w14:paraId="0701A15C">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420" w:leftChars="0" w:right="0" w:rightChars="0" w:hanging="42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PM</w:t>
                  </w:r>
                  <w:r>
                    <w:rPr>
                      <w:rFonts w:hint="default" w:ascii="Times New Roman" w:hAnsi="Times New Roman" w:eastAsia="宋体" w:cs="Times New Roman"/>
                      <w:color w:val="000000" w:themeColor="text1"/>
                      <w:sz w:val="21"/>
                      <w:szCs w:val="21"/>
                      <w:highlight w:val="none"/>
                      <w:vertAlign w:val="subscript"/>
                      <w14:textFill>
                        <w14:solidFill>
                          <w14:schemeClr w14:val="tx1"/>
                        </w14:solidFill>
                      </w14:textFill>
                    </w:rPr>
                    <w:t>2.5</w:t>
                  </w:r>
                </w:p>
              </w:tc>
              <w:tc>
                <w:tcPr>
                  <w:tcW w:w="2275" w:type="dxa"/>
                  <w:tcBorders>
                    <w:tl2br w:val="nil"/>
                    <w:tr2bl w:val="nil"/>
                  </w:tcBorders>
                  <w:noWrap w:val="0"/>
                  <w:vAlign w:val="center"/>
                </w:tcPr>
                <w:p w14:paraId="11B7A74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420" w:leftChars="0" w:right="0" w:rightChars="0" w:hanging="42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年平均质量浓度</w:t>
                  </w:r>
                </w:p>
              </w:tc>
              <w:tc>
                <w:tcPr>
                  <w:tcW w:w="1521" w:type="dxa"/>
                  <w:tcBorders>
                    <w:tl2br w:val="nil"/>
                    <w:tr2bl w:val="nil"/>
                  </w:tcBorders>
                  <w:noWrap w:val="0"/>
                  <w:vAlign w:val="center"/>
                </w:tcPr>
                <w:p w14:paraId="6E6ECB2A">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420" w:leftChars="0" w:right="0" w:rightChars="0" w:hanging="420" w:firstLineChars="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40</w:t>
                  </w:r>
                  <w:r>
                    <w:rPr>
                      <w:rFonts w:hint="default" w:ascii="Times New Roman" w:hAnsi="Times New Roman" w:eastAsia="宋体" w:cs="Times New Roman"/>
                      <w:color w:val="000000" w:themeColor="text1"/>
                      <w:sz w:val="21"/>
                      <w:szCs w:val="21"/>
                      <w:highlight w:val="none"/>
                      <w14:textFill>
                        <w14:solidFill>
                          <w14:schemeClr w14:val="tx1"/>
                        </w14:solidFill>
                      </w14:textFill>
                    </w:rPr>
                    <w:t>μg/m</w:t>
                  </w:r>
                  <w:r>
                    <w:rPr>
                      <w:rFonts w:hint="default" w:ascii="Times New Roman" w:hAnsi="Times New Roman" w:eastAsia="宋体" w:cs="Times New Roman"/>
                      <w:color w:val="000000" w:themeColor="text1"/>
                      <w:sz w:val="21"/>
                      <w:szCs w:val="21"/>
                      <w:highlight w:val="none"/>
                      <w:vertAlign w:val="superscript"/>
                      <w14:textFill>
                        <w14:solidFill>
                          <w14:schemeClr w14:val="tx1"/>
                        </w14:solidFill>
                      </w14:textFill>
                    </w:rPr>
                    <w:t>3</w:t>
                  </w:r>
                </w:p>
              </w:tc>
              <w:tc>
                <w:tcPr>
                  <w:tcW w:w="1305" w:type="dxa"/>
                  <w:tcBorders>
                    <w:tl2br w:val="nil"/>
                    <w:tr2bl w:val="nil"/>
                  </w:tcBorders>
                  <w:noWrap w:val="0"/>
                  <w:vAlign w:val="center"/>
                </w:tcPr>
                <w:p w14:paraId="597D7D38">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420" w:leftChars="0" w:right="0" w:rightChars="0" w:hanging="42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35</w:t>
                  </w:r>
                  <w:r>
                    <w:rPr>
                      <w:rFonts w:hint="default" w:ascii="Times New Roman" w:hAnsi="Times New Roman" w:eastAsia="宋体" w:cs="Times New Roman"/>
                      <w:color w:val="000000" w:themeColor="text1"/>
                      <w:sz w:val="21"/>
                      <w:szCs w:val="21"/>
                      <w:highlight w:val="none"/>
                      <w14:textFill>
                        <w14:solidFill>
                          <w14:schemeClr w14:val="tx1"/>
                        </w14:solidFill>
                      </w14:textFill>
                    </w:rPr>
                    <w:t>μg/m</w:t>
                  </w:r>
                  <w:r>
                    <w:rPr>
                      <w:rFonts w:hint="default" w:ascii="Times New Roman" w:hAnsi="Times New Roman" w:eastAsia="宋体" w:cs="Times New Roman"/>
                      <w:color w:val="000000" w:themeColor="text1"/>
                      <w:sz w:val="21"/>
                      <w:szCs w:val="21"/>
                      <w:highlight w:val="none"/>
                      <w:vertAlign w:val="superscript"/>
                      <w14:textFill>
                        <w14:solidFill>
                          <w14:schemeClr w14:val="tx1"/>
                        </w14:solidFill>
                      </w14:textFill>
                    </w:rPr>
                    <w:t>3</w:t>
                  </w:r>
                </w:p>
              </w:tc>
              <w:tc>
                <w:tcPr>
                  <w:tcW w:w="1042" w:type="dxa"/>
                  <w:tcBorders>
                    <w:tl2br w:val="nil"/>
                    <w:tr2bl w:val="nil"/>
                  </w:tcBorders>
                  <w:noWrap w:val="0"/>
                  <w:vAlign w:val="center"/>
                </w:tcPr>
                <w:p w14:paraId="1F4AAC96">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420" w:leftChars="0" w:right="0" w:rightChars="0" w:hanging="420" w:firstLineChars="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114.285</w:t>
                  </w:r>
                </w:p>
              </w:tc>
              <w:tc>
                <w:tcPr>
                  <w:tcW w:w="1061" w:type="dxa"/>
                  <w:tcBorders>
                    <w:tl2br w:val="nil"/>
                    <w:tr2bl w:val="nil"/>
                  </w:tcBorders>
                  <w:noWrap w:val="0"/>
                  <w:vAlign w:val="center"/>
                </w:tcPr>
                <w:p w14:paraId="7399BFE7">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420" w:leftChars="0" w:right="0" w:rightChars="0" w:hanging="42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lang w:eastAsia="zh-CN"/>
                      <w14:textFill>
                        <w14:solidFill>
                          <w14:schemeClr w14:val="tx1"/>
                        </w14:solidFill>
                      </w14:textFill>
                    </w:rPr>
                    <w:t>超标</w:t>
                  </w:r>
                </w:p>
              </w:tc>
            </w:tr>
            <w:tr w14:paraId="65C30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3" w:hRule="atLeast"/>
                <w:jc w:val="center"/>
              </w:trPr>
              <w:tc>
                <w:tcPr>
                  <w:tcW w:w="754" w:type="dxa"/>
                  <w:tcBorders>
                    <w:tl2br w:val="nil"/>
                    <w:tr2bl w:val="nil"/>
                  </w:tcBorders>
                  <w:noWrap w:val="0"/>
                  <w:vAlign w:val="center"/>
                </w:tcPr>
                <w:p w14:paraId="01462AB9">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420" w:leftChars="0" w:right="0" w:rightChars="0" w:hanging="42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CO</w:t>
                  </w:r>
                </w:p>
              </w:tc>
              <w:tc>
                <w:tcPr>
                  <w:tcW w:w="2275" w:type="dxa"/>
                  <w:tcBorders>
                    <w:tl2br w:val="nil"/>
                    <w:tr2bl w:val="nil"/>
                  </w:tcBorders>
                  <w:noWrap w:val="0"/>
                  <w:vAlign w:val="center"/>
                </w:tcPr>
                <w:p w14:paraId="6C126E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420" w:leftChars="0" w:right="0" w:rightChars="0" w:hanging="42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24小时平均值</w:t>
                  </w:r>
                </w:p>
              </w:tc>
              <w:tc>
                <w:tcPr>
                  <w:tcW w:w="1521" w:type="dxa"/>
                  <w:tcBorders>
                    <w:tl2br w:val="nil"/>
                    <w:tr2bl w:val="nil"/>
                  </w:tcBorders>
                  <w:noWrap w:val="0"/>
                  <w:vAlign w:val="center"/>
                </w:tcPr>
                <w:p w14:paraId="1EF69F20">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420" w:leftChars="0" w:right="0" w:rightChars="0" w:hanging="420" w:firstLineChars="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1.1</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m</w:t>
                  </w:r>
                  <w:r>
                    <w:rPr>
                      <w:rFonts w:hint="default" w:ascii="Times New Roman" w:hAnsi="Times New Roman" w:eastAsia="宋体" w:cs="Times New Roman"/>
                      <w:color w:val="000000" w:themeColor="text1"/>
                      <w:sz w:val="21"/>
                      <w:szCs w:val="21"/>
                      <w:highlight w:val="none"/>
                      <w14:textFill>
                        <w14:solidFill>
                          <w14:schemeClr w14:val="tx1"/>
                        </w14:solidFill>
                      </w14:textFill>
                    </w:rPr>
                    <w:t>g/m</w:t>
                  </w:r>
                  <w:r>
                    <w:rPr>
                      <w:rFonts w:hint="default" w:ascii="Times New Roman" w:hAnsi="Times New Roman" w:eastAsia="宋体" w:cs="Times New Roman"/>
                      <w:color w:val="000000" w:themeColor="text1"/>
                      <w:sz w:val="21"/>
                      <w:szCs w:val="21"/>
                      <w:highlight w:val="none"/>
                      <w:vertAlign w:val="superscript"/>
                      <w14:textFill>
                        <w14:solidFill>
                          <w14:schemeClr w14:val="tx1"/>
                        </w14:solidFill>
                      </w14:textFill>
                    </w:rPr>
                    <w:t>3</w:t>
                  </w:r>
                </w:p>
              </w:tc>
              <w:tc>
                <w:tcPr>
                  <w:tcW w:w="1305" w:type="dxa"/>
                  <w:tcBorders>
                    <w:tl2br w:val="nil"/>
                    <w:tr2bl w:val="nil"/>
                  </w:tcBorders>
                  <w:noWrap w:val="0"/>
                  <w:vAlign w:val="center"/>
                </w:tcPr>
                <w:p w14:paraId="43D5F0BD">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420" w:leftChars="0" w:right="0" w:rightChars="0" w:hanging="42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4m</w:t>
                  </w:r>
                  <w:r>
                    <w:rPr>
                      <w:rFonts w:hint="default" w:ascii="Times New Roman" w:hAnsi="Times New Roman" w:eastAsia="宋体" w:cs="Times New Roman"/>
                      <w:color w:val="000000" w:themeColor="text1"/>
                      <w:sz w:val="21"/>
                      <w:szCs w:val="21"/>
                      <w:highlight w:val="none"/>
                      <w14:textFill>
                        <w14:solidFill>
                          <w14:schemeClr w14:val="tx1"/>
                        </w14:solidFill>
                      </w14:textFill>
                    </w:rPr>
                    <w:t>g/m</w:t>
                  </w:r>
                  <w:r>
                    <w:rPr>
                      <w:rFonts w:hint="default" w:ascii="Times New Roman" w:hAnsi="Times New Roman" w:eastAsia="宋体" w:cs="Times New Roman"/>
                      <w:color w:val="000000" w:themeColor="text1"/>
                      <w:sz w:val="21"/>
                      <w:szCs w:val="21"/>
                      <w:highlight w:val="none"/>
                      <w:vertAlign w:val="superscript"/>
                      <w14:textFill>
                        <w14:solidFill>
                          <w14:schemeClr w14:val="tx1"/>
                        </w14:solidFill>
                      </w14:textFill>
                    </w:rPr>
                    <w:t>3</w:t>
                  </w:r>
                </w:p>
              </w:tc>
              <w:tc>
                <w:tcPr>
                  <w:tcW w:w="1042" w:type="dxa"/>
                  <w:tcBorders>
                    <w:tl2br w:val="nil"/>
                    <w:tr2bl w:val="nil"/>
                  </w:tcBorders>
                  <w:noWrap w:val="0"/>
                  <w:vAlign w:val="center"/>
                </w:tcPr>
                <w:p w14:paraId="733E5AFF">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420" w:leftChars="0" w:right="0" w:rightChars="0" w:hanging="420" w:firstLineChars="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27.5</w:t>
                  </w:r>
                </w:p>
              </w:tc>
              <w:tc>
                <w:tcPr>
                  <w:tcW w:w="1061" w:type="dxa"/>
                  <w:tcBorders>
                    <w:tl2br w:val="nil"/>
                    <w:tr2bl w:val="nil"/>
                  </w:tcBorders>
                  <w:noWrap w:val="0"/>
                  <w:vAlign w:val="center"/>
                </w:tcPr>
                <w:p w14:paraId="6E05DC0C">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420" w:leftChars="0" w:right="0" w:rightChars="0" w:hanging="42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达标</w:t>
                  </w:r>
                </w:p>
              </w:tc>
            </w:tr>
            <w:tr w14:paraId="76992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3" w:hRule="atLeast"/>
                <w:jc w:val="center"/>
              </w:trPr>
              <w:tc>
                <w:tcPr>
                  <w:tcW w:w="754" w:type="dxa"/>
                  <w:tcBorders>
                    <w:tl2br w:val="nil"/>
                    <w:tr2bl w:val="nil"/>
                  </w:tcBorders>
                  <w:noWrap w:val="0"/>
                  <w:vAlign w:val="center"/>
                </w:tcPr>
                <w:p w14:paraId="0CE46C69">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420" w:leftChars="0" w:right="0" w:rightChars="0" w:hanging="42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O</w:t>
                  </w:r>
                  <w:r>
                    <w:rPr>
                      <w:rFonts w:hint="default" w:ascii="Times New Roman" w:hAnsi="Times New Roman" w:eastAsia="宋体" w:cs="Times New Roman"/>
                      <w:color w:val="000000" w:themeColor="text1"/>
                      <w:sz w:val="21"/>
                      <w:szCs w:val="21"/>
                      <w:highlight w:val="none"/>
                      <w:vertAlign w:val="subscript"/>
                      <w:lang w:val="en-US" w:eastAsia="zh-CN"/>
                      <w14:textFill>
                        <w14:solidFill>
                          <w14:schemeClr w14:val="tx1"/>
                        </w14:solidFill>
                      </w14:textFill>
                    </w:rPr>
                    <w:t>3</w:t>
                  </w:r>
                </w:p>
              </w:tc>
              <w:tc>
                <w:tcPr>
                  <w:tcW w:w="2275" w:type="dxa"/>
                  <w:tcBorders>
                    <w:tl2br w:val="nil"/>
                    <w:tr2bl w:val="nil"/>
                  </w:tcBorders>
                  <w:noWrap w:val="0"/>
                  <w:vAlign w:val="center"/>
                </w:tcPr>
                <w:p w14:paraId="04F8547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420" w:leftChars="0" w:right="0" w:rightChars="0" w:hanging="42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日最大</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8小时平均</w:t>
                  </w:r>
                </w:p>
              </w:tc>
              <w:tc>
                <w:tcPr>
                  <w:tcW w:w="1521" w:type="dxa"/>
                  <w:tcBorders>
                    <w:tl2br w:val="nil"/>
                    <w:tr2bl w:val="nil"/>
                  </w:tcBorders>
                  <w:noWrap w:val="0"/>
                  <w:vAlign w:val="center"/>
                </w:tcPr>
                <w:p w14:paraId="4E0A2DDD">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420" w:leftChars="0" w:right="0" w:rightChars="0" w:hanging="420" w:firstLineChars="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183</w:t>
                  </w:r>
                  <w:r>
                    <w:rPr>
                      <w:rFonts w:hint="default" w:ascii="Times New Roman" w:hAnsi="Times New Roman" w:eastAsia="宋体" w:cs="Times New Roman"/>
                      <w:color w:val="000000" w:themeColor="text1"/>
                      <w:sz w:val="21"/>
                      <w:szCs w:val="21"/>
                      <w:highlight w:val="none"/>
                      <w14:textFill>
                        <w14:solidFill>
                          <w14:schemeClr w14:val="tx1"/>
                        </w14:solidFill>
                      </w14:textFill>
                    </w:rPr>
                    <w:t>μg/m</w:t>
                  </w:r>
                  <w:r>
                    <w:rPr>
                      <w:rFonts w:hint="default" w:ascii="Times New Roman" w:hAnsi="Times New Roman" w:eastAsia="宋体" w:cs="Times New Roman"/>
                      <w:color w:val="000000" w:themeColor="text1"/>
                      <w:sz w:val="21"/>
                      <w:szCs w:val="21"/>
                      <w:highlight w:val="none"/>
                      <w:vertAlign w:val="superscript"/>
                      <w14:textFill>
                        <w14:solidFill>
                          <w14:schemeClr w14:val="tx1"/>
                        </w14:solidFill>
                      </w14:textFill>
                    </w:rPr>
                    <w:t>3</w:t>
                  </w:r>
                </w:p>
              </w:tc>
              <w:tc>
                <w:tcPr>
                  <w:tcW w:w="1305" w:type="dxa"/>
                  <w:tcBorders>
                    <w:tl2br w:val="nil"/>
                    <w:tr2bl w:val="nil"/>
                  </w:tcBorders>
                  <w:noWrap w:val="0"/>
                  <w:vAlign w:val="center"/>
                </w:tcPr>
                <w:p w14:paraId="5DFFC2BD">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420" w:leftChars="0" w:right="0" w:rightChars="0" w:hanging="42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160</w:t>
                  </w:r>
                  <w:r>
                    <w:rPr>
                      <w:rFonts w:hint="default" w:ascii="Times New Roman" w:hAnsi="Times New Roman" w:eastAsia="宋体" w:cs="Times New Roman"/>
                      <w:color w:val="000000" w:themeColor="text1"/>
                      <w:sz w:val="21"/>
                      <w:szCs w:val="21"/>
                      <w:highlight w:val="none"/>
                      <w14:textFill>
                        <w14:solidFill>
                          <w14:schemeClr w14:val="tx1"/>
                        </w14:solidFill>
                      </w14:textFill>
                    </w:rPr>
                    <w:t>μg/m</w:t>
                  </w:r>
                  <w:r>
                    <w:rPr>
                      <w:rFonts w:hint="default" w:ascii="Times New Roman" w:hAnsi="Times New Roman" w:eastAsia="宋体" w:cs="Times New Roman"/>
                      <w:color w:val="000000" w:themeColor="text1"/>
                      <w:sz w:val="21"/>
                      <w:szCs w:val="21"/>
                      <w:highlight w:val="none"/>
                      <w:vertAlign w:val="superscript"/>
                      <w14:textFill>
                        <w14:solidFill>
                          <w14:schemeClr w14:val="tx1"/>
                        </w14:solidFill>
                      </w14:textFill>
                    </w:rPr>
                    <w:t>3</w:t>
                  </w:r>
                </w:p>
              </w:tc>
              <w:tc>
                <w:tcPr>
                  <w:tcW w:w="1042" w:type="dxa"/>
                  <w:tcBorders>
                    <w:tl2br w:val="nil"/>
                    <w:tr2bl w:val="nil"/>
                  </w:tcBorders>
                  <w:noWrap w:val="0"/>
                  <w:vAlign w:val="center"/>
                </w:tcPr>
                <w:p w14:paraId="25A21E07">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420" w:leftChars="0" w:right="0" w:rightChars="0" w:hanging="420" w:firstLineChars="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114.375</w:t>
                  </w:r>
                </w:p>
              </w:tc>
              <w:tc>
                <w:tcPr>
                  <w:tcW w:w="1061" w:type="dxa"/>
                  <w:tcBorders>
                    <w:tl2br w:val="nil"/>
                    <w:tr2bl w:val="nil"/>
                  </w:tcBorders>
                  <w:noWrap w:val="0"/>
                  <w:vAlign w:val="center"/>
                </w:tcPr>
                <w:p w14:paraId="4C03E188">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420" w:leftChars="0" w:right="0" w:rightChars="0" w:hanging="42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超标</w:t>
                  </w:r>
                </w:p>
              </w:tc>
            </w:tr>
          </w:tbl>
          <w:p w14:paraId="3FE2DA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textAlignment w:val="auto"/>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廊坊市</w:t>
            </w:r>
            <w:r>
              <w:rPr>
                <w:rFonts w:hint="default" w:ascii="Times New Roman" w:hAnsi="Times New Roman" w:cs="Times New Roman"/>
                <w:color w:val="000000" w:themeColor="text1"/>
                <w:sz w:val="24"/>
                <w:highlight w:val="none"/>
                <w:lang w:eastAsia="zh-CN"/>
                <w14:textFill>
                  <w14:solidFill>
                    <w14:schemeClr w14:val="tx1"/>
                  </w14:solidFill>
                </w14:textFill>
              </w:rPr>
              <w:t>永清县</w:t>
            </w:r>
            <w:r>
              <w:rPr>
                <w:rFonts w:hint="default" w:ascii="Times New Roman" w:hAnsi="Times New Roman" w:cs="Times New Roman"/>
                <w:color w:val="000000" w:themeColor="text1"/>
                <w:sz w:val="24"/>
                <w:highlight w:val="none"/>
                <w14:textFill>
                  <w14:solidFill>
                    <w14:schemeClr w14:val="tx1"/>
                  </w14:solidFill>
                </w14:textFill>
              </w:rPr>
              <w:t>空气质量SO</w:t>
            </w:r>
            <w:r>
              <w:rPr>
                <w:rFonts w:hint="default" w:ascii="Times New Roman" w:hAnsi="Times New Roman" w:cs="Times New Roman"/>
                <w:color w:val="000000" w:themeColor="text1"/>
                <w:sz w:val="24"/>
                <w:highlight w:val="none"/>
                <w:vertAlign w:val="subscript"/>
                <w14:textFill>
                  <w14:solidFill>
                    <w14:schemeClr w14:val="tx1"/>
                  </w14:solidFill>
                </w14:textFill>
              </w:rPr>
              <w:t>2</w:t>
            </w:r>
            <w:r>
              <w:rPr>
                <w:rFonts w:hint="default" w:ascii="Times New Roman" w:hAnsi="Times New Roman" w:cs="Times New Roman"/>
                <w:color w:val="000000" w:themeColor="text1"/>
                <w:sz w:val="24"/>
                <w:highlight w:val="none"/>
                <w14:textFill>
                  <w14:solidFill>
                    <w14:schemeClr w14:val="tx1"/>
                  </w14:solidFill>
                </w14:textFill>
              </w:rPr>
              <w:t>、NO</w:t>
            </w:r>
            <w:r>
              <w:rPr>
                <w:rFonts w:hint="default" w:ascii="Times New Roman" w:hAnsi="Times New Roman" w:cs="Times New Roman"/>
                <w:color w:val="000000" w:themeColor="text1"/>
                <w:sz w:val="24"/>
                <w:highlight w:val="none"/>
                <w:vertAlign w:val="subscript"/>
                <w14:textFill>
                  <w14:solidFill>
                    <w14:schemeClr w14:val="tx1"/>
                  </w14:solidFill>
                </w14:textFill>
              </w:rPr>
              <w:t>2</w:t>
            </w:r>
            <w:r>
              <w:rPr>
                <w:rFonts w:hint="default" w:ascii="Times New Roman" w:hAnsi="Times New Roman" w:cs="Times New Roman"/>
                <w:color w:val="000000" w:themeColor="text1"/>
                <w:sz w:val="24"/>
                <w:highlight w:val="none"/>
                <w14:textFill>
                  <w14:solidFill>
                    <w14:schemeClr w14:val="tx1"/>
                  </w14:solidFill>
                </w14:textFill>
              </w:rPr>
              <w:t>、CO浓度均满足《环境空气质量标准》（GB3095-2012）二级标准及2018年修改单；PM</w:t>
            </w:r>
            <w:r>
              <w:rPr>
                <w:rFonts w:hint="default" w:ascii="Times New Roman" w:hAnsi="Times New Roman" w:cs="Times New Roman"/>
                <w:color w:val="000000" w:themeColor="text1"/>
                <w:sz w:val="24"/>
                <w:highlight w:val="none"/>
                <w:vertAlign w:val="subscript"/>
                <w14:textFill>
                  <w14:solidFill>
                    <w14:schemeClr w14:val="tx1"/>
                  </w14:solidFill>
                </w14:textFill>
              </w:rPr>
              <w:t>2.5</w:t>
            </w:r>
            <w:r>
              <w:rPr>
                <w:rFonts w:hint="default" w:ascii="Times New Roman" w:hAnsi="Times New Roman" w:cs="Times New Roman"/>
                <w:color w:val="000000" w:themeColor="text1"/>
                <w:sz w:val="24"/>
                <w:highlight w:val="none"/>
                <w:vertAlign w:val="baseline"/>
                <w:lang w:eastAsia="zh-CN"/>
                <w14:textFill>
                  <w14:solidFill>
                    <w14:schemeClr w14:val="tx1"/>
                  </w14:solidFill>
                </w14:textFill>
              </w:rPr>
              <w:t>、</w:t>
            </w:r>
            <w:r>
              <w:rPr>
                <w:rFonts w:hint="default" w:ascii="Times New Roman" w:hAnsi="Times New Roman" w:cs="Times New Roman"/>
                <w:color w:val="000000" w:themeColor="text1"/>
                <w:sz w:val="24"/>
                <w:highlight w:val="none"/>
                <w:vertAlign w:val="baseline"/>
                <w:lang w:val="en-US" w:eastAsia="zh-CN"/>
                <w14:textFill>
                  <w14:solidFill>
                    <w14:schemeClr w14:val="tx1"/>
                  </w14:solidFill>
                </w14:textFill>
              </w:rPr>
              <w:t>PM</w:t>
            </w:r>
            <w:r>
              <w:rPr>
                <w:rFonts w:hint="default" w:ascii="Times New Roman" w:hAnsi="Times New Roman" w:cs="Times New Roman"/>
                <w:color w:val="000000" w:themeColor="text1"/>
                <w:sz w:val="24"/>
                <w:highlight w:val="none"/>
                <w:vertAlign w:val="subscript"/>
                <w:lang w:val="en-US" w:eastAsia="zh-CN"/>
                <w14:textFill>
                  <w14:solidFill>
                    <w14:schemeClr w14:val="tx1"/>
                  </w14:solidFill>
                </w14:textFill>
              </w:rPr>
              <w:t>10</w:t>
            </w:r>
            <w:r>
              <w:rPr>
                <w:rFonts w:hint="default" w:ascii="Times New Roman" w:hAnsi="Times New Roman" w:cs="Times New Roman"/>
                <w:color w:val="000000" w:themeColor="text1"/>
                <w:sz w:val="24"/>
                <w:highlight w:val="none"/>
                <w14:textFill>
                  <w14:solidFill>
                    <w14:schemeClr w14:val="tx1"/>
                  </w14:solidFill>
                </w14:textFill>
              </w:rPr>
              <w:t>和O</w:t>
            </w:r>
            <w:r>
              <w:rPr>
                <w:rFonts w:hint="default" w:ascii="Times New Roman" w:hAnsi="Times New Roman" w:cs="Times New Roman"/>
                <w:color w:val="000000" w:themeColor="text1"/>
                <w:sz w:val="24"/>
                <w:highlight w:val="none"/>
                <w:vertAlign w:val="subscript"/>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浓度均超标，</w:t>
            </w:r>
            <w:r>
              <w:rPr>
                <w:rFonts w:hint="default" w:ascii="Times New Roman" w:hAnsi="Times New Roman" w:cs="Times New Roman"/>
                <w:color w:val="000000" w:themeColor="text1"/>
                <w:sz w:val="24"/>
                <w:szCs w:val="24"/>
                <w:highlight w:val="none"/>
                <w14:textFill>
                  <w14:solidFill>
                    <w14:schemeClr w14:val="tx1"/>
                  </w14:solidFill>
                </w14:textFill>
              </w:rPr>
              <w:t>永清县</w:t>
            </w:r>
            <w:r>
              <w:rPr>
                <w:rFonts w:hint="default" w:ascii="Times New Roman" w:hAnsi="Times New Roman" w:cs="Times New Roman"/>
                <w:color w:val="000000" w:themeColor="text1"/>
                <w:sz w:val="24"/>
                <w:szCs w:val="24"/>
                <w:highlight w:val="none"/>
                <w:lang w:eastAsia="zh-CN"/>
                <w14:textFill>
                  <w14:solidFill>
                    <w14:schemeClr w14:val="tx1"/>
                  </w14:solidFill>
                </w14:textFill>
              </w:rPr>
              <w:t>属于</w:t>
            </w:r>
            <w:r>
              <w:rPr>
                <w:rFonts w:hint="default" w:ascii="Times New Roman" w:hAnsi="Times New Roman" w:cs="Times New Roman"/>
                <w:color w:val="000000" w:themeColor="text1"/>
                <w:sz w:val="24"/>
                <w:szCs w:val="24"/>
                <w:highlight w:val="none"/>
                <w14:textFill>
                  <w14:solidFill>
                    <w14:schemeClr w14:val="tx1"/>
                  </w14:solidFill>
                </w14:textFill>
              </w:rPr>
              <w:t>环境空气质量</w:t>
            </w:r>
            <w:r>
              <w:rPr>
                <w:rFonts w:hint="default" w:ascii="Times New Roman" w:hAnsi="Times New Roman" w:cs="Times New Roman"/>
                <w:color w:val="000000" w:themeColor="text1"/>
                <w:sz w:val="24"/>
                <w:szCs w:val="24"/>
                <w:highlight w:val="none"/>
                <w:lang w:eastAsia="zh-CN"/>
                <w14:textFill>
                  <w14:solidFill>
                    <w14:schemeClr w14:val="tx1"/>
                  </w14:solidFill>
                </w14:textFill>
              </w:rPr>
              <w:t>不达标区域</w:t>
            </w:r>
            <w:r>
              <w:rPr>
                <w:rFonts w:hint="default" w:ascii="Times New Roman" w:hAnsi="Times New Roman" w:cs="Times New Roman"/>
                <w:color w:val="000000" w:themeColor="text1"/>
                <w:sz w:val="24"/>
                <w:szCs w:val="24"/>
                <w:highlight w:val="none"/>
                <w14:textFill>
                  <w14:solidFill>
                    <w14:schemeClr w14:val="tx1"/>
                  </w14:solidFill>
                </w14:textFill>
              </w:rPr>
              <w:t>。</w:t>
            </w:r>
          </w:p>
          <w:p w14:paraId="61E4466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textAlignment w:val="auto"/>
              <w:rPr>
                <w:color w:val="auto"/>
                <w:sz w:val="24"/>
                <w:highlight w:val="none"/>
              </w:rPr>
            </w:pPr>
            <w:r>
              <w:rPr>
                <w:rFonts w:hint="default" w:ascii="Times New Roman" w:hAnsi="Times New Roman" w:cs="Times New Roman"/>
                <w:color w:val="auto"/>
                <w:sz w:val="24"/>
                <w:highlight w:val="none"/>
              </w:rPr>
              <w:t>为改善廊坊市环境空气质量现状，随着《京津冀及周边地区、汾渭平原2023</w:t>
            </w:r>
            <w:r>
              <w:rPr>
                <w:rFonts w:hint="default" w:ascii="Times New Roman" w:hAnsi="Times New Roman" w:cs="Times New Roman"/>
                <w:color w:val="auto"/>
                <w:sz w:val="24"/>
                <w:highlight w:val="none"/>
                <w:lang w:val="en-US" w:eastAsia="zh-CN"/>
              </w:rPr>
              <w:t>-</w:t>
            </w:r>
            <w:r>
              <w:rPr>
                <w:rFonts w:hint="default" w:ascii="Times New Roman" w:hAnsi="Times New Roman" w:cs="Times New Roman"/>
                <w:color w:val="auto"/>
                <w:sz w:val="24"/>
                <w:highlight w:val="none"/>
              </w:rPr>
              <w:t>2024年秋冬季大气污染综合治理攻坚方案》、《廊坊市深入打好重污染天气消除、臭氧污染防治、柴油货车污染治理和城市大气污染深度治理攻坚战行动方案》（廊气办字〔2023〕70号）的实施，</w:t>
            </w:r>
            <w:r>
              <w:rPr>
                <w:rFonts w:hint="default" w:ascii="Times New Roman" w:hAnsi="Times New Roman" w:cs="Times New Roman"/>
                <w:color w:val="auto"/>
                <w:sz w:val="24"/>
                <w:highlight w:val="none"/>
                <w:lang w:eastAsia="zh-CN"/>
              </w:rPr>
              <w:t>永清县</w:t>
            </w:r>
            <w:r>
              <w:rPr>
                <w:rFonts w:hint="default" w:ascii="Times New Roman" w:hAnsi="Times New Roman" w:cs="Times New Roman"/>
                <w:color w:val="auto"/>
                <w:sz w:val="24"/>
                <w:highlight w:val="none"/>
              </w:rPr>
              <w:t>环境空气质量现状将逐步得到改善</w:t>
            </w:r>
            <w:r>
              <w:rPr>
                <w:color w:val="auto"/>
                <w:sz w:val="24"/>
                <w:highlight w:val="none"/>
              </w:rPr>
              <w:t>。</w:t>
            </w:r>
          </w:p>
          <w:p w14:paraId="33A81A41">
            <w:pPr>
              <w:keepNext w:val="0"/>
              <w:keepLines w:val="0"/>
              <w:pageBreakBefore w:val="0"/>
              <w:widowControl w:val="0"/>
              <w:kinsoku/>
              <w:wordWrap/>
              <w:overflowPunct/>
              <w:topLinePunct w:val="0"/>
              <w:autoSpaceDE/>
              <w:autoSpaceDN/>
              <w:bidi w:val="0"/>
              <w:spacing w:line="480" w:lineRule="exact"/>
              <w:ind w:left="560" w:leftChars="200"/>
              <w:textAlignment w:val="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2、特征污染物</w:t>
            </w:r>
          </w:p>
          <w:p w14:paraId="49BD133F">
            <w:pPr>
              <w:spacing w:line="460" w:lineRule="exact"/>
              <w:ind w:firstLine="480" w:firstLineChars="200"/>
              <w:rPr>
                <w:rFonts w:hint="default" w:ascii="Times New Roman" w:hAnsi="Times New Roman" w:eastAsia="宋体" w:cs="Times New Roman"/>
                <w:color w:val="000000"/>
                <w:sz w:val="24"/>
                <w:szCs w:val="24"/>
                <w:highlight w:val="none"/>
                <w:lang w:eastAsia="zh-CN"/>
              </w:rPr>
            </w:pPr>
            <w:r>
              <w:rPr>
                <w:rFonts w:hint="eastAsia" w:ascii="Times New Roman" w:hAnsi="Times New Roman" w:eastAsia="宋体" w:cs="Times New Roman"/>
                <w:color w:val="000000"/>
                <w:sz w:val="24"/>
                <w:szCs w:val="24"/>
                <w:highlight w:val="none"/>
                <w:lang w:eastAsia="zh-CN"/>
              </w:rPr>
              <w:t>项目</w:t>
            </w:r>
            <w:r>
              <w:rPr>
                <w:rFonts w:hint="default" w:ascii="Times New Roman" w:hAnsi="Times New Roman" w:eastAsia="宋体" w:cs="Times New Roman"/>
                <w:color w:val="000000"/>
                <w:sz w:val="24"/>
                <w:szCs w:val="24"/>
                <w:highlight w:val="none"/>
                <w:lang w:eastAsia="zh-CN"/>
              </w:rPr>
              <w:t>引用</w:t>
            </w:r>
            <w:r>
              <w:rPr>
                <w:rFonts w:hint="eastAsia" w:ascii="Times New Roman" w:hAnsi="Times New Roman" w:eastAsia="宋体" w:cs="Times New Roman"/>
                <w:color w:val="000000"/>
                <w:sz w:val="24"/>
                <w:szCs w:val="24"/>
                <w:highlight w:val="none"/>
                <w:lang w:eastAsia="zh-CN"/>
              </w:rPr>
              <w:t>河北尚源检测技术服务有限公司</w:t>
            </w:r>
            <w:r>
              <w:rPr>
                <w:rFonts w:hint="default" w:ascii="Times New Roman" w:hAnsi="Times New Roman" w:eastAsia="宋体" w:cs="Times New Roman"/>
                <w:color w:val="000000"/>
                <w:sz w:val="24"/>
                <w:szCs w:val="24"/>
                <w:highlight w:val="none"/>
                <w:lang w:eastAsia="zh-CN"/>
              </w:rPr>
              <w:t>出具的《</w:t>
            </w:r>
            <w:r>
              <w:rPr>
                <w:rFonts w:hint="eastAsia" w:ascii="Times New Roman" w:hAnsi="Times New Roman" w:eastAsia="宋体" w:cs="Times New Roman"/>
                <w:color w:val="000000"/>
                <w:sz w:val="24"/>
                <w:szCs w:val="24"/>
                <w:highlight w:val="none"/>
                <w:lang w:eastAsia="zh-CN"/>
              </w:rPr>
              <w:t>检测报告</w:t>
            </w:r>
            <w:r>
              <w:rPr>
                <w:rFonts w:hint="default" w:ascii="Times New Roman" w:hAnsi="Times New Roman" w:eastAsia="宋体" w:cs="Times New Roman"/>
                <w:color w:val="000000"/>
                <w:sz w:val="24"/>
                <w:szCs w:val="24"/>
                <w:highlight w:val="none"/>
                <w:lang w:eastAsia="zh-CN"/>
              </w:rPr>
              <w:t>》（编号：</w:t>
            </w:r>
            <w:r>
              <w:rPr>
                <w:rFonts w:hint="eastAsia" w:ascii="Times New Roman" w:hAnsi="Times New Roman" w:eastAsia="宋体" w:cs="Times New Roman"/>
                <w:color w:val="000000"/>
                <w:sz w:val="24"/>
                <w:szCs w:val="24"/>
                <w:highlight w:val="none"/>
                <w:lang w:val="en-US" w:eastAsia="zh-CN"/>
              </w:rPr>
              <w:t>SYJC2024H0098</w:t>
            </w:r>
            <w:r>
              <w:rPr>
                <w:rFonts w:hint="default" w:ascii="Times New Roman" w:hAnsi="Times New Roman" w:eastAsia="宋体" w:cs="Times New Roman"/>
                <w:color w:val="000000"/>
                <w:sz w:val="24"/>
                <w:szCs w:val="24"/>
                <w:highlight w:val="none"/>
                <w:lang w:eastAsia="zh-CN"/>
              </w:rPr>
              <w:t>）中非甲烷总烃的监测数据，检测时间为</w:t>
            </w:r>
            <w:r>
              <w:rPr>
                <w:rFonts w:hint="eastAsia" w:ascii="Times New Roman" w:hAnsi="Times New Roman" w:eastAsia="宋体" w:cs="Times New Roman"/>
                <w:color w:val="000000"/>
                <w:sz w:val="24"/>
                <w:szCs w:val="24"/>
                <w:highlight w:val="none"/>
                <w:lang w:val="en-US" w:eastAsia="zh-CN"/>
              </w:rPr>
              <w:t>2024</w:t>
            </w:r>
            <w:r>
              <w:rPr>
                <w:rFonts w:hint="default" w:ascii="Times New Roman" w:hAnsi="Times New Roman" w:eastAsia="宋体" w:cs="Times New Roman"/>
                <w:color w:val="000000"/>
                <w:sz w:val="24"/>
                <w:szCs w:val="24"/>
                <w:highlight w:val="none"/>
                <w:lang w:eastAsia="zh-CN"/>
              </w:rPr>
              <w:t>年</w:t>
            </w:r>
            <w:r>
              <w:rPr>
                <w:rFonts w:hint="eastAsia" w:ascii="Times New Roman" w:hAnsi="Times New Roman" w:eastAsia="宋体" w:cs="Times New Roman"/>
                <w:color w:val="000000"/>
                <w:sz w:val="24"/>
                <w:szCs w:val="24"/>
                <w:highlight w:val="none"/>
                <w:lang w:val="en-US" w:eastAsia="zh-CN"/>
              </w:rPr>
              <w:t>7</w:t>
            </w:r>
            <w:r>
              <w:rPr>
                <w:rFonts w:hint="default" w:ascii="Times New Roman" w:hAnsi="Times New Roman" w:eastAsia="宋体" w:cs="Times New Roman"/>
                <w:color w:val="000000"/>
                <w:sz w:val="24"/>
                <w:szCs w:val="24"/>
                <w:highlight w:val="none"/>
                <w:lang w:eastAsia="zh-CN"/>
              </w:rPr>
              <w:t>月</w:t>
            </w:r>
            <w:r>
              <w:rPr>
                <w:rFonts w:hint="eastAsia" w:ascii="Times New Roman" w:hAnsi="Times New Roman" w:eastAsia="宋体" w:cs="Times New Roman"/>
                <w:color w:val="000000"/>
                <w:sz w:val="24"/>
                <w:szCs w:val="24"/>
                <w:highlight w:val="none"/>
                <w:lang w:val="en-US" w:eastAsia="zh-CN"/>
              </w:rPr>
              <w:t>11</w:t>
            </w:r>
            <w:r>
              <w:rPr>
                <w:rFonts w:hint="default" w:ascii="Times New Roman" w:hAnsi="Times New Roman" w:eastAsia="宋体" w:cs="Times New Roman"/>
                <w:color w:val="000000"/>
                <w:sz w:val="24"/>
                <w:szCs w:val="24"/>
                <w:highlight w:val="none"/>
                <w:lang w:eastAsia="zh-CN"/>
              </w:rPr>
              <w:t>日至</w:t>
            </w:r>
            <w:r>
              <w:rPr>
                <w:rFonts w:hint="eastAsia" w:ascii="Times New Roman" w:hAnsi="Times New Roman" w:eastAsia="宋体" w:cs="Times New Roman"/>
                <w:color w:val="000000"/>
                <w:sz w:val="24"/>
                <w:szCs w:val="24"/>
                <w:highlight w:val="none"/>
                <w:lang w:val="en-US" w:eastAsia="zh-CN"/>
              </w:rPr>
              <w:t>2024</w:t>
            </w:r>
            <w:r>
              <w:rPr>
                <w:rFonts w:hint="default" w:ascii="Times New Roman" w:hAnsi="Times New Roman" w:eastAsia="宋体" w:cs="Times New Roman"/>
                <w:color w:val="000000"/>
                <w:sz w:val="24"/>
                <w:szCs w:val="24"/>
                <w:highlight w:val="none"/>
                <w:lang w:eastAsia="zh-CN"/>
              </w:rPr>
              <w:t>年</w:t>
            </w:r>
            <w:r>
              <w:rPr>
                <w:rFonts w:hint="eastAsia" w:ascii="Times New Roman" w:hAnsi="Times New Roman" w:eastAsia="宋体" w:cs="Times New Roman"/>
                <w:color w:val="000000"/>
                <w:sz w:val="24"/>
                <w:szCs w:val="24"/>
                <w:highlight w:val="none"/>
                <w:lang w:val="en-US" w:eastAsia="zh-CN"/>
              </w:rPr>
              <w:t>7</w:t>
            </w:r>
            <w:r>
              <w:rPr>
                <w:rFonts w:hint="default" w:ascii="Times New Roman" w:hAnsi="Times New Roman" w:eastAsia="宋体" w:cs="Times New Roman"/>
                <w:color w:val="000000"/>
                <w:sz w:val="24"/>
                <w:szCs w:val="24"/>
                <w:highlight w:val="none"/>
                <w:lang w:eastAsia="zh-CN"/>
              </w:rPr>
              <w:t>月</w:t>
            </w:r>
            <w:r>
              <w:rPr>
                <w:rFonts w:hint="eastAsia" w:ascii="Times New Roman" w:hAnsi="Times New Roman" w:eastAsia="宋体" w:cs="Times New Roman"/>
                <w:color w:val="000000"/>
                <w:sz w:val="24"/>
                <w:szCs w:val="24"/>
                <w:highlight w:val="none"/>
                <w:lang w:val="en-US" w:eastAsia="zh-CN"/>
              </w:rPr>
              <w:t>13</w:t>
            </w:r>
            <w:r>
              <w:rPr>
                <w:rFonts w:hint="default" w:ascii="Times New Roman" w:hAnsi="Times New Roman" w:eastAsia="宋体" w:cs="Times New Roman"/>
                <w:color w:val="000000"/>
                <w:sz w:val="24"/>
                <w:szCs w:val="24"/>
                <w:highlight w:val="none"/>
                <w:lang w:eastAsia="zh-CN"/>
              </w:rPr>
              <w:t>日，监测频次为连续监测</w:t>
            </w:r>
            <w:r>
              <w:rPr>
                <w:rFonts w:hint="eastAsia" w:ascii="Times New Roman" w:hAnsi="Times New Roman" w:eastAsia="宋体" w:cs="Times New Roman"/>
                <w:color w:val="000000"/>
                <w:sz w:val="24"/>
                <w:szCs w:val="24"/>
                <w:highlight w:val="none"/>
                <w:lang w:val="en-US" w:eastAsia="zh-CN"/>
              </w:rPr>
              <w:t>3</w:t>
            </w:r>
            <w:r>
              <w:rPr>
                <w:rFonts w:hint="default" w:ascii="Times New Roman" w:hAnsi="Times New Roman" w:eastAsia="宋体" w:cs="Times New Roman"/>
                <w:color w:val="000000"/>
                <w:sz w:val="24"/>
                <w:szCs w:val="24"/>
                <w:highlight w:val="none"/>
                <w:lang w:eastAsia="zh-CN"/>
              </w:rPr>
              <w:t>天，每天4次</w:t>
            </w:r>
            <w:r>
              <w:rPr>
                <w:rFonts w:hint="eastAsia" w:ascii="Times New Roman" w:hAnsi="Times New Roman" w:eastAsia="宋体" w:cs="Times New Roman"/>
                <w:color w:val="000000"/>
                <w:sz w:val="24"/>
                <w:szCs w:val="24"/>
                <w:highlight w:val="none"/>
                <w:lang w:val="en-US" w:eastAsia="zh-CN"/>
              </w:rPr>
              <w:t>，</w:t>
            </w:r>
            <w:r>
              <w:rPr>
                <w:rFonts w:hint="default" w:ascii="Times New Roman" w:hAnsi="Times New Roman" w:eastAsia="宋体" w:cs="Times New Roman"/>
                <w:color w:val="000000"/>
                <w:sz w:val="24"/>
                <w:szCs w:val="24"/>
                <w:highlight w:val="none"/>
                <w:lang w:eastAsia="zh-CN"/>
              </w:rPr>
              <w:t>其监测点位位于</w:t>
            </w:r>
            <w:r>
              <w:rPr>
                <w:rFonts w:hint="eastAsia" w:ascii="Times New Roman" w:hAnsi="Times New Roman" w:eastAsia="宋体" w:cs="Times New Roman"/>
                <w:color w:val="000000"/>
                <w:sz w:val="24"/>
                <w:szCs w:val="24"/>
                <w:highlight w:val="none"/>
                <w:lang w:eastAsia="zh-CN"/>
              </w:rPr>
              <w:t>本项目西南方向</w:t>
            </w:r>
            <w:r>
              <w:rPr>
                <w:rFonts w:hint="eastAsia" w:ascii="Times New Roman" w:hAnsi="Times New Roman" w:eastAsia="宋体" w:cs="Times New Roman"/>
                <w:color w:val="000000"/>
                <w:sz w:val="24"/>
                <w:szCs w:val="24"/>
                <w:highlight w:val="none"/>
                <w:lang w:val="en-US" w:eastAsia="zh-CN"/>
              </w:rPr>
              <w:t>3063</w:t>
            </w:r>
            <w:r>
              <w:rPr>
                <w:rFonts w:hint="default" w:ascii="Times New Roman" w:hAnsi="Times New Roman" w:eastAsia="宋体" w:cs="Times New Roman"/>
                <w:color w:val="000000"/>
                <w:sz w:val="24"/>
                <w:szCs w:val="24"/>
                <w:highlight w:val="none"/>
                <w:lang w:eastAsia="zh-CN"/>
              </w:rPr>
              <w:t>m，满足《建设项目环境影响报告表编制技术指南》中相关要求。</w:t>
            </w:r>
          </w:p>
          <w:p w14:paraId="7F394A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0"/>
              <w:jc w:val="center"/>
              <w:textAlignment w:val="auto"/>
              <w:rPr>
                <w:rFonts w:hint="default" w:ascii="Times New Roman" w:hAnsi="Times New Roman" w:cs="Times New Roman"/>
                <w:b/>
                <w:color w:val="auto"/>
                <w:sz w:val="24"/>
              </w:rPr>
            </w:pPr>
            <w:bookmarkStart w:id="0" w:name="_Ref534978987"/>
            <w:r>
              <w:rPr>
                <w:rFonts w:hint="default" w:ascii="Times New Roman" w:hAnsi="Times New Roman" w:cs="Times New Roman"/>
                <w:b/>
                <w:color w:val="auto"/>
                <w:sz w:val="24"/>
              </w:rPr>
              <w:t>表</w:t>
            </w:r>
            <w:bookmarkEnd w:id="0"/>
            <w:r>
              <w:rPr>
                <w:rFonts w:hint="eastAsia" w:ascii="Times New Roman" w:hAnsi="Times New Roman" w:cs="Times New Roman"/>
                <w:b/>
                <w:color w:val="auto"/>
                <w:sz w:val="24"/>
                <w:lang w:val="en-US" w:eastAsia="zh-CN"/>
              </w:rPr>
              <w:t>11</w:t>
            </w:r>
            <w:r>
              <w:rPr>
                <w:rFonts w:hint="default" w:ascii="Times New Roman" w:hAnsi="Times New Roman" w:cs="Times New Roman"/>
                <w:b/>
                <w:color w:val="auto"/>
                <w:sz w:val="24"/>
              </w:rPr>
              <w:t>其他污染物引用监测点位基本信息</w:t>
            </w:r>
          </w:p>
          <w:tbl>
            <w:tblPr>
              <w:tblStyle w:val="3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110"/>
              <w:gridCol w:w="1536"/>
              <w:gridCol w:w="1411"/>
              <w:gridCol w:w="1099"/>
              <w:gridCol w:w="2258"/>
              <w:gridCol w:w="747"/>
              <w:gridCol w:w="751"/>
            </w:tblGrid>
            <w:tr w14:paraId="64ECE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22" w:type="pct"/>
                  <w:vMerge w:val="restart"/>
                  <w:noWrap w:val="0"/>
                  <w:vAlign w:val="center"/>
                </w:tcPr>
                <w:p w14:paraId="492C9725">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监测点名称</w:t>
                  </w:r>
                </w:p>
              </w:tc>
              <w:tc>
                <w:tcPr>
                  <w:tcW w:w="1652" w:type="pct"/>
                  <w:gridSpan w:val="2"/>
                  <w:noWrap w:val="0"/>
                  <w:vAlign w:val="center"/>
                </w:tcPr>
                <w:p w14:paraId="2BC44ED6">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监测点坐标/m</w:t>
                  </w:r>
                </w:p>
              </w:tc>
              <w:tc>
                <w:tcPr>
                  <w:tcW w:w="616" w:type="pct"/>
                  <w:vMerge w:val="restart"/>
                  <w:noWrap w:val="0"/>
                  <w:vAlign w:val="center"/>
                </w:tcPr>
                <w:p w14:paraId="239208CF">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监测因子</w:t>
                  </w:r>
                </w:p>
              </w:tc>
              <w:tc>
                <w:tcPr>
                  <w:tcW w:w="1266" w:type="pct"/>
                  <w:vMerge w:val="restart"/>
                  <w:noWrap w:val="0"/>
                  <w:vAlign w:val="center"/>
                </w:tcPr>
                <w:p w14:paraId="0D0E6728">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监测</w:t>
                  </w:r>
                  <w:r>
                    <w:rPr>
                      <w:rFonts w:hint="eastAsia" w:ascii="Times New Roman" w:hAnsi="Times New Roman" w:eastAsia="宋体" w:cs="Times New Roman"/>
                      <w:sz w:val="21"/>
                      <w:szCs w:val="21"/>
                      <w:lang w:eastAsia="zh-CN"/>
                    </w:rPr>
                    <w:t>频次</w:t>
                  </w:r>
                </w:p>
              </w:tc>
              <w:tc>
                <w:tcPr>
                  <w:tcW w:w="419" w:type="pct"/>
                  <w:vMerge w:val="restart"/>
                  <w:noWrap w:val="0"/>
                  <w:vAlign w:val="center"/>
                </w:tcPr>
                <w:p w14:paraId="3B65A2F1">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相对厂址方位</w:t>
                  </w:r>
                </w:p>
              </w:tc>
              <w:tc>
                <w:tcPr>
                  <w:tcW w:w="421" w:type="pct"/>
                  <w:vMerge w:val="restart"/>
                  <w:noWrap w:val="0"/>
                  <w:vAlign w:val="center"/>
                </w:tcPr>
                <w:p w14:paraId="218176F1">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相对厂界距离/m</w:t>
                  </w:r>
                </w:p>
              </w:tc>
            </w:tr>
            <w:tr w14:paraId="621F69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22" w:type="pct"/>
                  <w:vMerge w:val="continue"/>
                  <w:noWrap w:val="0"/>
                  <w:vAlign w:val="center"/>
                </w:tcPr>
                <w:p w14:paraId="768FD7B7">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rPr>
                  </w:pPr>
                </w:p>
              </w:tc>
              <w:tc>
                <w:tcPr>
                  <w:tcW w:w="861" w:type="pct"/>
                  <w:noWrap w:val="0"/>
                  <w:vAlign w:val="center"/>
                </w:tcPr>
                <w:p w14:paraId="0ED0A31B">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X</w:t>
                  </w:r>
                </w:p>
              </w:tc>
              <w:tc>
                <w:tcPr>
                  <w:tcW w:w="790" w:type="pct"/>
                  <w:noWrap w:val="0"/>
                  <w:vAlign w:val="center"/>
                </w:tcPr>
                <w:p w14:paraId="58CA145B">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Y</w:t>
                  </w:r>
                </w:p>
              </w:tc>
              <w:tc>
                <w:tcPr>
                  <w:tcW w:w="616" w:type="pct"/>
                  <w:vMerge w:val="continue"/>
                  <w:noWrap w:val="0"/>
                  <w:vAlign w:val="center"/>
                </w:tcPr>
                <w:p w14:paraId="7296F7DD">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rPr>
                  </w:pPr>
                </w:p>
              </w:tc>
              <w:tc>
                <w:tcPr>
                  <w:tcW w:w="1266" w:type="pct"/>
                  <w:vMerge w:val="continue"/>
                  <w:noWrap w:val="0"/>
                  <w:vAlign w:val="center"/>
                </w:tcPr>
                <w:p w14:paraId="340AF3E5">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rPr>
                  </w:pPr>
                </w:p>
              </w:tc>
              <w:tc>
                <w:tcPr>
                  <w:tcW w:w="419" w:type="pct"/>
                  <w:vMerge w:val="continue"/>
                  <w:noWrap w:val="0"/>
                  <w:vAlign w:val="center"/>
                </w:tcPr>
                <w:p w14:paraId="43E880D1">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rPr>
                  </w:pPr>
                </w:p>
              </w:tc>
              <w:tc>
                <w:tcPr>
                  <w:tcW w:w="421" w:type="pct"/>
                  <w:vMerge w:val="continue"/>
                  <w:noWrap w:val="0"/>
                  <w:vAlign w:val="center"/>
                </w:tcPr>
                <w:p w14:paraId="649BF697">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rPr>
                  </w:pPr>
                </w:p>
              </w:tc>
            </w:tr>
            <w:tr w14:paraId="2248C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22" w:type="pct"/>
                  <w:noWrap w:val="0"/>
                  <w:vAlign w:val="center"/>
                </w:tcPr>
                <w:p w14:paraId="1D101D06">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eastAsia="zh-CN"/>
                    </w:rPr>
                    <w:t>霸州市三盟包装制品有限公司厂址当季下风向</w:t>
                  </w:r>
                  <w:r>
                    <w:rPr>
                      <w:rFonts w:hint="eastAsia" w:ascii="Times New Roman" w:hAnsi="Times New Roman" w:eastAsia="宋体" w:cs="Times New Roman"/>
                      <w:sz w:val="21"/>
                      <w:szCs w:val="21"/>
                      <w:lang w:val="en-US" w:eastAsia="zh-CN"/>
                    </w:rPr>
                    <w:t>1个检测点位</w:t>
                  </w:r>
                </w:p>
              </w:tc>
              <w:tc>
                <w:tcPr>
                  <w:tcW w:w="861" w:type="pct"/>
                  <w:noWrap w:val="0"/>
                  <w:vAlign w:val="center"/>
                </w:tcPr>
                <w:p w14:paraId="28FB0CEA">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E</w:t>
                  </w:r>
                  <w:r>
                    <w:rPr>
                      <w:rFonts w:hint="default" w:ascii="Times New Roman" w:hAnsi="Times New Roman" w:eastAsia="宋体" w:cs="Times New Roman"/>
                      <w:sz w:val="21"/>
                      <w:szCs w:val="21"/>
                      <w:lang w:val="en-US" w:eastAsia="zh-CN"/>
                    </w:rPr>
                    <w:t>116°</w:t>
                  </w:r>
                  <w:r>
                    <w:rPr>
                      <w:rFonts w:hint="eastAsia" w:ascii="Times New Roman" w:hAnsi="Times New Roman" w:eastAsia="宋体" w:cs="Times New Roman"/>
                      <w:sz w:val="21"/>
                      <w:szCs w:val="21"/>
                      <w:lang w:val="en-US" w:eastAsia="zh-CN"/>
                    </w:rPr>
                    <w:t>28</w:t>
                  </w:r>
                  <w:r>
                    <w:rPr>
                      <w:rFonts w:hint="default"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en-US" w:eastAsia="zh-CN"/>
                    </w:rPr>
                    <w:t>15.83</w:t>
                  </w:r>
                  <w:r>
                    <w:rPr>
                      <w:rFonts w:hint="default" w:ascii="Times New Roman" w:hAnsi="Times New Roman" w:eastAsia="宋体" w:cs="Times New Roman"/>
                      <w:sz w:val="21"/>
                      <w:szCs w:val="21"/>
                      <w:lang w:val="en-US" w:eastAsia="zh-CN"/>
                    </w:rPr>
                    <w:t>″</w:t>
                  </w:r>
                </w:p>
              </w:tc>
              <w:tc>
                <w:tcPr>
                  <w:tcW w:w="790" w:type="pct"/>
                  <w:noWrap w:val="0"/>
                  <w:vAlign w:val="center"/>
                </w:tcPr>
                <w:p w14:paraId="07FC6408">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N</w:t>
                  </w:r>
                  <w:r>
                    <w:rPr>
                      <w:rFonts w:hint="default" w:ascii="Times New Roman" w:hAnsi="Times New Roman" w:eastAsia="宋体" w:cs="Times New Roman"/>
                      <w:sz w:val="21"/>
                      <w:szCs w:val="21"/>
                      <w:lang w:val="en-US" w:eastAsia="zh-CN"/>
                    </w:rPr>
                    <w:t>39°</w:t>
                  </w:r>
                  <w:r>
                    <w:rPr>
                      <w:rFonts w:hint="eastAsia" w:ascii="Times New Roman" w:hAnsi="Times New Roman" w:eastAsia="宋体" w:cs="Times New Roman"/>
                      <w:sz w:val="21"/>
                      <w:szCs w:val="21"/>
                      <w:lang w:val="en-US" w:eastAsia="zh-CN"/>
                    </w:rPr>
                    <w:t>9</w:t>
                  </w:r>
                  <w:r>
                    <w:rPr>
                      <w:rFonts w:hint="default"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en-US" w:eastAsia="zh-CN"/>
                    </w:rPr>
                    <w:t>45.45</w:t>
                  </w:r>
                  <w:r>
                    <w:rPr>
                      <w:rFonts w:hint="default" w:ascii="Times New Roman" w:hAnsi="Times New Roman" w:eastAsia="宋体" w:cs="Times New Roman"/>
                      <w:sz w:val="21"/>
                      <w:szCs w:val="21"/>
                      <w:lang w:val="en-US" w:eastAsia="zh-CN"/>
                    </w:rPr>
                    <w:t>″</w:t>
                  </w:r>
                </w:p>
              </w:tc>
              <w:tc>
                <w:tcPr>
                  <w:tcW w:w="616" w:type="pct"/>
                  <w:noWrap w:val="0"/>
                  <w:vAlign w:val="center"/>
                </w:tcPr>
                <w:p w14:paraId="429103F7">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非甲烷</w:t>
                  </w:r>
                </w:p>
                <w:p w14:paraId="04DC1002">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总烃</w:t>
                  </w:r>
                </w:p>
              </w:tc>
              <w:tc>
                <w:tcPr>
                  <w:tcW w:w="1266" w:type="pct"/>
                  <w:noWrap w:val="0"/>
                  <w:vAlign w:val="center"/>
                </w:tcPr>
                <w:p w14:paraId="53972E24">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连续监测3天，4次/天</w:t>
                  </w:r>
                </w:p>
              </w:tc>
              <w:tc>
                <w:tcPr>
                  <w:tcW w:w="419" w:type="pct"/>
                  <w:noWrap w:val="0"/>
                  <w:vAlign w:val="center"/>
                </w:tcPr>
                <w:p w14:paraId="1C8C3AB1">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西南</w:t>
                  </w:r>
                </w:p>
              </w:tc>
              <w:tc>
                <w:tcPr>
                  <w:tcW w:w="421" w:type="pct"/>
                  <w:noWrap w:val="0"/>
                  <w:vAlign w:val="center"/>
                </w:tcPr>
                <w:p w14:paraId="5080BBB9">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3063</w:t>
                  </w:r>
                </w:p>
              </w:tc>
            </w:tr>
          </w:tbl>
          <w:p w14:paraId="3D574C44">
            <w:pPr>
              <w:spacing w:line="500" w:lineRule="exact"/>
              <w:ind w:firstLine="480" w:firstLineChars="200"/>
              <w:rPr>
                <w:rFonts w:hint="default" w:ascii="Times New Roman" w:hAnsi="Times New Roman" w:cs="Times New Roman"/>
                <w:color w:val="000000"/>
                <w:sz w:val="24"/>
                <w:szCs w:val="32"/>
                <w:highlight w:val="none"/>
              </w:rPr>
            </w:pPr>
            <w:r>
              <w:rPr>
                <w:rFonts w:hint="default" w:ascii="Times New Roman" w:hAnsi="Times New Roman" w:cs="Times New Roman"/>
                <w:color w:val="000000"/>
                <w:sz w:val="24"/>
                <w:szCs w:val="32"/>
                <w:highlight w:val="none"/>
              </w:rPr>
              <w:t>（2）</w:t>
            </w:r>
            <w:r>
              <w:rPr>
                <w:rFonts w:hint="eastAsia" w:ascii="Times New Roman" w:hAnsi="Times New Roman" w:cs="Times New Roman"/>
                <w:color w:val="000000"/>
                <w:sz w:val="24"/>
                <w:szCs w:val="32"/>
                <w:highlight w:val="none"/>
                <w:lang w:eastAsia="zh-CN"/>
              </w:rPr>
              <w:t>检</w:t>
            </w:r>
            <w:r>
              <w:rPr>
                <w:rFonts w:hint="default" w:ascii="Times New Roman" w:hAnsi="Times New Roman" w:cs="Times New Roman"/>
                <w:color w:val="000000"/>
                <w:sz w:val="24"/>
                <w:szCs w:val="32"/>
                <w:highlight w:val="none"/>
              </w:rPr>
              <w:t>测方法</w:t>
            </w:r>
          </w:p>
          <w:p w14:paraId="6DDCA0CF">
            <w:pPr>
              <w:spacing w:line="500" w:lineRule="exact"/>
              <w:ind w:firstLine="480" w:firstLineChars="200"/>
              <w:rPr>
                <w:rFonts w:hint="default" w:ascii="Times New Roman" w:hAnsi="Times New Roman" w:cs="Times New Roman"/>
                <w:color w:val="000000"/>
                <w:sz w:val="24"/>
                <w:szCs w:val="32"/>
                <w:highlight w:val="none"/>
              </w:rPr>
            </w:pPr>
            <w:r>
              <w:rPr>
                <w:rFonts w:hint="eastAsia" w:ascii="Times New Roman" w:hAnsi="Times New Roman" w:cs="Times New Roman"/>
                <w:color w:val="000000"/>
                <w:sz w:val="24"/>
                <w:szCs w:val="32"/>
                <w:highlight w:val="none"/>
                <w:lang w:eastAsia="zh-CN"/>
              </w:rPr>
              <w:t>检</w:t>
            </w:r>
            <w:r>
              <w:rPr>
                <w:rFonts w:hint="default" w:ascii="Times New Roman" w:hAnsi="Times New Roman" w:cs="Times New Roman"/>
                <w:color w:val="000000"/>
                <w:sz w:val="24"/>
                <w:szCs w:val="32"/>
                <w:highlight w:val="none"/>
              </w:rPr>
              <w:t>测分析方法及使用仪器见表。</w:t>
            </w:r>
          </w:p>
          <w:p w14:paraId="318EB0E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0"/>
              <w:jc w:val="center"/>
              <w:textAlignment w:val="auto"/>
              <w:rPr>
                <w:rFonts w:hint="default" w:ascii="Times New Roman" w:hAnsi="Times New Roman" w:cs="Times New Roman"/>
                <w:b/>
                <w:color w:val="auto"/>
                <w:sz w:val="24"/>
              </w:rPr>
            </w:pPr>
            <w:r>
              <w:rPr>
                <w:rFonts w:hint="default" w:ascii="Times New Roman" w:hAnsi="Times New Roman" w:cs="Times New Roman"/>
                <w:b/>
                <w:color w:val="auto"/>
                <w:sz w:val="24"/>
              </w:rPr>
              <w:t>表</w:t>
            </w:r>
            <w:r>
              <w:rPr>
                <w:rFonts w:hint="eastAsia" w:ascii="Times New Roman" w:hAnsi="Times New Roman" w:cs="Times New Roman"/>
                <w:b/>
                <w:color w:val="auto"/>
                <w:sz w:val="24"/>
                <w:lang w:val="en-US" w:eastAsia="zh-CN"/>
              </w:rPr>
              <w:t>12</w:t>
            </w:r>
            <w:r>
              <w:rPr>
                <w:rFonts w:hint="default" w:ascii="Times New Roman" w:hAnsi="Times New Roman" w:cs="Times New Roman"/>
                <w:b/>
                <w:color w:val="auto"/>
                <w:sz w:val="24"/>
              </w:rPr>
              <w:t>监测分析方法及使用仪器一览表</w:t>
            </w:r>
          </w:p>
          <w:tbl>
            <w:tblPr>
              <w:tblStyle w:val="34"/>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183"/>
              <w:gridCol w:w="2453"/>
              <w:gridCol w:w="3821"/>
              <w:gridCol w:w="1446"/>
            </w:tblGrid>
            <w:tr w14:paraId="5407BC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664" w:type="pct"/>
                  <w:noWrap w:val="0"/>
                  <w:vAlign w:val="center"/>
                </w:tcPr>
                <w:p w14:paraId="1BC43E25">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监测指标</w:t>
                  </w:r>
                </w:p>
              </w:tc>
              <w:tc>
                <w:tcPr>
                  <w:tcW w:w="1377" w:type="pct"/>
                  <w:noWrap w:val="0"/>
                  <w:vAlign w:val="center"/>
                </w:tcPr>
                <w:p w14:paraId="5F5D1E71">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分析方法名称及标准</w:t>
                  </w:r>
                </w:p>
              </w:tc>
              <w:tc>
                <w:tcPr>
                  <w:tcW w:w="2145" w:type="pct"/>
                  <w:noWrap w:val="0"/>
                  <w:vAlign w:val="center"/>
                </w:tcPr>
                <w:p w14:paraId="415D7288">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仪器名称型号及编号</w:t>
                  </w:r>
                </w:p>
              </w:tc>
              <w:tc>
                <w:tcPr>
                  <w:tcW w:w="812" w:type="pct"/>
                  <w:noWrap w:val="0"/>
                  <w:vAlign w:val="center"/>
                </w:tcPr>
                <w:p w14:paraId="0ED1B8D4">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方法检出限</w:t>
                  </w:r>
                </w:p>
              </w:tc>
            </w:tr>
            <w:tr w14:paraId="182572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4" w:type="pct"/>
                  <w:noWrap w:val="0"/>
                  <w:vAlign w:val="center"/>
                </w:tcPr>
                <w:p w14:paraId="4052F092">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非甲烷总烃</w:t>
                  </w:r>
                </w:p>
              </w:tc>
              <w:tc>
                <w:tcPr>
                  <w:tcW w:w="1377" w:type="pct"/>
                  <w:noWrap w:val="0"/>
                  <w:vAlign w:val="center"/>
                </w:tcPr>
                <w:p w14:paraId="79F35D62">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《环境空气总烃、甲烷和非甲烷总烃的测定直接进样-气相色谱法》</w:t>
                  </w:r>
                  <w:r>
                    <w:rPr>
                      <w:rFonts w:hint="eastAsia" w:ascii="Times New Roman" w:hAnsi="Times New Roman" w:eastAsia="宋体" w:cs="Times New Roman"/>
                      <w:sz w:val="21"/>
                      <w:szCs w:val="21"/>
                      <w:lang w:val="en-US" w:eastAsia="zh-CN"/>
                    </w:rPr>
                    <w:t>（</w:t>
                  </w:r>
                  <w:r>
                    <w:rPr>
                      <w:rFonts w:hint="default" w:ascii="Times New Roman" w:hAnsi="Times New Roman" w:eastAsia="宋体" w:cs="Times New Roman"/>
                      <w:sz w:val="21"/>
                      <w:szCs w:val="21"/>
                      <w:lang w:val="en-US" w:eastAsia="zh-CN"/>
                    </w:rPr>
                    <w:t>HJ604-2017</w:t>
                  </w:r>
                  <w:r>
                    <w:rPr>
                      <w:rFonts w:hint="eastAsia" w:ascii="Times New Roman" w:hAnsi="Times New Roman" w:eastAsia="宋体" w:cs="Times New Roman"/>
                      <w:sz w:val="21"/>
                      <w:szCs w:val="21"/>
                      <w:lang w:val="en-US" w:eastAsia="zh-CN"/>
                    </w:rPr>
                    <w:t>）</w:t>
                  </w:r>
                </w:p>
              </w:tc>
              <w:tc>
                <w:tcPr>
                  <w:tcW w:w="2145" w:type="pct"/>
                  <w:noWrap w:val="0"/>
                  <w:vAlign w:val="center"/>
                </w:tcPr>
                <w:p w14:paraId="46D8C458">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真空采样箱</w:t>
                  </w:r>
                </w:p>
                <w:p w14:paraId="32433675">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（TW-7000/YQ1087）</w:t>
                  </w:r>
                </w:p>
                <w:p w14:paraId="6E91E0E1">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气相色谱仪</w:t>
                  </w:r>
                </w:p>
                <w:p w14:paraId="7F7013F9">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（GC9790II/YQ0005）</w:t>
                  </w:r>
                </w:p>
              </w:tc>
              <w:tc>
                <w:tcPr>
                  <w:tcW w:w="812" w:type="pct"/>
                  <w:noWrap w:val="0"/>
                  <w:vAlign w:val="center"/>
                </w:tcPr>
                <w:p w14:paraId="197907AE">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0.07mg/m</w:t>
                  </w:r>
                  <w:r>
                    <w:rPr>
                      <w:rFonts w:hint="default" w:ascii="Times New Roman" w:hAnsi="Times New Roman" w:eastAsia="宋体" w:cs="Times New Roman"/>
                      <w:sz w:val="21"/>
                      <w:szCs w:val="21"/>
                      <w:vertAlign w:val="superscript"/>
                      <w:lang w:val="en-US" w:eastAsia="zh-CN"/>
                    </w:rPr>
                    <w:t>3</w:t>
                  </w:r>
                  <w:r>
                    <w:rPr>
                      <w:rFonts w:hint="eastAsia" w:ascii="Times New Roman" w:hAnsi="Times New Roman" w:eastAsia="宋体" w:cs="Times New Roman"/>
                      <w:sz w:val="21"/>
                      <w:szCs w:val="21"/>
                      <w:lang w:val="en-US" w:eastAsia="zh-CN"/>
                    </w:rPr>
                    <w:t>（以碳计）</w:t>
                  </w:r>
                </w:p>
              </w:tc>
            </w:tr>
          </w:tbl>
          <w:p w14:paraId="6FAB0B09">
            <w:pPr>
              <w:numPr>
                <w:ilvl w:val="0"/>
                <w:numId w:val="0"/>
              </w:numPr>
              <w:adjustRightInd w:val="0"/>
              <w:snapToGrid w:val="0"/>
              <w:spacing w:line="500" w:lineRule="exact"/>
              <w:ind w:firstLine="480" w:firstLineChars="200"/>
              <w:rPr>
                <w:rFonts w:hint="default" w:ascii="Times New Roman" w:hAnsi="Times New Roman" w:cs="Times New Roman"/>
                <w:b/>
                <w:color w:val="000000"/>
                <w:highlight w:val="none"/>
              </w:rPr>
            </w:pPr>
            <w:r>
              <w:rPr>
                <w:rFonts w:hint="eastAsia" w:ascii="Times New Roman" w:hAnsi="Times New Roman" w:cs="Times New Roman"/>
                <w:color w:val="000000"/>
                <w:sz w:val="24"/>
                <w:szCs w:val="32"/>
                <w:highlight w:val="none"/>
                <w:lang w:eastAsia="zh-CN"/>
              </w:rPr>
              <w:t>（</w:t>
            </w:r>
            <w:r>
              <w:rPr>
                <w:rFonts w:hint="eastAsia" w:ascii="Times New Roman" w:hAnsi="Times New Roman" w:cs="Times New Roman"/>
                <w:color w:val="000000"/>
                <w:sz w:val="24"/>
                <w:szCs w:val="32"/>
                <w:highlight w:val="none"/>
                <w:lang w:val="en-US" w:eastAsia="zh-CN"/>
              </w:rPr>
              <w:t>3</w:t>
            </w:r>
            <w:r>
              <w:rPr>
                <w:rFonts w:hint="eastAsia" w:ascii="Times New Roman" w:hAnsi="Times New Roman" w:cs="Times New Roman"/>
                <w:color w:val="000000"/>
                <w:sz w:val="24"/>
                <w:szCs w:val="32"/>
                <w:highlight w:val="none"/>
                <w:lang w:eastAsia="zh-CN"/>
              </w:rPr>
              <w:t>）检测结果</w:t>
            </w:r>
          </w:p>
          <w:p w14:paraId="0D00E87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0"/>
              <w:jc w:val="center"/>
              <w:textAlignment w:val="auto"/>
              <w:rPr>
                <w:rFonts w:hint="default" w:ascii="Times New Roman" w:hAnsi="Times New Roman" w:cs="Times New Roman"/>
                <w:b/>
                <w:color w:val="auto"/>
                <w:sz w:val="24"/>
              </w:rPr>
            </w:pPr>
            <w:r>
              <w:rPr>
                <w:rFonts w:hint="default" w:ascii="Times New Roman" w:hAnsi="Times New Roman" w:cs="Times New Roman"/>
                <w:b/>
                <w:color w:val="auto"/>
                <w:sz w:val="24"/>
              </w:rPr>
              <w:t>表</w:t>
            </w:r>
            <w:r>
              <w:rPr>
                <w:rFonts w:hint="eastAsia" w:ascii="Times New Roman" w:hAnsi="Times New Roman" w:cs="Times New Roman"/>
                <w:b/>
                <w:color w:val="auto"/>
                <w:sz w:val="24"/>
                <w:lang w:val="en-US" w:eastAsia="zh-CN"/>
              </w:rPr>
              <w:t>13</w:t>
            </w:r>
            <w:r>
              <w:rPr>
                <w:rFonts w:hint="eastAsia" w:ascii="Times New Roman" w:hAnsi="Times New Roman" w:cs="Times New Roman"/>
                <w:b/>
                <w:color w:val="auto"/>
                <w:sz w:val="24"/>
                <w:lang w:eastAsia="zh-CN"/>
              </w:rPr>
              <w:t>检测结果</w:t>
            </w:r>
            <w:r>
              <w:rPr>
                <w:rFonts w:hint="default" w:ascii="Times New Roman" w:hAnsi="Times New Roman" w:cs="Times New Roman"/>
                <w:b/>
                <w:color w:val="auto"/>
                <w:sz w:val="24"/>
              </w:rPr>
              <w:t>一览表</w:t>
            </w:r>
          </w:p>
          <w:tbl>
            <w:tblPr>
              <w:tblStyle w:val="3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5"/>
              <w:gridCol w:w="836"/>
              <w:gridCol w:w="1202"/>
              <w:gridCol w:w="1564"/>
              <w:gridCol w:w="1913"/>
              <w:gridCol w:w="1694"/>
              <w:gridCol w:w="1009"/>
            </w:tblGrid>
            <w:tr w14:paraId="46506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859" w:type="pct"/>
                  <w:gridSpan w:val="2"/>
                  <w:vMerge w:val="restart"/>
                  <w:noWrap w:val="0"/>
                  <w:vAlign w:val="center"/>
                </w:tcPr>
                <w:p w14:paraId="0D49DD1A">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采样日期/点位及时间</w:t>
                  </w:r>
                </w:p>
              </w:tc>
              <w:tc>
                <w:tcPr>
                  <w:tcW w:w="4140" w:type="pct"/>
                  <w:gridSpan w:val="5"/>
                  <w:noWrap w:val="0"/>
                  <w:vAlign w:val="center"/>
                </w:tcPr>
                <w:p w14:paraId="6CFF020D">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检测结果</w:t>
                  </w:r>
                </w:p>
              </w:tc>
            </w:tr>
            <w:tr w14:paraId="5402D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859" w:type="pct"/>
                  <w:gridSpan w:val="2"/>
                  <w:vMerge w:val="continue"/>
                  <w:noWrap w:val="0"/>
                  <w:vAlign w:val="center"/>
                </w:tcPr>
                <w:p w14:paraId="7EE3F162">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eastAsia" w:ascii="Times New Roman" w:hAnsi="Times New Roman" w:eastAsia="宋体" w:cs="Times New Roman"/>
                      <w:sz w:val="21"/>
                      <w:szCs w:val="21"/>
                      <w:lang w:val="en-US" w:eastAsia="zh-CN"/>
                    </w:rPr>
                  </w:pPr>
                </w:p>
              </w:tc>
              <w:tc>
                <w:tcPr>
                  <w:tcW w:w="674" w:type="pct"/>
                  <w:noWrap w:val="0"/>
                  <w:vAlign w:val="center"/>
                </w:tcPr>
                <w:p w14:paraId="50CF8B18">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检测项目</w:t>
                  </w:r>
                </w:p>
              </w:tc>
              <w:tc>
                <w:tcPr>
                  <w:tcW w:w="877" w:type="pct"/>
                  <w:noWrap w:val="0"/>
                  <w:vAlign w:val="center"/>
                </w:tcPr>
                <w:p w14:paraId="5B1572DA">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2024.07.11</w:t>
                  </w:r>
                </w:p>
              </w:tc>
              <w:tc>
                <w:tcPr>
                  <w:tcW w:w="1073" w:type="pct"/>
                  <w:noWrap w:val="0"/>
                  <w:vAlign w:val="center"/>
                </w:tcPr>
                <w:p w14:paraId="16D680F7">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2024.07.12</w:t>
                  </w:r>
                </w:p>
              </w:tc>
              <w:tc>
                <w:tcPr>
                  <w:tcW w:w="950" w:type="pct"/>
                  <w:noWrap w:val="0"/>
                  <w:vAlign w:val="center"/>
                </w:tcPr>
                <w:p w14:paraId="381B1306">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2024.07.13</w:t>
                  </w:r>
                </w:p>
              </w:tc>
              <w:tc>
                <w:tcPr>
                  <w:tcW w:w="565" w:type="pct"/>
                  <w:noWrap w:val="0"/>
                  <w:vAlign w:val="center"/>
                </w:tcPr>
                <w:p w14:paraId="68978A7D">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单位</w:t>
                  </w:r>
                </w:p>
              </w:tc>
            </w:tr>
            <w:tr w14:paraId="68BC2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90" w:type="pct"/>
                  <w:vMerge w:val="restart"/>
                  <w:noWrap w:val="0"/>
                  <w:vAlign w:val="center"/>
                </w:tcPr>
                <w:p w14:paraId="3D816326">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O1#厂址当季主导下风向</w:t>
                  </w:r>
                </w:p>
              </w:tc>
              <w:tc>
                <w:tcPr>
                  <w:tcW w:w="469" w:type="pct"/>
                  <w:noWrap w:val="0"/>
                  <w:vAlign w:val="center"/>
                </w:tcPr>
                <w:p w14:paraId="7A919C63">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02：00</w:t>
                  </w:r>
                </w:p>
              </w:tc>
              <w:tc>
                <w:tcPr>
                  <w:tcW w:w="674" w:type="pct"/>
                  <w:vMerge w:val="restart"/>
                  <w:noWrap w:val="0"/>
                  <w:vAlign w:val="center"/>
                </w:tcPr>
                <w:p w14:paraId="4759C231">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非甲烷总烃</w:t>
                  </w:r>
                </w:p>
              </w:tc>
              <w:tc>
                <w:tcPr>
                  <w:tcW w:w="877" w:type="pct"/>
                  <w:noWrap w:val="0"/>
                  <w:vAlign w:val="center"/>
                </w:tcPr>
                <w:p w14:paraId="2BABC4AB">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0.48</w:t>
                  </w:r>
                </w:p>
              </w:tc>
              <w:tc>
                <w:tcPr>
                  <w:tcW w:w="1073" w:type="pct"/>
                  <w:noWrap w:val="0"/>
                  <w:vAlign w:val="center"/>
                </w:tcPr>
                <w:p w14:paraId="53767E6D">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0.50</w:t>
                  </w:r>
                </w:p>
              </w:tc>
              <w:tc>
                <w:tcPr>
                  <w:tcW w:w="950" w:type="pct"/>
                  <w:noWrap w:val="0"/>
                  <w:vAlign w:val="center"/>
                </w:tcPr>
                <w:p w14:paraId="711436EE">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0.40</w:t>
                  </w:r>
                </w:p>
              </w:tc>
              <w:tc>
                <w:tcPr>
                  <w:tcW w:w="565" w:type="pct"/>
                  <w:noWrap w:val="0"/>
                  <w:vAlign w:val="center"/>
                </w:tcPr>
                <w:p w14:paraId="274963FC">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mg/m³</w:t>
                  </w:r>
                </w:p>
              </w:tc>
            </w:tr>
            <w:tr w14:paraId="262FD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90" w:type="pct"/>
                  <w:vMerge w:val="continue"/>
                  <w:noWrap w:val="0"/>
                  <w:vAlign w:val="center"/>
                </w:tcPr>
                <w:p w14:paraId="49241FBC">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eastAsia" w:ascii="Times New Roman" w:hAnsi="Times New Roman" w:eastAsia="宋体" w:cs="Times New Roman"/>
                      <w:sz w:val="21"/>
                      <w:szCs w:val="21"/>
                      <w:lang w:val="en-US" w:eastAsia="zh-CN"/>
                    </w:rPr>
                  </w:pPr>
                </w:p>
              </w:tc>
              <w:tc>
                <w:tcPr>
                  <w:tcW w:w="469" w:type="pct"/>
                  <w:noWrap w:val="0"/>
                  <w:vAlign w:val="center"/>
                </w:tcPr>
                <w:p w14:paraId="1C5475E9">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08：00</w:t>
                  </w:r>
                </w:p>
              </w:tc>
              <w:tc>
                <w:tcPr>
                  <w:tcW w:w="674" w:type="pct"/>
                  <w:vMerge w:val="continue"/>
                  <w:noWrap w:val="0"/>
                  <w:vAlign w:val="center"/>
                </w:tcPr>
                <w:p w14:paraId="1586F849">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eastAsia" w:ascii="Times New Roman" w:hAnsi="Times New Roman" w:eastAsia="宋体" w:cs="Times New Roman"/>
                      <w:sz w:val="21"/>
                      <w:szCs w:val="21"/>
                      <w:lang w:val="en-US" w:eastAsia="zh-CN"/>
                    </w:rPr>
                  </w:pPr>
                </w:p>
              </w:tc>
              <w:tc>
                <w:tcPr>
                  <w:tcW w:w="877" w:type="pct"/>
                  <w:noWrap w:val="0"/>
                  <w:vAlign w:val="center"/>
                </w:tcPr>
                <w:p w14:paraId="43293D0B">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0.45</w:t>
                  </w:r>
                </w:p>
              </w:tc>
              <w:tc>
                <w:tcPr>
                  <w:tcW w:w="1073" w:type="pct"/>
                  <w:noWrap w:val="0"/>
                  <w:vAlign w:val="center"/>
                </w:tcPr>
                <w:p w14:paraId="6F847E92">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0.46</w:t>
                  </w:r>
                </w:p>
              </w:tc>
              <w:tc>
                <w:tcPr>
                  <w:tcW w:w="950" w:type="pct"/>
                  <w:noWrap w:val="0"/>
                  <w:vAlign w:val="center"/>
                </w:tcPr>
                <w:p w14:paraId="1423EF52">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0.41</w:t>
                  </w:r>
                </w:p>
              </w:tc>
              <w:tc>
                <w:tcPr>
                  <w:tcW w:w="565" w:type="pct"/>
                  <w:noWrap w:val="0"/>
                  <w:vAlign w:val="center"/>
                </w:tcPr>
                <w:p w14:paraId="6F7FC3A2">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mg/m³</w:t>
                  </w:r>
                </w:p>
              </w:tc>
            </w:tr>
            <w:tr w14:paraId="15251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90" w:type="pct"/>
                  <w:vMerge w:val="continue"/>
                  <w:noWrap w:val="0"/>
                  <w:vAlign w:val="center"/>
                </w:tcPr>
                <w:p w14:paraId="2815F325">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eastAsia" w:ascii="Times New Roman" w:hAnsi="Times New Roman" w:eastAsia="宋体" w:cs="Times New Roman"/>
                      <w:sz w:val="21"/>
                      <w:szCs w:val="21"/>
                      <w:lang w:val="en-US" w:eastAsia="zh-CN"/>
                    </w:rPr>
                  </w:pPr>
                </w:p>
              </w:tc>
              <w:tc>
                <w:tcPr>
                  <w:tcW w:w="469" w:type="pct"/>
                  <w:noWrap w:val="0"/>
                  <w:vAlign w:val="center"/>
                </w:tcPr>
                <w:p w14:paraId="406B9F17">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14：00</w:t>
                  </w:r>
                </w:p>
              </w:tc>
              <w:tc>
                <w:tcPr>
                  <w:tcW w:w="674" w:type="pct"/>
                  <w:vMerge w:val="continue"/>
                  <w:noWrap w:val="0"/>
                  <w:vAlign w:val="center"/>
                </w:tcPr>
                <w:p w14:paraId="477076FE">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eastAsia" w:ascii="Times New Roman" w:hAnsi="Times New Roman" w:eastAsia="宋体" w:cs="Times New Roman"/>
                      <w:sz w:val="21"/>
                      <w:szCs w:val="21"/>
                      <w:lang w:val="en-US" w:eastAsia="zh-CN"/>
                    </w:rPr>
                  </w:pPr>
                </w:p>
              </w:tc>
              <w:tc>
                <w:tcPr>
                  <w:tcW w:w="877" w:type="pct"/>
                  <w:noWrap w:val="0"/>
                  <w:vAlign w:val="center"/>
                </w:tcPr>
                <w:p w14:paraId="07A94382">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0.44</w:t>
                  </w:r>
                </w:p>
              </w:tc>
              <w:tc>
                <w:tcPr>
                  <w:tcW w:w="1073" w:type="pct"/>
                  <w:noWrap w:val="0"/>
                  <w:vAlign w:val="center"/>
                </w:tcPr>
                <w:p w14:paraId="528B44E1">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0.45</w:t>
                  </w:r>
                </w:p>
              </w:tc>
              <w:tc>
                <w:tcPr>
                  <w:tcW w:w="950" w:type="pct"/>
                  <w:noWrap w:val="0"/>
                  <w:vAlign w:val="center"/>
                </w:tcPr>
                <w:p w14:paraId="6E52FFC4">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0.44</w:t>
                  </w:r>
                </w:p>
              </w:tc>
              <w:tc>
                <w:tcPr>
                  <w:tcW w:w="565" w:type="pct"/>
                  <w:noWrap w:val="0"/>
                  <w:vAlign w:val="center"/>
                </w:tcPr>
                <w:p w14:paraId="08A1575A">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mg/m³</w:t>
                  </w:r>
                </w:p>
              </w:tc>
            </w:tr>
            <w:tr w14:paraId="0E879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90" w:type="pct"/>
                  <w:vMerge w:val="continue"/>
                  <w:noWrap w:val="0"/>
                  <w:vAlign w:val="center"/>
                </w:tcPr>
                <w:p w14:paraId="7194B133">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eastAsia" w:ascii="Times New Roman" w:hAnsi="Times New Roman" w:eastAsia="宋体" w:cs="Times New Roman"/>
                      <w:sz w:val="21"/>
                      <w:szCs w:val="21"/>
                      <w:lang w:val="en-US" w:eastAsia="zh-CN"/>
                    </w:rPr>
                  </w:pPr>
                </w:p>
              </w:tc>
              <w:tc>
                <w:tcPr>
                  <w:tcW w:w="469" w:type="pct"/>
                  <w:noWrap w:val="0"/>
                  <w:vAlign w:val="center"/>
                </w:tcPr>
                <w:p w14:paraId="1F02C1EB">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20：00</w:t>
                  </w:r>
                </w:p>
              </w:tc>
              <w:tc>
                <w:tcPr>
                  <w:tcW w:w="674" w:type="pct"/>
                  <w:vMerge w:val="continue"/>
                  <w:noWrap w:val="0"/>
                  <w:vAlign w:val="center"/>
                </w:tcPr>
                <w:p w14:paraId="305FD3F8">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eastAsia" w:ascii="Times New Roman" w:hAnsi="Times New Roman" w:eastAsia="宋体" w:cs="Times New Roman"/>
                      <w:sz w:val="21"/>
                      <w:szCs w:val="21"/>
                      <w:lang w:val="en-US" w:eastAsia="zh-CN"/>
                    </w:rPr>
                  </w:pPr>
                </w:p>
              </w:tc>
              <w:tc>
                <w:tcPr>
                  <w:tcW w:w="877" w:type="pct"/>
                  <w:noWrap w:val="0"/>
                  <w:vAlign w:val="center"/>
                </w:tcPr>
                <w:p w14:paraId="46F81609">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0.44</w:t>
                  </w:r>
                </w:p>
              </w:tc>
              <w:tc>
                <w:tcPr>
                  <w:tcW w:w="1073" w:type="pct"/>
                  <w:noWrap w:val="0"/>
                  <w:vAlign w:val="center"/>
                </w:tcPr>
                <w:p w14:paraId="44272DEC">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0.46</w:t>
                  </w:r>
                </w:p>
              </w:tc>
              <w:tc>
                <w:tcPr>
                  <w:tcW w:w="950" w:type="pct"/>
                  <w:noWrap w:val="0"/>
                  <w:vAlign w:val="center"/>
                </w:tcPr>
                <w:p w14:paraId="2F9E82AA">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0.44</w:t>
                  </w:r>
                </w:p>
              </w:tc>
              <w:tc>
                <w:tcPr>
                  <w:tcW w:w="565" w:type="pct"/>
                  <w:noWrap w:val="0"/>
                  <w:vAlign w:val="center"/>
                </w:tcPr>
                <w:p w14:paraId="251198DA">
                  <w:pPr>
                    <w:keepNext w:val="0"/>
                    <w:keepLines w:val="0"/>
                    <w:pageBreakBefore w:val="0"/>
                    <w:suppressLineNumbers w:val="0"/>
                    <w:kinsoku/>
                    <w:wordWrap/>
                    <w:overflowPunct/>
                    <w:topLinePunct w:val="0"/>
                    <w:autoSpaceDE/>
                    <w:autoSpaceDN/>
                    <w:bidi w:val="0"/>
                    <w:adjustRightInd/>
                    <w:snapToGrid/>
                    <w:spacing w:before="32" w:beforeLines="10" w:beforeAutospacing="0" w:after="32" w:afterLines="10" w:afterAutospacing="0" w:line="280" w:lineRule="atLeast"/>
                    <w:ind w:left="0" w:leftChars="0" w:right="0" w:right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mg/m³</w:t>
                  </w:r>
                </w:p>
              </w:tc>
            </w:tr>
          </w:tbl>
          <w:p w14:paraId="798DA46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tLeast"/>
              <w:ind w:left="0" w:right="0" w:firstLine="480" w:firstLineChars="200"/>
              <w:jc w:val="both"/>
              <w:textAlignment w:val="auto"/>
              <w:rPr>
                <w:rFonts w:hint="default"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rPr>
              <w:t>根据检测报告可知，</w:t>
            </w:r>
            <w:r>
              <w:rPr>
                <w:rFonts w:hint="default" w:ascii="Times New Roman" w:hAnsi="Times New Roman" w:eastAsia="宋体" w:cs="Times New Roman"/>
                <w:color w:val="auto"/>
                <w:sz w:val="24"/>
                <w:highlight w:val="none"/>
              </w:rPr>
              <w:t>非甲烷总烃浓度最大值为</w:t>
            </w:r>
            <w:r>
              <w:rPr>
                <w:rFonts w:hint="eastAsia" w:ascii="Times New Roman" w:hAnsi="Times New Roman" w:eastAsia="宋体" w:cs="Times New Roman"/>
                <w:color w:val="auto"/>
                <w:sz w:val="24"/>
                <w:highlight w:val="none"/>
                <w:lang w:val="en-US" w:eastAsia="zh-CN"/>
              </w:rPr>
              <w:t>0.50</w:t>
            </w:r>
            <w:r>
              <w:rPr>
                <w:rFonts w:hint="default" w:ascii="Times New Roman" w:hAnsi="Times New Roman" w:eastAsia="宋体" w:cs="Times New Roman"/>
                <w:color w:val="auto"/>
                <w:sz w:val="24"/>
                <w:highlight w:val="none"/>
              </w:rPr>
              <w:t>mg/m³，满足河北省地方标准《环境空气质量非甲烷总烃限值》（DB13/1577-2012）</w:t>
            </w:r>
            <w:r>
              <w:rPr>
                <w:rFonts w:hint="eastAsia" w:ascii="Times New Roman" w:hAnsi="Times New Roman" w:eastAsia="宋体" w:cs="Times New Roman"/>
                <w:color w:val="auto"/>
                <w:sz w:val="24"/>
                <w:highlight w:val="none"/>
              </w:rPr>
              <w:t>二级</w:t>
            </w:r>
            <w:r>
              <w:rPr>
                <w:rFonts w:hint="default" w:ascii="Times New Roman" w:hAnsi="Times New Roman" w:eastAsia="宋体" w:cs="Times New Roman"/>
                <w:color w:val="auto"/>
                <w:sz w:val="24"/>
                <w:highlight w:val="none"/>
              </w:rPr>
              <w:t>标准限值（1小时平均</w:t>
            </w:r>
            <w:r>
              <w:rPr>
                <w:rFonts w:hint="eastAsia" w:ascii="Times New Roman" w:hAnsi="Times New Roman" w:eastAsia="宋体" w:cs="Times New Roman"/>
                <w:color w:val="auto"/>
                <w:sz w:val="24"/>
                <w:highlight w:val="none"/>
              </w:rPr>
              <w:t>浓度</w:t>
            </w:r>
            <w:r>
              <w:rPr>
                <w:rFonts w:hint="default" w:ascii="Times New Roman" w:hAnsi="Times New Roman" w:eastAsia="宋体" w:cs="Times New Roman"/>
                <w:color w:val="auto"/>
                <w:sz w:val="24"/>
                <w:highlight w:val="none"/>
              </w:rPr>
              <w:t>2.0mg/m³）。</w:t>
            </w:r>
          </w:p>
          <w:p w14:paraId="426F4C3F">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80" w:lineRule="atLeast"/>
              <w:ind w:left="0" w:right="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cs="Times New Roman"/>
                <w:b/>
                <w:bCs/>
                <w:color w:val="auto"/>
                <w:sz w:val="24"/>
                <w:szCs w:val="24"/>
                <w:highlight w:val="none"/>
                <w:lang w:val="en-US" w:eastAsia="zh-CN"/>
              </w:rPr>
              <w:t>二</w:t>
            </w:r>
            <w:r>
              <w:rPr>
                <w:rFonts w:hint="default" w:ascii="Times New Roman" w:hAnsi="Times New Roman" w:eastAsia="宋体" w:cs="Times New Roman"/>
                <w:b/>
                <w:bCs/>
                <w:color w:val="auto"/>
                <w:sz w:val="24"/>
                <w:szCs w:val="24"/>
                <w:highlight w:val="none"/>
                <w:lang w:val="en-US" w:eastAsia="zh-CN"/>
              </w:rPr>
              <w:t>、</w:t>
            </w:r>
            <w:r>
              <w:rPr>
                <w:rFonts w:hint="default" w:ascii="Times New Roman" w:hAnsi="Times New Roman" w:eastAsia="宋体" w:cs="Times New Roman"/>
                <w:b/>
                <w:bCs/>
                <w:color w:val="auto"/>
                <w:sz w:val="24"/>
                <w:szCs w:val="24"/>
                <w:highlight w:val="none"/>
              </w:rPr>
              <w:t>地</w:t>
            </w:r>
            <w:r>
              <w:rPr>
                <w:rFonts w:hint="default" w:ascii="Times New Roman" w:hAnsi="Times New Roman" w:eastAsia="宋体" w:cs="Times New Roman"/>
                <w:b/>
                <w:bCs/>
                <w:color w:val="auto"/>
                <w:sz w:val="24"/>
                <w:szCs w:val="24"/>
                <w:highlight w:val="none"/>
                <w:lang w:eastAsia="zh-CN"/>
              </w:rPr>
              <w:t>表</w:t>
            </w:r>
            <w:r>
              <w:rPr>
                <w:rFonts w:hint="default" w:ascii="Times New Roman" w:hAnsi="Times New Roman" w:eastAsia="宋体" w:cs="Times New Roman"/>
                <w:b/>
                <w:bCs/>
                <w:color w:val="auto"/>
                <w:sz w:val="24"/>
                <w:szCs w:val="24"/>
                <w:highlight w:val="none"/>
              </w:rPr>
              <w:t>水</w:t>
            </w:r>
            <w:r>
              <w:rPr>
                <w:rFonts w:hint="default" w:ascii="Times New Roman" w:hAnsi="Times New Roman" w:eastAsia="宋体" w:cs="Times New Roman"/>
                <w:b/>
                <w:bCs/>
                <w:color w:val="auto"/>
                <w:sz w:val="24"/>
                <w:szCs w:val="24"/>
                <w:highlight w:val="none"/>
                <w:lang w:eastAsia="zh-CN"/>
              </w:rPr>
              <w:t>环境</w:t>
            </w:r>
          </w:p>
          <w:p w14:paraId="4C58FB3F">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rPr>
                <w:rFonts w:hint="default"/>
                <w:color w:val="auto"/>
                <w:highlight w:val="none"/>
              </w:rPr>
            </w:pPr>
            <w:r>
              <w:rPr>
                <w:rFonts w:hint="eastAsia" w:ascii="Times New Roman" w:hAnsi="Times New Roman" w:eastAsia="宋体" w:cs="Times New Roman"/>
                <w:color w:val="auto"/>
                <w:sz w:val="24"/>
                <w:szCs w:val="24"/>
                <w:highlight w:val="none"/>
                <w:lang w:eastAsia="zh-CN"/>
              </w:rPr>
              <w:t>根据</w:t>
            </w:r>
            <w:r>
              <w:rPr>
                <w:rFonts w:hint="default" w:ascii="Times New Roman" w:hAnsi="Times New Roman" w:eastAsia="宋体" w:cs="Times New Roman"/>
                <w:color w:val="auto"/>
                <w:sz w:val="24"/>
                <w:szCs w:val="24"/>
                <w:highlight w:val="none"/>
                <w:lang w:val="en-US" w:eastAsia="zh-CN"/>
              </w:rPr>
              <w:t>廊坊市生态环境局发布的</w:t>
            </w:r>
            <w:r>
              <w:rPr>
                <w:rFonts w:hint="default" w:ascii="Times New Roman" w:hAnsi="Times New Roman" w:eastAsia="宋体" w:cs="Times New Roman"/>
                <w:color w:val="auto"/>
                <w:sz w:val="24"/>
                <w:szCs w:val="24"/>
                <w:highlight w:val="none"/>
              </w:rPr>
              <w:t>《202</w:t>
            </w:r>
            <w:r>
              <w:rPr>
                <w:rFonts w:hint="eastAsia" w:ascii="Times New Roman" w:hAnsi="Times New Roman"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年</w:t>
            </w:r>
            <w:r>
              <w:rPr>
                <w:rFonts w:hint="eastAsia"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rPr>
              <w:t>月廊坊市地表水水环境质量状况》</w:t>
            </w:r>
            <w:r>
              <w:rPr>
                <w:rFonts w:hint="default" w:ascii="Times New Roman" w:hAnsi="Times New Roman" w:eastAsia="宋体" w:cs="Times New Roman"/>
                <w:color w:val="auto"/>
                <w:sz w:val="24"/>
                <w:szCs w:val="24"/>
                <w:highlight w:val="none"/>
                <w:lang w:val="en-US" w:eastAsia="zh-CN"/>
              </w:rPr>
              <w:t>地表水环境</w:t>
            </w:r>
            <w:r>
              <w:rPr>
                <w:rFonts w:hint="default" w:ascii="Times New Roman" w:hAnsi="Times New Roman" w:eastAsia="宋体" w:cs="Times New Roman"/>
                <w:color w:val="auto"/>
                <w:sz w:val="24"/>
                <w:szCs w:val="24"/>
                <w:highlight w:val="none"/>
              </w:rPr>
              <w:t>质量数据</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rPr>
              <w:t>永定河后沙窝村</w:t>
            </w:r>
            <w:r>
              <w:rPr>
                <w:rFonts w:hint="eastAsia" w:ascii="Times New Roman" w:hAnsi="Times New Roman" w:eastAsia="宋体" w:cs="Times New Roman"/>
                <w:color w:val="auto"/>
                <w:sz w:val="24"/>
                <w:szCs w:val="24"/>
                <w:highlight w:val="none"/>
                <w:lang w:eastAsia="zh-CN"/>
              </w:rPr>
              <w:t>断面水质</w:t>
            </w:r>
            <w:r>
              <w:rPr>
                <w:rFonts w:hint="eastAsia" w:ascii="Times New Roman" w:hAnsi="Times New Roman" w:eastAsia="宋体" w:cs="Times New Roman"/>
                <w:color w:val="auto"/>
                <w:sz w:val="24"/>
                <w:szCs w:val="24"/>
                <w:highlight w:val="none"/>
              </w:rPr>
              <w:t>类别为Ⅲ类，各河流断面均达到考核目标要求</w:t>
            </w:r>
            <w:r>
              <w:rPr>
                <w:rFonts w:hint="default" w:ascii="Times New Roman" w:hAnsi="Times New Roman" w:eastAsia="宋体" w:cs="Times New Roman"/>
                <w:color w:val="auto"/>
                <w:sz w:val="24"/>
                <w:szCs w:val="24"/>
                <w:highlight w:val="none"/>
              </w:rPr>
              <w:t>。</w:t>
            </w:r>
          </w:p>
          <w:p w14:paraId="4B900BC4">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480" w:lineRule="atLeast"/>
              <w:ind w:left="0" w:right="0"/>
              <w:jc w:val="both"/>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cs="Times New Roman"/>
                <w:b/>
                <w:bCs/>
                <w:color w:val="auto"/>
                <w:sz w:val="24"/>
                <w:szCs w:val="24"/>
                <w:highlight w:val="none"/>
                <w:lang w:val="en-US" w:eastAsia="zh-CN"/>
              </w:rPr>
              <w:t>三</w:t>
            </w:r>
            <w:r>
              <w:rPr>
                <w:rFonts w:hint="default" w:ascii="Times New Roman" w:hAnsi="Times New Roman" w:eastAsia="宋体" w:cs="Times New Roman"/>
                <w:b/>
                <w:bCs/>
                <w:color w:val="auto"/>
                <w:sz w:val="24"/>
                <w:szCs w:val="24"/>
                <w:highlight w:val="none"/>
                <w:lang w:val="en-US" w:eastAsia="zh-CN"/>
              </w:rPr>
              <w:t>、声环境</w:t>
            </w:r>
          </w:p>
          <w:p w14:paraId="6B86250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tLeast"/>
              <w:ind w:left="0" w:right="0" w:firstLine="480" w:firstLineChars="200"/>
              <w:jc w:val="both"/>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本项目厂界外周边50米范围内无声环境保护目标，所在区域声环境质量较好。</w:t>
            </w:r>
          </w:p>
          <w:p w14:paraId="0C37049F">
            <w:pPr>
              <w:keepNext w:val="0"/>
              <w:keepLines w:val="0"/>
              <w:pageBreakBefore w:val="0"/>
              <w:widowControl w:val="0"/>
              <w:suppressLineNumbers w:val="0"/>
              <w:kinsoku/>
              <w:wordWrap/>
              <w:overflowPunct/>
              <w:topLinePunct w:val="0"/>
              <w:bidi w:val="0"/>
              <w:adjustRightInd/>
              <w:snapToGrid/>
              <w:spacing w:before="0" w:beforeAutospacing="0" w:after="0" w:afterAutospacing="0" w:line="480" w:lineRule="atLeast"/>
              <w:ind w:left="0" w:right="0"/>
              <w:jc w:val="both"/>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cs="Times New Roman"/>
                <w:b/>
                <w:bCs/>
                <w:color w:val="auto"/>
                <w:sz w:val="24"/>
                <w:szCs w:val="24"/>
                <w:highlight w:val="none"/>
                <w:lang w:val="en-US" w:eastAsia="zh-CN"/>
              </w:rPr>
              <w:t>四</w:t>
            </w:r>
            <w:r>
              <w:rPr>
                <w:rFonts w:hint="default" w:ascii="Times New Roman" w:hAnsi="Times New Roman" w:eastAsia="宋体" w:cs="Times New Roman"/>
                <w:b/>
                <w:bCs/>
                <w:color w:val="auto"/>
                <w:sz w:val="24"/>
                <w:szCs w:val="24"/>
                <w:highlight w:val="none"/>
                <w:lang w:val="en-US" w:eastAsia="zh-CN"/>
              </w:rPr>
              <w:t>、生态环境</w:t>
            </w:r>
          </w:p>
          <w:p w14:paraId="67FF1AF4">
            <w:pPr>
              <w:keepNext w:val="0"/>
              <w:keepLines w:val="0"/>
              <w:pageBreakBefore w:val="0"/>
              <w:widowControl w:val="0"/>
              <w:suppressLineNumbers w:val="0"/>
              <w:kinsoku/>
              <w:wordWrap/>
              <w:overflowPunct/>
              <w:topLinePunct w:val="0"/>
              <w:bidi w:val="0"/>
              <w:adjustRightInd/>
              <w:snapToGrid/>
              <w:spacing w:before="0" w:beforeAutospacing="0" w:after="0" w:afterAutospacing="0" w:line="480" w:lineRule="atLeast"/>
              <w:ind w:left="0" w:right="0" w:firstLine="480" w:firstLineChars="200"/>
              <w:jc w:val="both"/>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项目</w:t>
            </w:r>
            <w:r>
              <w:rPr>
                <w:rFonts w:hint="default" w:ascii="Times New Roman" w:hAnsi="Times New Roman" w:eastAsia="宋体" w:cs="Times New Roman"/>
                <w:color w:val="auto"/>
                <w:sz w:val="24"/>
                <w:szCs w:val="24"/>
                <w:highlight w:val="none"/>
                <w:lang w:val="en-US" w:eastAsia="zh-CN"/>
              </w:rPr>
              <w:t>位于</w:t>
            </w:r>
            <w:r>
              <w:rPr>
                <w:rFonts w:hint="eastAsia" w:ascii="Times New Roman" w:hAnsi="Times New Roman" w:cs="Times New Roman"/>
                <w:color w:val="auto"/>
                <w:sz w:val="24"/>
                <w:szCs w:val="24"/>
                <w:lang w:eastAsia="zh-CN" w:bidi="ar"/>
              </w:rPr>
              <w:t>河北省廊坊市永清县刘街乡小五间房村北</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cs="Times New Roman"/>
                <w:color w:val="auto"/>
                <w:sz w:val="24"/>
                <w:highlight w:val="none"/>
              </w:rPr>
              <w:t>项目用地范围内不存在生态环境保护目标，不需开展生态现状调查。</w:t>
            </w:r>
          </w:p>
          <w:p w14:paraId="6CEDB37A">
            <w:pPr>
              <w:keepNext w:val="0"/>
              <w:keepLines w:val="0"/>
              <w:pageBreakBefore w:val="0"/>
              <w:widowControl w:val="0"/>
              <w:suppressLineNumbers w:val="0"/>
              <w:kinsoku/>
              <w:wordWrap/>
              <w:overflowPunct/>
              <w:topLinePunct w:val="0"/>
              <w:bidi w:val="0"/>
              <w:adjustRightInd/>
              <w:snapToGrid/>
              <w:spacing w:before="0" w:beforeAutospacing="0" w:after="0" w:afterAutospacing="0" w:line="480" w:lineRule="atLeast"/>
              <w:ind w:left="0" w:right="0"/>
              <w:jc w:val="both"/>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cs="Times New Roman"/>
                <w:b/>
                <w:bCs/>
                <w:color w:val="auto"/>
                <w:sz w:val="24"/>
                <w:szCs w:val="24"/>
                <w:highlight w:val="none"/>
                <w:lang w:val="en-US" w:eastAsia="zh-CN"/>
              </w:rPr>
              <w:t>五</w:t>
            </w:r>
            <w:r>
              <w:rPr>
                <w:rFonts w:hint="default" w:ascii="Times New Roman" w:hAnsi="Times New Roman" w:eastAsia="宋体" w:cs="Times New Roman"/>
                <w:b/>
                <w:bCs/>
                <w:color w:val="auto"/>
                <w:sz w:val="24"/>
                <w:szCs w:val="24"/>
                <w:highlight w:val="none"/>
                <w:lang w:val="en-US" w:eastAsia="zh-CN"/>
              </w:rPr>
              <w:t>、电磁辐射</w:t>
            </w:r>
          </w:p>
          <w:p w14:paraId="1F08F6F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tLeast"/>
              <w:ind w:left="0" w:right="0" w:firstLine="480" w:firstLineChars="200"/>
              <w:jc w:val="both"/>
              <w:textAlignment w:val="auto"/>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本项目不涉及电磁辐射。</w:t>
            </w:r>
          </w:p>
          <w:p w14:paraId="79C2B92B">
            <w:pPr>
              <w:keepNext w:val="0"/>
              <w:keepLines w:val="0"/>
              <w:pageBreakBefore w:val="0"/>
              <w:widowControl w:val="0"/>
              <w:suppressLineNumbers w:val="0"/>
              <w:kinsoku/>
              <w:wordWrap/>
              <w:overflowPunct/>
              <w:topLinePunct w:val="0"/>
              <w:bidi w:val="0"/>
              <w:adjustRightInd/>
              <w:snapToGrid/>
              <w:spacing w:before="0" w:beforeAutospacing="0" w:after="0" w:afterAutospacing="0" w:line="480" w:lineRule="atLeast"/>
              <w:ind w:left="0" w:right="0"/>
              <w:jc w:val="both"/>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cs="Times New Roman"/>
                <w:b/>
                <w:bCs/>
                <w:color w:val="auto"/>
                <w:sz w:val="24"/>
                <w:szCs w:val="24"/>
                <w:highlight w:val="none"/>
                <w:lang w:val="en-US" w:eastAsia="zh-CN"/>
              </w:rPr>
              <w:t>六</w:t>
            </w:r>
            <w:r>
              <w:rPr>
                <w:rFonts w:hint="default" w:ascii="Times New Roman" w:hAnsi="Times New Roman" w:eastAsia="宋体" w:cs="Times New Roman"/>
                <w:b/>
                <w:bCs/>
                <w:color w:val="auto"/>
                <w:sz w:val="24"/>
                <w:szCs w:val="24"/>
                <w:highlight w:val="none"/>
                <w:lang w:val="en-US" w:eastAsia="zh-CN"/>
              </w:rPr>
              <w:t>、地下水、土壤</w:t>
            </w:r>
          </w:p>
          <w:p w14:paraId="2343F404">
            <w:pPr>
              <w:spacing w:line="460" w:lineRule="exact"/>
              <w:ind w:firstLine="480" w:firstLineChars="200"/>
              <w:rPr>
                <w:rFonts w:hint="default" w:ascii="Times New Roman" w:hAnsi="Times New Roman" w:cs="Times New Roman"/>
                <w:color w:val="auto"/>
                <w:sz w:val="24"/>
                <w:szCs w:val="24"/>
                <w:lang w:val="en-US"/>
              </w:rPr>
            </w:pPr>
            <w:r>
              <w:rPr>
                <w:rFonts w:hint="default" w:ascii="Times New Roman" w:hAnsi="Times New Roman" w:cs="Times New Roman"/>
                <w:color w:val="auto"/>
                <w:sz w:val="24"/>
                <w:highlight w:val="none"/>
                <w:lang w:val="en-US" w:eastAsia="zh-CN"/>
              </w:rPr>
              <w:t>根据《建设项目环境影响报告表编制技术指南》（污染影响类）（试行）的要求，正常工况下建设项目不存在土壤、地下水环境污染途径，原则上不开展环境质量现状调查，故本项目不开展地下水、土壤环境质量现状调查。</w:t>
            </w:r>
          </w:p>
        </w:tc>
      </w:tr>
      <w:tr w14:paraId="4BF0E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8" w:hRule="atLeast"/>
          <w:jc w:val="center"/>
        </w:trPr>
        <w:tc>
          <w:tcPr>
            <w:tcW w:w="710" w:type="dxa"/>
            <w:vAlign w:val="center"/>
          </w:tcPr>
          <w:p w14:paraId="5BF0A40B">
            <w:pPr>
              <w:widowControl/>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4"/>
                <w:szCs w:val="24"/>
                <w:lang w:bidi="ar"/>
              </w:rPr>
              <w:t>环境保护目标</w:t>
            </w:r>
          </w:p>
        </w:tc>
        <w:tc>
          <w:tcPr>
            <w:tcW w:w="8847" w:type="dxa"/>
            <w:vAlign w:val="center"/>
          </w:tcPr>
          <w:p w14:paraId="6E71658F">
            <w:pPr>
              <w:pStyle w:val="24"/>
              <w:keepNext w:val="0"/>
              <w:keepLines w:val="0"/>
              <w:pageBreakBefore w:val="0"/>
              <w:widowControl w:val="0"/>
              <w:kinsoku/>
              <w:wordWrap/>
              <w:overflowPunct/>
              <w:topLinePunct w:val="0"/>
              <w:autoSpaceDE/>
              <w:autoSpaceDN/>
              <w:bidi w:val="0"/>
              <w:adjustRightInd/>
              <w:snapToGrid/>
              <w:spacing w:line="500" w:lineRule="exact"/>
              <w:ind w:left="0" w:firstLine="240" w:firstLineChars="100"/>
              <w:jc w:val="left"/>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项目选址位于</w:t>
            </w:r>
            <w:r>
              <w:rPr>
                <w:rFonts w:hint="eastAsia" w:ascii="Times New Roman" w:hAnsi="Times New Roman" w:cs="Times New Roman"/>
                <w:color w:val="auto"/>
                <w:sz w:val="24"/>
                <w:szCs w:val="24"/>
                <w:lang w:eastAsia="zh-CN"/>
              </w:rPr>
              <w:t>河北省廊坊市永清县刘街乡小五间房村北</w:t>
            </w:r>
            <w:r>
              <w:rPr>
                <w:rFonts w:hint="default" w:ascii="Times New Roman" w:hAnsi="Times New Roman" w:cs="Times New Roman"/>
                <w:color w:val="auto"/>
                <w:sz w:val="24"/>
                <w:szCs w:val="24"/>
                <w:highlight w:val="none"/>
              </w:rPr>
              <w:t>，四至范围：</w:t>
            </w:r>
            <w:r>
              <w:rPr>
                <w:rFonts w:hint="eastAsia" w:ascii="Times New Roman" w:hAnsi="Times New Roman" w:eastAsia="宋体" w:cs="Times New Roman"/>
                <w:color w:val="auto"/>
                <w:kern w:val="0"/>
                <w:sz w:val="24"/>
                <w:szCs w:val="24"/>
                <w:highlight w:val="none"/>
                <w:lang w:val="en-US" w:eastAsia="zh-CN"/>
              </w:rPr>
              <w:t>项目南侧廊坊博浩森木业有限公司，北侧永清县刘街益丰家具组装厂，东侧闲置厂房，西侧河北卓威尊创新材料科技有限公司。</w:t>
            </w:r>
            <w:r>
              <w:rPr>
                <w:rFonts w:hint="eastAsia" w:ascii="Times New Roman" w:hAnsi="Times New Roman" w:cs="Times New Roman" w:eastAsiaTheme="majorEastAsia"/>
                <w:color w:val="auto"/>
                <w:sz w:val="24"/>
                <w:szCs w:val="24"/>
                <w:highlight w:val="none"/>
                <w:lang w:eastAsia="zh-CN"/>
              </w:rPr>
              <w:t>本项目</w:t>
            </w:r>
            <w:r>
              <w:rPr>
                <w:rFonts w:hint="eastAsia" w:ascii="Times New Roman" w:hAnsi="Times New Roman" w:cs="Times New Roman" w:eastAsiaTheme="majorEastAsia"/>
                <w:color w:val="auto"/>
                <w:sz w:val="24"/>
                <w:szCs w:val="24"/>
                <w:highlight w:val="none"/>
                <w:lang w:val="en-US" w:eastAsia="zh-CN"/>
              </w:rPr>
              <w:t>500m范围内无环境敏感目标</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rPr>
              <w:t>通过对项目的现场踏勘及有关资料，项目所在地周围无文物保护单位、饮用水水源地等《建设项目环境影响评价分类管理名录》中规定的特殊环境敏感区。</w:t>
            </w:r>
          </w:p>
          <w:p w14:paraId="31F910BC">
            <w:pPr>
              <w:autoSpaceDE w:val="0"/>
              <w:autoSpaceDN w:val="0"/>
              <w:spacing w:line="480" w:lineRule="exac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本评价确定项目主要环境保护目标见表</w:t>
            </w:r>
            <w:r>
              <w:rPr>
                <w:rFonts w:hint="eastAsia" w:ascii="Times New Roman" w:hAnsi="Times New Roman" w:cs="Times New Roman"/>
                <w:color w:val="auto"/>
                <w:sz w:val="24"/>
                <w:szCs w:val="24"/>
                <w:lang w:val="en-US" w:eastAsia="zh-CN"/>
              </w:rPr>
              <w:t>14</w:t>
            </w:r>
            <w:r>
              <w:rPr>
                <w:rFonts w:hint="default" w:ascii="Times New Roman" w:hAnsi="Times New Roman" w:cs="Times New Roman"/>
                <w:color w:val="auto"/>
                <w:sz w:val="24"/>
                <w:szCs w:val="24"/>
              </w:rPr>
              <w:t>。</w:t>
            </w:r>
          </w:p>
          <w:p w14:paraId="0E376CDE">
            <w:pPr>
              <w:autoSpaceDE w:val="0"/>
              <w:autoSpaceDN w:val="0"/>
              <w:spacing w:line="480" w:lineRule="exact"/>
              <w:jc w:val="center"/>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表</w:t>
            </w:r>
            <w:r>
              <w:rPr>
                <w:rFonts w:hint="eastAsia" w:ascii="Times New Roman" w:hAnsi="Times New Roman" w:cs="Times New Roman"/>
                <w:b/>
                <w:bCs/>
                <w:color w:val="auto"/>
                <w:sz w:val="24"/>
                <w:szCs w:val="24"/>
                <w:lang w:val="en-US" w:eastAsia="zh-CN"/>
              </w:rPr>
              <w:t>14</w:t>
            </w:r>
            <w:r>
              <w:rPr>
                <w:rFonts w:hint="default" w:ascii="Times New Roman" w:hAnsi="Times New Roman" w:cs="Times New Roman"/>
                <w:b/>
                <w:bCs/>
                <w:color w:val="auto"/>
                <w:sz w:val="24"/>
                <w:szCs w:val="24"/>
              </w:rPr>
              <w:t>项目评价区域环境保护目标一览表</w:t>
            </w:r>
          </w:p>
          <w:tbl>
            <w:tblPr>
              <w:tblStyle w:val="34"/>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30"/>
              <w:gridCol w:w="929"/>
              <w:gridCol w:w="1501"/>
              <w:gridCol w:w="1471"/>
              <w:gridCol w:w="742"/>
              <w:gridCol w:w="779"/>
              <w:gridCol w:w="565"/>
              <w:gridCol w:w="2395"/>
            </w:tblGrid>
            <w:tr w14:paraId="0CFB7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63" w:hRule="atLeast"/>
                <w:tblHeader/>
                <w:jc w:val="center"/>
              </w:trPr>
              <w:tc>
                <w:tcPr>
                  <w:tcW w:w="297" w:type="pct"/>
                  <w:vMerge w:val="restart"/>
                  <w:tcBorders>
                    <w:tl2br w:val="nil"/>
                    <w:tr2bl w:val="nil"/>
                  </w:tcBorders>
                  <w:noWrap w:val="0"/>
                  <w:vAlign w:val="center"/>
                </w:tcPr>
                <w:p w14:paraId="1CB3AE47">
                  <w:pPr>
                    <w:spacing w:line="240" w:lineRule="atLeast"/>
                    <w:jc w:val="center"/>
                    <w:rPr>
                      <w:b/>
                      <w:bCs/>
                      <w:color w:val="auto"/>
                      <w:sz w:val="21"/>
                      <w:szCs w:val="21"/>
                    </w:rPr>
                  </w:pPr>
                  <w:r>
                    <w:rPr>
                      <w:b/>
                      <w:bCs/>
                      <w:color w:val="auto"/>
                      <w:sz w:val="21"/>
                      <w:szCs w:val="21"/>
                    </w:rPr>
                    <w:t>环境要素</w:t>
                  </w:r>
                </w:p>
              </w:tc>
              <w:tc>
                <w:tcPr>
                  <w:tcW w:w="521" w:type="pct"/>
                  <w:vMerge w:val="restart"/>
                  <w:tcBorders>
                    <w:tl2br w:val="nil"/>
                    <w:tr2bl w:val="nil"/>
                  </w:tcBorders>
                  <w:noWrap w:val="0"/>
                  <w:vAlign w:val="center"/>
                </w:tcPr>
                <w:p w14:paraId="0CED6103">
                  <w:pPr>
                    <w:spacing w:line="240" w:lineRule="atLeast"/>
                    <w:jc w:val="center"/>
                    <w:rPr>
                      <w:b/>
                      <w:bCs/>
                      <w:color w:val="auto"/>
                      <w:sz w:val="21"/>
                      <w:szCs w:val="21"/>
                    </w:rPr>
                  </w:pPr>
                  <w:r>
                    <w:rPr>
                      <w:b/>
                      <w:bCs/>
                      <w:color w:val="auto"/>
                      <w:sz w:val="21"/>
                      <w:szCs w:val="21"/>
                    </w:rPr>
                    <w:t>保护目标</w:t>
                  </w:r>
                </w:p>
              </w:tc>
              <w:tc>
                <w:tcPr>
                  <w:tcW w:w="1667" w:type="pct"/>
                  <w:gridSpan w:val="2"/>
                  <w:tcBorders>
                    <w:tl2br w:val="nil"/>
                    <w:tr2bl w:val="nil"/>
                  </w:tcBorders>
                  <w:noWrap w:val="0"/>
                  <w:vAlign w:val="center"/>
                </w:tcPr>
                <w:p w14:paraId="35A39DEC">
                  <w:pPr>
                    <w:spacing w:line="240" w:lineRule="atLeast"/>
                    <w:jc w:val="center"/>
                    <w:rPr>
                      <w:b/>
                      <w:bCs/>
                      <w:color w:val="auto"/>
                      <w:sz w:val="21"/>
                      <w:szCs w:val="21"/>
                    </w:rPr>
                  </w:pPr>
                  <w:r>
                    <w:rPr>
                      <w:b/>
                      <w:bCs/>
                      <w:color w:val="auto"/>
                      <w:sz w:val="21"/>
                      <w:szCs w:val="21"/>
                    </w:rPr>
                    <w:t>坐标</w:t>
                  </w:r>
                </w:p>
              </w:tc>
              <w:tc>
                <w:tcPr>
                  <w:tcW w:w="416" w:type="pct"/>
                  <w:vMerge w:val="restart"/>
                  <w:tcBorders>
                    <w:tl2br w:val="nil"/>
                    <w:tr2bl w:val="nil"/>
                  </w:tcBorders>
                  <w:noWrap w:val="0"/>
                  <w:vAlign w:val="center"/>
                </w:tcPr>
                <w:p w14:paraId="4DC6816E">
                  <w:pPr>
                    <w:spacing w:line="240" w:lineRule="atLeast"/>
                    <w:jc w:val="center"/>
                    <w:rPr>
                      <w:b/>
                      <w:bCs/>
                      <w:color w:val="auto"/>
                      <w:sz w:val="21"/>
                      <w:szCs w:val="21"/>
                    </w:rPr>
                  </w:pPr>
                  <w:r>
                    <w:rPr>
                      <w:b/>
                      <w:bCs/>
                      <w:color w:val="auto"/>
                      <w:sz w:val="21"/>
                      <w:szCs w:val="21"/>
                    </w:rPr>
                    <w:t>相对厂址方位</w:t>
                  </w:r>
                </w:p>
              </w:tc>
              <w:tc>
                <w:tcPr>
                  <w:tcW w:w="437" w:type="pct"/>
                  <w:vMerge w:val="restart"/>
                  <w:tcBorders>
                    <w:tl2br w:val="nil"/>
                    <w:tr2bl w:val="nil"/>
                  </w:tcBorders>
                  <w:noWrap w:val="0"/>
                  <w:vAlign w:val="center"/>
                </w:tcPr>
                <w:p w14:paraId="42736AA5">
                  <w:pPr>
                    <w:spacing w:line="240" w:lineRule="atLeast"/>
                    <w:jc w:val="center"/>
                    <w:rPr>
                      <w:b/>
                      <w:bCs/>
                      <w:color w:val="auto"/>
                      <w:sz w:val="21"/>
                      <w:szCs w:val="21"/>
                    </w:rPr>
                  </w:pPr>
                  <w:r>
                    <w:rPr>
                      <w:b/>
                      <w:bCs/>
                      <w:color w:val="auto"/>
                      <w:sz w:val="21"/>
                      <w:szCs w:val="21"/>
                    </w:rPr>
                    <w:t>相对厂址距离(m)</w:t>
                  </w:r>
                </w:p>
              </w:tc>
              <w:tc>
                <w:tcPr>
                  <w:tcW w:w="316" w:type="pct"/>
                  <w:vMerge w:val="restart"/>
                  <w:tcBorders>
                    <w:tl2br w:val="nil"/>
                    <w:tr2bl w:val="nil"/>
                  </w:tcBorders>
                  <w:noWrap w:val="0"/>
                  <w:vAlign w:val="center"/>
                </w:tcPr>
                <w:p w14:paraId="2E697AEE">
                  <w:pPr>
                    <w:spacing w:line="240" w:lineRule="atLeast"/>
                    <w:jc w:val="center"/>
                    <w:rPr>
                      <w:b/>
                      <w:bCs/>
                      <w:color w:val="auto"/>
                      <w:sz w:val="21"/>
                      <w:szCs w:val="21"/>
                    </w:rPr>
                  </w:pPr>
                  <w:r>
                    <w:rPr>
                      <w:b/>
                      <w:bCs/>
                      <w:color w:val="auto"/>
                      <w:sz w:val="21"/>
                      <w:szCs w:val="21"/>
                    </w:rPr>
                    <w:t>保护对象</w:t>
                  </w:r>
                </w:p>
              </w:tc>
              <w:tc>
                <w:tcPr>
                  <w:tcW w:w="1343" w:type="pct"/>
                  <w:vMerge w:val="restart"/>
                  <w:tcBorders>
                    <w:tl2br w:val="nil"/>
                    <w:tr2bl w:val="nil"/>
                  </w:tcBorders>
                  <w:noWrap w:val="0"/>
                  <w:vAlign w:val="center"/>
                </w:tcPr>
                <w:p w14:paraId="5B03FFD8">
                  <w:pPr>
                    <w:spacing w:line="240" w:lineRule="atLeast"/>
                    <w:jc w:val="center"/>
                    <w:rPr>
                      <w:b/>
                      <w:bCs/>
                      <w:color w:val="auto"/>
                      <w:sz w:val="21"/>
                      <w:szCs w:val="21"/>
                    </w:rPr>
                  </w:pPr>
                  <w:r>
                    <w:rPr>
                      <w:b/>
                      <w:bCs/>
                      <w:color w:val="auto"/>
                      <w:sz w:val="21"/>
                      <w:szCs w:val="21"/>
                    </w:rPr>
                    <w:t>保护级别</w:t>
                  </w:r>
                </w:p>
              </w:tc>
            </w:tr>
            <w:tr w14:paraId="41180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63" w:hRule="atLeast"/>
                <w:tblHeader/>
                <w:jc w:val="center"/>
              </w:trPr>
              <w:tc>
                <w:tcPr>
                  <w:tcW w:w="297" w:type="pct"/>
                  <w:vMerge w:val="continue"/>
                  <w:tcBorders>
                    <w:tl2br w:val="nil"/>
                    <w:tr2bl w:val="nil"/>
                  </w:tcBorders>
                  <w:noWrap w:val="0"/>
                  <w:vAlign w:val="center"/>
                </w:tcPr>
                <w:p w14:paraId="4917C25E">
                  <w:pPr>
                    <w:spacing w:line="240" w:lineRule="atLeast"/>
                    <w:jc w:val="center"/>
                    <w:rPr>
                      <w:color w:val="auto"/>
                      <w:sz w:val="21"/>
                      <w:szCs w:val="21"/>
                    </w:rPr>
                  </w:pPr>
                </w:p>
              </w:tc>
              <w:tc>
                <w:tcPr>
                  <w:tcW w:w="521" w:type="pct"/>
                  <w:vMerge w:val="continue"/>
                  <w:tcBorders>
                    <w:tl2br w:val="nil"/>
                    <w:tr2bl w:val="nil"/>
                  </w:tcBorders>
                  <w:noWrap w:val="0"/>
                  <w:vAlign w:val="center"/>
                </w:tcPr>
                <w:p w14:paraId="68A63C83">
                  <w:pPr>
                    <w:spacing w:line="240" w:lineRule="atLeast"/>
                    <w:jc w:val="center"/>
                    <w:rPr>
                      <w:color w:val="auto"/>
                      <w:sz w:val="21"/>
                      <w:szCs w:val="21"/>
                    </w:rPr>
                  </w:pPr>
                </w:p>
              </w:tc>
              <w:tc>
                <w:tcPr>
                  <w:tcW w:w="842" w:type="pct"/>
                  <w:tcBorders>
                    <w:tl2br w:val="nil"/>
                    <w:tr2bl w:val="nil"/>
                  </w:tcBorders>
                  <w:noWrap w:val="0"/>
                  <w:vAlign w:val="center"/>
                </w:tcPr>
                <w:p w14:paraId="57F387DC">
                  <w:pPr>
                    <w:spacing w:line="240" w:lineRule="atLeast"/>
                    <w:jc w:val="center"/>
                    <w:rPr>
                      <w:rFonts w:hint="eastAsia" w:eastAsia="宋体"/>
                      <w:b/>
                      <w:bCs/>
                      <w:color w:val="auto"/>
                      <w:sz w:val="21"/>
                      <w:szCs w:val="21"/>
                      <w:lang w:eastAsia="zh-CN"/>
                    </w:rPr>
                  </w:pPr>
                  <w:r>
                    <w:rPr>
                      <w:b/>
                      <w:bCs/>
                      <w:color w:val="auto"/>
                      <w:sz w:val="21"/>
                      <w:szCs w:val="21"/>
                    </w:rPr>
                    <w:t>E</w:t>
                  </w:r>
                  <w:r>
                    <w:rPr>
                      <w:rFonts w:hint="eastAsia"/>
                      <w:b/>
                      <w:bCs/>
                      <w:color w:val="auto"/>
                      <w:sz w:val="21"/>
                      <w:szCs w:val="21"/>
                      <w:lang w:eastAsia="zh-CN"/>
                    </w:rPr>
                    <w:t>（</w:t>
                  </w:r>
                  <w:r>
                    <w:rPr>
                      <w:rFonts w:hint="eastAsia"/>
                      <w:b/>
                      <w:bCs/>
                      <w:color w:val="auto"/>
                      <w:sz w:val="21"/>
                      <w:szCs w:val="21"/>
                      <w:highlight w:val="none"/>
                      <w:lang w:val="en-US" w:eastAsia="zh-CN"/>
                    </w:rPr>
                    <w:t>°</w:t>
                  </w:r>
                  <w:r>
                    <w:rPr>
                      <w:rFonts w:hint="eastAsia"/>
                      <w:b/>
                      <w:bCs/>
                      <w:color w:val="auto"/>
                      <w:sz w:val="21"/>
                      <w:szCs w:val="21"/>
                      <w:lang w:eastAsia="zh-CN"/>
                    </w:rPr>
                    <w:t>）</w:t>
                  </w:r>
                </w:p>
              </w:tc>
              <w:tc>
                <w:tcPr>
                  <w:tcW w:w="825" w:type="pct"/>
                  <w:tcBorders>
                    <w:tl2br w:val="nil"/>
                    <w:tr2bl w:val="nil"/>
                  </w:tcBorders>
                  <w:noWrap w:val="0"/>
                  <w:vAlign w:val="center"/>
                </w:tcPr>
                <w:p w14:paraId="775A4D41">
                  <w:pPr>
                    <w:spacing w:line="240" w:lineRule="atLeast"/>
                    <w:jc w:val="center"/>
                    <w:rPr>
                      <w:rFonts w:hint="eastAsia" w:eastAsia="宋体"/>
                      <w:b/>
                      <w:bCs/>
                      <w:color w:val="auto"/>
                      <w:sz w:val="21"/>
                      <w:szCs w:val="21"/>
                      <w:lang w:eastAsia="zh-CN"/>
                    </w:rPr>
                  </w:pPr>
                  <w:r>
                    <w:rPr>
                      <w:b/>
                      <w:bCs/>
                      <w:color w:val="auto"/>
                      <w:sz w:val="21"/>
                      <w:szCs w:val="21"/>
                    </w:rPr>
                    <w:t>N</w:t>
                  </w:r>
                  <w:r>
                    <w:rPr>
                      <w:rFonts w:hint="eastAsia"/>
                      <w:b/>
                      <w:bCs/>
                      <w:color w:val="auto"/>
                      <w:sz w:val="21"/>
                      <w:szCs w:val="21"/>
                      <w:lang w:eastAsia="zh-CN"/>
                    </w:rPr>
                    <w:t>（</w:t>
                  </w:r>
                  <w:r>
                    <w:rPr>
                      <w:rFonts w:hint="eastAsia"/>
                      <w:b/>
                      <w:bCs/>
                      <w:color w:val="auto"/>
                      <w:sz w:val="21"/>
                      <w:szCs w:val="21"/>
                      <w:highlight w:val="none"/>
                      <w:lang w:val="en-US" w:eastAsia="zh-CN"/>
                    </w:rPr>
                    <w:t>°</w:t>
                  </w:r>
                  <w:r>
                    <w:rPr>
                      <w:rFonts w:hint="eastAsia"/>
                      <w:b/>
                      <w:bCs/>
                      <w:color w:val="auto"/>
                      <w:sz w:val="21"/>
                      <w:szCs w:val="21"/>
                      <w:lang w:eastAsia="zh-CN"/>
                    </w:rPr>
                    <w:t>）</w:t>
                  </w:r>
                </w:p>
              </w:tc>
              <w:tc>
                <w:tcPr>
                  <w:tcW w:w="416" w:type="pct"/>
                  <w:vMerge w:val="continue"/>
                  <w:tcBorders>
                    <w:tl2br w:val="nil"/>
                    <w:tr2bl w:val="nil"/>
                  </w:tcBorders>
                  <w:noWrap w:val="0"/>
                  <w:vAlign w:val="center"/>
                </w:tcPr>
                <w:p w14:paraId="351D86FC">
                  <w:pPr>
                    <w:spacing w:line="240" w:lineRule="atLeast"/>
                    <w:jc w:val="center"/>
                    <w:rPr>
                      <w:color w:val="auto"/>
                      <w:sz w:val="21"/>
                      <w:szCs w:val="21"/>
                    </w:rPr>
                  </w:pPr>
                </w:p>
              </w:tc>
              <w:tc>
                <w:tcPr>
                  <w:tcW w:w="437" w:type="pct"/>
                  <w:vMerge w:val="continue"/>
                  <w:tcBorders>
                    <w:tl2br w:val="nil"/>
                    <w:tr2bl w:val="nil"/>
                  </w:tcBorders>
                  <w:noWrap w:val="0"/>
                  <w:vAlign w:val="center"/>
                </w:tcPr>
                <w:p w14:paraId="077CFF26">
                  <w:pPr>
                    <w:spacing w:line="240" w:lineRule="atLeast"/>
                    <w:jc w:val="center"/>
                    <w:rPr>
                      <w:color w:val="auto"/>
                      <w:sz w:val="21"/>
                      <w:szCs w:val="21"/>
                    </w:rPr>
                  </w:pPr>
                </w:p>
              </w:tc>
              <w:tc>
                <w:tcPr>
                  <w:tcW w:w="316" w:type="pct"/>
                  <w:vMerge w:val="continue"/>
                  <w:tcBorders>
                    <w:tl2br w:val="nil"/>
                    <w:tr2bl w:val="nil"/>
                  </w:tcBorders>
                  <w:noWrap w:val="0"/>
                  <w:vAlign w:val="center"/>
                </w:tcPr>
                <w:p w14:paraId="17682AAB">
                  <w:pPr>
                    <w:spacing w:line="240" w:lineRule="atLeast"/>
                    <w:jc w:val="center"/>
                    <w:rPr>
                      <w:color w:val="auto"/>
                      <w:sz w:val="21"/>
                      <w:szCs w:val="21"/>
                    </w:rPr>
                  </w:pPr>
                </w:p>
              </w:tc>
              <w:tc>
                <w:tcPr>
                  <w:tcW w:w="1343" w:type="pct"/>
                  <w:vMerge w:val="continue"/>
                  <w:tcBorders>
                    <w:tl2br w:val="nil"/>
                    <w:tr2bl w:val="nil"/>
                  </w:tcBorders>
                  <w:noWrap w:val="0"/>
                  <w:vAlign w:val="center"/>
                </w:tcPr>
                <w:p w14:paraId="4DFDDA2E">
                  <w:pPr>
                    <w:spacing w:line="240" w:lineRule="atLeast"/>
                    <w:jc w:val="center"/>
                    <w:rPr>
                      <w:color w:val="auto"/>
                      <w:sz w:val="21"/>
                      <w:szCs w:val="21"/>
                    </w:rPr>
                  </w:pPr>
                </w:p>
              </w:tc>
            </w:tr>
            <w:tr w14:paraId="5E516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63" w:hRule="atLeast"/>
                <w:tblHeader/>
                <w:jc w:val="center"/>
              </w:trPr>
              <w:tc>
                <w:tcPr>
                  <w:tcW w:w="297" w:type="pct"/>
                  <w:tcBorders>
                    <w:tl2br w:val="nil"/>
                    <w:tr2bl w:val="nil"/>
                  </w:tcBorders>
                  <w:noWrap w:val="0"/>
                  <w:vAlign w:val="center"/>
                </w:tcPr>
                <w:p w14:paraId="2A4FE787">
                  <w:pPr>
                    <w:spacing w:line="240" w:lineRule="atLeast"/>
                    <w:jc w:val="center"/>
                    <w:rPr>
                      <w:color w:val="auto"/>
                      <w:sz w:val="21"/>
                      <w:szCs w:val="21"/>
                    </w:rPr>
                  </w:pPr>
                  <w:r>
                    <w:rPr>
                      <w:rFonts w:hint="eastAsia"/>
                      <w:color w:val="auto"/>
                      <w:sz w:val="21"/>
                      <w:szCs w:val="21"/>
                    </w:rPr>
                    <w:t>大气环境</w:t>
                  </w:r>
                </w:p>
              </w:tc>
              <w:tc>
                <w:tcPr>
                  <w:tcW w:w="521" w:type="pct"/>
                  <w:tcBorders>
                    <w:tl2br w:val="nil"/>
                    <w:tr2bl w:val="nil"/>
                  </w:tcBorders>
                  <w:noWrap w:val="0"/>
                  <w:vAlign w:val="center"/>
                </w:tcPr>
                <w:p w14:paraId="56B29154">
                  <w:pPr>
                    <w:spacing w:line="240" w:lineRule="atLeast"/>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w:t>
                  </w:r>
                </w:p>
              </w:tc>
              <w:tc>
                <w:tcPr>
                  <w:tcW w:w="842" w:type="pct"/>
                  <w:tcBorders>
                    <w:tl2br w:val="nil"/>
                    <w:tr2bl w:val="nil"/>
                  </w:tcBorders>
                  <w:noWrap w:val="0"/>
                  <w:vAlign w:val="center"/>
                </w:tcPr>
                <w:p w14:paraId="4D6FEDC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w:t>
                  </w:r>
                </w:p>
              </w:tc>
              <w:tc>
                <w:tcPr>
                  <w:tcW w:w="825" w:type="pct"/>
                  <w:tcBorders>
                    <w:tl2br w:val="nil"/>
                    <w:tr2bl w:val="nil"/>
                  </w:tcBorders>
                  <w:noWrap w:val="0"/>
                  <w:vAlign w:val="center"/>
                </w:tcPr>
                <w:p w14:paraId="3BA8750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w:t>
                  </w:r>
                </w:p>
              </w:tc>
              <w:tc>
                <w:tcPr>
                  <w:tcW w:w="416" w:type="pct"/>
                  <w:tcBorders>
                    <w:tl2br w:val="nil"/>
                    <w:tr2bl w:val="nil"/>
                  </w:tcBorders>
                  <w:noWrap w:val="0"/>
                  <w:vAlign w:val="center"/>
                </w:tcPr>
                <w:p w14:paraId="62DF8DB5">
                  <w:pPr>
                    <w:spacing w:line="240" w:lineRule="atLeast"/>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437" w:type="pct"/>
                  <w:tcBorders>
                    <w:tl2br w:val="nil"/>
                    <w:tr2bl w:val="nil"/>
                  </w:tcBorders>
                  <w:noWrap w:val="0"/>
                  <w:vAlign w:val="center"/>
                </w:tcPr>
                <w:p w14:paraId="1246F4E4">
                  <w:pPr>
                    <w:spacing w:line="240" w:lineRule="atLeast"/>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316" w:type="pct"/>
                  <w:tcBorders>
                    <w:tl2br w:val="nil"/>
                    <w:tr2bl w:val="nil"/>
                  </w:tcBorders>
                  <w:noWrap w:val="0"/>
                  <w:vAlign w:val="center"/>
                </w:tcPr>
                <w:p w14:paraId="1C32B0D2">
                  <w:pPr>
                    <w:spacing w:line="240" w:lineRule="atLeast"/>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w:t>
                  </w:r>
                </w:p>
              </w:tc>
              <w:tc>
                <w:tcPr>
                  <w:tcW w:w="1343" w:type="pct"/>
                  <w:tcBorders>
                    <w:tl2br w:val="nil"/>
                    <w:tr2bl w:val="nil"/>
                  </w:tcBorders>
                  <w:noWrap w:val="0"/>
                  <w:vAlign w:val="center"/>
                </w:tcPr>
                <w:p w14:paraId="7099DBE8">
                  <w:pPr>
                    <w:spacing w:line="240" w:lineRule="atLeast"/>
                    <w:jc w:val="center"/>
                    <w:rPr>
                      <w:color w:val="auto"/>
                      <w:sz w:val="21"/>
                      <w:szCs w:val="21"/>
                      <w:highlight w:val="none"/>
                    </w:rPr>
                  </w:pPr>
                  <w:r>
                    <w:rPr>
                      <w:color w:val="auto"/>
                      <w:sz w:val="21"/>
                      <w:szCs w:val="21"/>
                      <w:highlight w:val="none"/>
                    </w:rPr>
                    <w:t>《环境空气质量标准》</w:t>
                  </w:r>
                  <w:r>
                    <w:rPr>
                      <w:rFonts w:hint="default" w:ascii="Times New Roman" w:hAnsi="Times New Roman" w:cs="Times New Roman"/>
                      <w:color w:val="auto"/>
                      <w:sz w:val="21"/>
                      <w:szCs w:val="21"/>
                      <w:highlight w:val="none"/>
                    </w:rPr>
                    <w:t>（GB3095-2012）</w:t>
                  </w:r>
                  <w:r>
                    <w:rPr>
                      <w:color w:val="auto"/>
                      <w:sz w:val="21"/>
                      <w:szCs w:val="21"/>
                      <w:highlight w:val="none"/>
                    </w:rPr>
                    <w:t>中二级标准</w:t>
                  </w:r>
                  <w:r>
                    <w:rPr>
                      <w:color w:val="auto"/>
                      <w:sz w:val="21"/>
                      <w:szCs w:val="21"/>
                      <w:highlight w:val="none"/>
                      <w:lang w:val="zh-CN"/>
                    </w:rPr>
                    <w:t>及修改单要求</w:t>
                  </w:r>
                </w:p>
              </w:tc>
            </w:tr>
            <w:tr w14:paraId="1772A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63" w:hRule="atLeast"/>
                <w:tblHeader/>
                <w:jc w:val="center"/>
              </w:trPr>
              <w:tc>
                <w:tcPr>
                  <w:tcW w:w="297" w:type="pct"/>
                  <w:tcBorders>
                    <w:tl2br w:val="nil"/>
                    <w:tr2bl w:val="nil"/>
                  </w:tcBorders>
                  <w:noWrap w:val="0"/>
                  <w:vAlign w:val="center"/>
                </w:tcPr>
                <w:p w14:paraId="487AEF6F">
                  <w:pPr>
                    <w:spacing w:line="240" w:lineRule="atLeast"/>
                    <w:jc w:val="center"/>
                    <w:rPr>
                      <w:color w:val="auto"/>
                      <w:sz w:val="21"/>
                      <w:szCs w:val="21"/>
                    </w:rPr>
                  </w:pPr>
                  <w:r>
                    <w:rPr>
                      <w:color w:val="auto"/>
                      <w:sz w:val="21"/>
                      <w:szCs w:val="21"/>
                    </w:rPr>
                    <w:t>声环境</w:t>
                  </w:r>
                </w:p>
              </w:tc>
              <w:tc>
                <w:tcPr>
                  <w:tcW w:w="3358" w:type="pct"/>
                  <w:gridSpan w:val="6"/>
                  <w:tcBorders>
                    <w:tl2br w:val="nil"/>
                    <w:tr2bl w:val="nil"/>
                  </w:tcBorders>
                  <w:noWrap w:val="0"/>
                  <w:vAlign w:val="center"/>
                </w:tcPr>
                <w:p w14:paraId="68B6390E">
                  <w:pPr>
                    <w:spacing w:line="240" w:lineRule="atLeast"/>
                    <w:jc w:val="center"/>
                    <w:rPr>
                      <w:color w:val="auto"/>
                      <w:sz w:val="21"/>
                      <w:szCs w:val="21"/>
                    </w:rPr>
                  </w:pPr>
                  <w:r>
                    <w:rPr>
                      <w:rFonts w:hint="eastAsia"/>
                      <w:color w:val="auto"/>
                      <w:sz w:val="21"/>
                      <w:szCs w:val="21"/>
                    </w:rPr>
                    <w:t>无（周</w:t>
                  </w:r>
                  <w:r>
                    <w:rPr>
                      <w:rFonts w:hint="default" w:ascii="Times New Roman" w:hAnsi="Times New Roman" w:cs="Times New Roman"/>
                      <w:color w:val="auto"/>
                      <w:sz w:val="21"/>
                      <w:szCs w:val="21"/>
                    </w:rPr>
                    <w:t>界50m范</w:t>
                  </w:r>
                  <w:r>
                    <w:rPr>
                      <w:rFonts w:hint="eastAsia"/>
                      <w:color w:val="auto"/>
                      <w:sz w:val="21"/>
                      <w:szCs w:val="21"/>
                    </w:rPr>
                    <w:t>围内无声环境保护目标）</w:t>
                  </w:r>
                </w:p>
              </w:tc>
              <w:tc>
                <w:tcPr>
                  <w:tcW w:w="1343" w:type="pct"/>
                  <w:tcBorders>
                    <w:tl2br w:val="nil"/>
                    <w:tr2bl w:val="nil"/>
                  </w:tcBorders>
                  <w:noWrap w:val="0"/>
                  <w:vAlign w:val="center"/>
                </w:tcPr>
                <w:p w14:paraId="50DF6ACA">
                  <w:pPr>
                    <w:spacing w:line="240" w:lineRule="atLeast"/>
                    <w:jc w:val="center"/>
                    <w:rPr>
                      <w:color w:val="auto"/>
                      <w:sz w:val="21"/>
                      <w:szCs w:val="21"/>
                    </w:rPr>
                  </w:pPr>
                  <w:r>
                    <w:rPr>
                      <w:color w:val="auto"/>
                      <w:sz w:val="21"/>
                      <w:szCs w:val="21"/>
                    </w:rPr>
                    <w:t>《声环境质量标准》（GB3096-2008）</w:t>
                  </w:r>
                  <w:r>
                    <w:rPr>
                      <w:rFonts w:hint="eastAsia"/>
                      <w:color w:val="auto"/>
                      <w:sz w:val="21"/>
                      <w:szCs w:val="21"/>
                      <w:lang w:val="en-US" w:eastAsia="zh-CN"/>
                    </w:rPr>
                    <w:t>2</w:t>
                  </w:r>
                  <w:r>
                    <w:rPr>
                      <w:color w:val="auto"/>
                      <w:sz w:val="21"/>
                      <w:szCs w:val="21"/>
                    </w:rPr>
                    <w:t>类标准</w:t>
                  </w:r>
                </w:p>
              </w:tc>
            </w:tr>
            <w:tr w14:paraId="0A5D9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63" w:hRule="atLeast"/>
                <w:tblHeader/>
                <w:jc w:val="center"/>
              </w:trPr>
              <w:tc>
                <w:tcPr>
                  <w:tcW w:w="297" w:type="pct"/>
                  <w:tcBorders>
                    <w:tl2br w:val="nil"/>
                    <w:tr2bl w:val="nil"/>
                  </w:tcBorders>
                  <w:noWrap w:val="0"/>
                  <w:vAlign w:val="center"/>
                </w:tcPr>
                <w:p w14:paraId="05F7F9F3">
                  <w:pPr>
                    <w:spacing w:line="240" w:lineRule="atLeast"/>
                    <w:jc w:val="center"/>
                    <w:rPr>
                      <w:color w:val="auto"/>
                      <w:sz w:val="21"/>
                      <w:szCs w:val="21"/>
                    </w:rPr>
                  </w:pPr>
                  <w:r>
                    <w:rPr>
                      <w:color w:val="auto"/>
                      <w:sz w:val="21"/>
                      <w:szCs w:val="21"/>
                    </w:rPr>
                    <w:t>地下水环境</w:t>
                  </w:r>
                </w:p>
              </w:tc>
              <w:tc>
                <w:tcPr>
                  <w:tcW w:w="3041" w:type="pct"/>
                  <w:gridSpan w:val="5"/>
                  <w:tcBorders>
                    <w:tl2br w:val="nil"/>
                    <w:tr2bl w:val="nil"/>
                  </w:tcBorders>
                  <w:noWrap w:val="0"/>
                  <w:vAlign w:val="center"/>
                </w:tcPr>
                <w:p w14:paraId="20BAEADE">
                  <w:pPr>
                    <w:spacing w:line="240" w:lineRule="atLeast"/>
                    <w:jc w:val="center"/>
                    <w:rPr>
                      <w:color w:val="auto"/>
                      <w:sz w:val="21"/>
                      <w:szCs w:val="21"/>
                    </w:rPr>
                  </w:pPr>
                  <w:r>
                    <w:rPr>
                      <w:rFonts w:hint="eastAsia"/>
                      <w:color w:val="auto"/>
                      <w:sz w:val="21"/>
                      <w:szCs w:val="21"/>
                    </w:rPr>
                    <w:t>无（厂界外</w:t>
                  </w:r>
                  <w:r>
                    <w:rPr>
                      <w:rFonts w:hint="default" w:ascii="Times New Roman" w:hAnsi="Times New Roman" w:cs="Times New Roman"/>
                      <w:color w:val="auto"/>
                      <w:sz w:val="21"/>
                      <w:szCs w:val="21"/>
                    </w:rPr>
                    <w:t>500</w:t>
                  </w:r>
                  <w:r>
                    <w:rPr>
                      <w:rFonts w:hint="eastAsia"/>
                      <w:color w:val="auto"/>
                      <w:sz w:val="21"/>
                      <w:szCs w:val="21"/>
                    </w:rPr>
                    <w:t>米范围内的地下水集中式饮用水水源和热水、矿泉水、温泉等特殊地下水资源）</w:t>
                  </w:r>
                </w:p>
              </w:tc>
              <w:tc>
                <w:tcPr>
                  <w:tcW w:w="316" w:type="pct"/>
                  <w:tcBorders>
                    <w:tl2br w:val="nil"/>
                    <w:tr2bl w:val="nil"/>
                  </w:tcBorders>
                  <w:noWrap w:val="0"/>
                  <w:vAlign w:val="center"/>
                </w:tcPr>
                <w:p w14:paraId="4F9A447A">
                  <w:pPr>
                    <w:spacing w:line="240" w:lineRule="atLeast"/>
                    <w:jc w:val="center"/>
                    <w:rPr>
                      <w:color w:val="auto"/>
                      <w:sz w:val="21"/>
                      <w:szCs w:val="21"/>
                    </w:rPr>
                  </w:pPr>
                  <w:r>
                    <w:rPr>
                      <w:color w:val="auto"/>
                      <w:sz w:val="21"/>
                      <w:szCs w:val="21"/>
                    </w:rPr>
                    <w:t>地下水</w:t>
                  </w:r>
                </w:p>
              </w:tc>
              <w:tc>
                <w:tcPr>
                  <w:tcW w:w="1343" w:type="pct"/>
                  <w:tcBorders>
                    <w:tl2br w:val="nil"/>
                    <w:tr2bl w:val="nil"/>
                  </w:tcBorders>
                  <w:noWrap w:val="0"/>
                  <w:vAlign w:val="center"/>
                </w:tcPr>
                <w:p w14:paraId="6AF1FE92">
                  <w:pPr>
                    <w:spacing w:line="240" w:lineRule="atLeast"/>
                    <w:jc w:val="center"/>
                    <w:rPr>
                      <w:color w:val="auto"/>
                      <w:sz w:val="21"/>
                      <w:szCs w:val="21"/>
                    </w:rPr>
                  </w:pPr>
                  <w:r>
                    <w:rPr>
                      <w:rFonts w:ascii="Times New Roman" w:hAnsi="Times New Roman" w:eastAsia="宋体" w:cs="Times New Roman"/>
                      <w:color w:val="auto"/>
                      <w:sz w:val="21"/>
                      <w:szCs w:val="21"/>
                    </w:rPr>
                    <w:t>《地下水质量标准》（GB/T14848-2017）Ⅲ级标准</w:t>
                  </w:r>
                </w:p>
              </w:tc>
            </w:tr>
            <w:tr w14:paraId="5AD9D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63" w:hRule="atLeast"/>
                <w:tblHeader/>
                <w:jc w:val="center"/>
              </w:trPr>
              <w:tc>
                <w:tcPr>
                  <w:tcW w:w="297" w:type="pct"/>
                  <w:tcBorders>
                    <w:tl2br w:val="nil"/>
                    <w:tr2bl w:val="nil"/>
                  </w:tcBorders>
                  <w:noWrap w:val="0"/>
                  <w:vAlign w:val="center"/>
                </w:tcPr>
                <w:p w14:paraId="315A61A8">
                  <w:pPr>
                    <w:spacing w:line="240" w:lineRule="atLeast"/>
                    <w:jc w:val="center"/>
                    <w:rPr>
                      <w:color w:val="auto"/>
                      <w:sz w:val="21"/>
                      <w:szCs w:val="21"/>
                    </w:rPr>
                  </w:pPr>
                  <w:r>
                    <w:rPr>
                      <w:color w:val="auto"/>
                      <w:sz w:val="21"/>
                      <w:szCs w:val="21"/>
                    </w:rPr>
                    <w:t>生态环境</w:t>
                  </w:r>
                </w:p>
              </w:tc>
              <w:tc>
                <w:tcPr>
                  <w:tcW w:w="3041" w:type="pct"/>
                  <w:gridSpan w:val="5"/>
                  <w:tcBorders>
                    <w:tl2br w:val="nil"/>
                    <w:tr2bl w:val="nil"/>
                  </w:tcBorders>
                  <w:noWrap w:val="0"/>
                  <w:vAlign w:val="center"/>
                </w:tcPr>
                <w:p w14:paraId="4B9CA27F">
                  <w:pPr>
                    <w:spacing w:line="240" w:lineRule="atLeast"/>
                    <w:jc w:val="center"/>
                    <w:rPr>
                      <w:color w:val="auto"/>
                      <w:sz w:val="21"/>
                      <w:szCs w:val="21"/>
                    </w:rPr>
                  </w:pPr>
                  <w:r>
                    <w:rPr>
                      <w:color w:val="auto"/>
                      <w:sz w:val="21"/>
                      <w:szCs w:val="21"/>
                    </w:rPr>
                    <w:t>无（项</w:t>
                  </w:r>
                  <w:r>
                    <w:rPr>
                      <w:color w:val="auto"/>
                      <w:sz w:val="21"/>
                      <w:szCs w:val="21"/>
                      <w:highlight w:val="none"/>
                    </w:rPr>
                    <w:t>目</w:t>
                  </w:r>
                  <w:r>
                    <w:rPr>
                      <w:rFonts w:hint="eastAsia"/>
                      <w:color w:val="auto"/>
                      <w:sz w:val="21"/>
                      <w:szCs w:val="21"/>
                      <w:highlight w:val="none"/>
                      <w:lang w:eastAsia="zh-CN"/>
                    </w:rPr>
                    <w:t>利用</w:t>
                  </w:r>
                  <w:r>
                    <w:rPr>
                      <w:rFonts w:hint="eastAsia"/>
                      <w:color w:val="auto"/>
                      <w:sz w:val="21"/>
                      <w:szCs w:val="21"/>
                      <w:highlight w:val="none"/>
                    </w:rPr>
                    <w:t>现有厂房</w:t>
                  </w:r>
                  <w:r>
                    <w:rPr>
                      <w:rFonts w:hint="eastAsia"/>
                      <w:color w:val="auto"/>
                      <w:sz w:val="21"/>
                      <w:szCs w:val="21"/>
                      <w:highlight w:val="none"/>
                      <w:lang w:eastAsia="zh-CN"/>
                    </w:rPr>
                    <w:t>建设</w:t>
                  </w:r>
                  <w:r>
                    <w:rPr>
                      <w:rFonts w:hint="eastAsia"/>
                      <w:color w:val="auto"/>
                      <w:sz w:val="21"/>
                      <w:szCs w:val="21"/>
                      <w:highlight w:val="none"/>
                    </w:rPr>
                    <w:t>，</w:t>
                  </w:r>
                  <w:r>
                    <w:rPr>
                      <w:color w:val="auto"/>
                      <w:sz w:val="21"/>
                      <w:szCs w:val="21"/>
                      <w:highlight w:val="none"/>
                    </w:rPr>
                    <w:t>不新增</w:t>
                  </w:r>
                  <w:r>
                    <w:rPr>
                      <w:color w:val="auto"/>
                      <w:sz w:val="21"/>
                      <w:szCs w:val="21"/>
                    </w:rPr>
                    <w:t>用地）</w:t>
                  </w:r>
                </w:p>
              </w:tc>
              <w:tc>
                <w:tcPr>
                  <w:tcW w:w="316" w:type="pct"/>
                  <w:tcBorders>
                    <w:tl2br w:val="nil"/>
                    <w:tr2bl w:val="nil"/>
                  </w:tcBorders>
                  <w:noWrap w:val="0"/>
                  <w:vAlign w:val="center"/>
                </w:tcPr>
                <w:p w14:paraId="2858D73C">
                  <w:pPr>
                    <w:spacing w:line="240" w:lineRule="atLeast"/>
                    <w:jc w:val="center"/>
                    <w:rPr>
                      <w:color w:val="auto"/>
                      <w:sz w:val="21"/>
                      <w:szCs w:val="21"/>
                    </w:rPr>
                  </w:pPr>
                  <w:r>
                    <w:rPr>
                      <w:color w:val="auto"/>
                      <w:sz w:val="21"/>
                      <w:szCs w:val="21"/>
                    </w:rPr>
                    <w:t>无</w:t>
                  </w:r>
                </w:p>
              </w:tc>
              <w:tc>
                <w:tcPr>
                  <w:tcW w:w="1343" w:type="pct"/>
                  <w:tcBorders>
                    <w:tl2br w:val="nil"/>
                    <w:tr2bl w:val="nil"/>
                  </w:tcBorders>
                  <w:noWrap w:val="0"/>
                  <w:vAlign w:val="center"/>
                </w:tcPr>
                <w:p w14:paraId="0FDE9BBA">
                  <w:pPr>
                    <w:spacing w:line="240" w:lineRule="atLeast"/>
                    <w:jc w:val="center"/>
                    <w:rPr>
                      <w:color w:val="auto"/>
                      <w:sz w:val="21"/>
                      <w:szCs w:val="21"/>
                    </w:rPr>
                  </w:pPr>
                  <w:r>
                    <w:rPr>
                      <w:color w:val="auto"/>
                      <w:sz w:val="21"/>
                      <w:szCs w:val="21"/>
                    </w:rPr>
                    <w:t>无</w:t>
                  </w:r>
                </w:p>
              </w:tc>
            </w:tr>
          </w:tbl>
          <w:p w14:paraId="0950E1ED">
            <w:pPr>
              <w:spacing w:line="480" w:lineRule="exact"/>
              <w:rPr>
                <w:rFonts w:hint="default" w:ascii="Times New Roman" w:hAnsi="Times New Roman" w:cs="Times New Roman"/>
                <w:color w:val="auto"/>
              </w:rPr>
            </w:pPr>
          </w:p>
        </w:tc>
      </w:tr>
      <w:tr w14:paraId="5DBCC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63" w:hRule="atLeast"/>
          <w:jc w:val="center"/>
        </w:trPr>
        <w:tc>
          <w:tcPr>
            <w:tcW w:w="710" w:type="dxa"/>
            <w:vAlign w:val="center"/>
          </w:tcPr>
          <w:p w14:paraId="0D56F27F">
            <w:pPr>
              <w:widowControl/>
              <w:jc w:val="center"/>
              <w:rPr>
                <w:rFonts w:hint="default" w:ascii="Times New Roman" w:hAnsi="Times New Roman" w:cs="Times New Roman"/>
                <w:color w:val="auto"/>
              </w:rPr>
            </w:pPr>
            <w:r>
              <w:rPr>
                <w:rFonts w:hint="default" w:ascii="Times New Roman" w:hAnsi="Times New Roman" w:cs="Times New Roman"/>
                <w:color w:val="auto"/>
                <w:sz w:val="24"/>
                <w:szCs w:val="24"/>
                <w:lang w:bidi="ar"/>
              </w:rPr>
              <w:t>污染物排放控制标准</w:t>
            </w:r>
          </w:p>
        </w:tc>
        <w:tc>
          <w:tcPr>
            <w:tcW w:w="8847" w:type="dxa"/>
            <w:vAlign w:val="center"/>
          </w:tcPr>
          <w:p w14:paraId="6B18DA42">
            <w:pPr>
              <w:spacing w:line="480" w:lineRule="exact"/>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一、施工期：</w:t>
            </w:r>
          </w:p>
          <w:p w14:paraId="225E719C">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施工期噪声执行《建筑施工场界环境噪声排放标准》（GB12523-2011）要求。</w:t>
            </w:r>
          </w:p>
          <w:p w14:paraId="249B08BB">
            <w:pPr>
              <w:overflowPunct w:val="0"/>
              <w:topLinePunct/>
              <w:autoSpaceDE w:val="0"/>
              <w:autoSpaceDN w:val="0"/>
              <w:spacing w:line="440" w:lineRule="exact"/>
              <w:jc w:val="center"/>
              <w:rPr>
                <w:rFonts w:hint="default" w:ascii="Times New Roman" w:hAnsi="Times New Roman" w:cs="Times New Roman"/>
                <w:b/>
                <w:bCs/>
                <w:color w:val="auto"/>
                <w:sz w:val="24"/>
                <w:szCs w:val="20"/>
              </w:rPr>
            </w:pPr>
            <w:r>
              <w:rPr>
                <w:rFonts w:hint="default" w:ascii="Times New Roman" w:hAnsi="Times New Roman" w:cs="Times New Roman"/>
                <w:b/>
                <w:bCs/>
                <w:color w:val="auto"/>
                <w:sz w:val="24"/>
                <w:szCs w:val="24"/>
              </w:rPr>
              <w:t>表</w:t>
            </w:r>
            <w:r>
              <w:rPr>
                <w:rFonts w:hint="eastAsia" w:ascii="Times New Roman" w:hAnsi="Times New Roman" w:cs="Times New Roman"/>
                <w:b/>
                <w:bCs/>
                <w:color w:val="auto"/>
                <w:sz w:val="24"/>
                <w:szCs w:val="24"/>
                <w:lang w:val="en-US" w:eastAsia="zh-CN"/>
              </w:rPr>
              <w:t>15</w:t>
            </w:r>
            <w:r>
              <w:rPr>
                <w:rFonts w:hint="default" w:ascii="Times New Roman" w:hAnsi="Times New Roman" w:cs="Times New Roman"/>
                <w:b/>
                <w:bCs/>
                <w:color w:val="auto"/>
                <w:sz w:val="24"/>
                <w:szCs w:val="24"/>
              </w:rPr>
              <w:t>建筑施工场界环境噪声排放标准Leq[dB</w:t>
            </w:r>
            <w:r>
              <w:rPr>
                <w:rFonts w:hint="default" w:ascii="Times New Roman" w:hAnsi="Times New Roman" w:cs="Times New Roman"/>
                <w:b/>
                <w:bCs/>
                <w:color w:val="auto"/>
                <w:sz w:val="24"/>
                <w:szCs w:val="24"/>
                <w:lang w:eastAsia="zh-CN"/>
              </w:rPr>
              <w:t>（</w:t>
            </w:r>
            <w:r>
              <w:rPr>
                <w:rFonts w:hint="default" w:ascii="Times New Roman" w:hAnsi="Times New Roman" w:cs="Times New Roman"/>
                <w:b/>
                <w:bCs/>
                <w:color w:val="auto"/>
                <w:sz w:val="24"/>
                <w:szCs w:val="24"/>
              </w:rPr>
              <w:t>A</w:t>
            </w:r>
            <w:r>
              <w:rPr>
                <w:rFonts w:hint="default" w:ascii="Times New Roman" w:hAnsi="Times New Roman" w:cs="Times New Roman"/>
                <w:b/>
                <w:bCs/>
                <w:color w:val="auto"/>
                <w:sz w:val="24"/>
                <w:szCs w:val="24"/>
                <w:lang w:eastAsia="zh-CN"/>
              </w:rPr>
              <w:t>）</w:t>
            </w:r>
          </w:p>
          <w:tbl>
            <w:tblPr>
              <w:tblStyle w:val="34"/>
              <w:tblW w:w="499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605"/>
              <w:gridCol w:w="4310"/>
            </w:tblGrid>
            <w:tr w14:paraId="2025C8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2" w:hRule="atLeast"/>
                <w:jc w:val="center"/>
              </w:trPr>
              <w:tc>
                <w:tcPr>
                  <w:tcW w:w="2582" w:type="pct"/>
                  <w:tcBorders>
                    <w:tl2br w:val="nil"/>
                    <w:tr2bl w:val="nil"/>
                  </w:tcBorders>
                  <w:vAlign w:val="center"/>
                </w:tcPr>
                <w:p w14:paraId="6D1E6D0F">
                  <w:pPr>
                    <w:spacing w:line="280" w:lineRule="atLeas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昼间</w:t>
                  </w:r>
                </w:p>
              </w:tc>
              <w:tc>
                <w:tcPr>
                  <w:tcW w:w="2417" w:type="pct"/>
                  <w:tcBorders>
                    <w:tl2br w:val="nil"/>
                    <w:tr2bl w:val="nil"/>
                  </w:tcBorders>
                  <w:vAlign w:val="center"/>
                </w:tcPr>
                <w:p w14:paraId="32D17652">
                  <w:pPr>
                    <w:spacing w:line="280" w:lineRule="atLeas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夜间</w:t>
                  </w:r>
                </w:p>
              </w:tc>
            </w:tr>
            <w:tr w14:paraId="335A47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2" w:hRule="atLeast"/>
                <w:jc w:val="center"/>
              </w:trPr>
              <w:tc>
                <w:tcPr>
                  <w:tcW w:w="2582" w:type="pct"/>
                  <w:tcBorders>
                    <w:tl2br w:val="nil"/>
                    <w:tr2bl w:val="nil"/>
                  </w:tcBorders>
                  <w:vAlign w:val="center"/>
                </w:tcPr>
                <w:p w14:paraId="454AEEA5">
                  <w:pPr>
                    <w:spacing w:line="28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70</w:t>
                  </w:r>
                </w:p>
              </w:tc>
              <w:tc>
                <w:tcPr>
                  <w:tcW w:w="2417" w:type="pct"/>
                  <w:tcBorders>
                    <w:tl2br w:val="nil"/>
                    <w:tr2bl w:val="nil"/>
                  </w:tcBorders>
                  <w:vAlign w:val="center"/>
                </w:tcPr>
                <w:p w14:paraId="0F7DEAE0">
                  <w:pPr>
                    <w:spacing w:line="28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55</w:t>
                  </w:r>
                </w:p>
              </w:tc>
            </w:tr>
          </w:tbl>
          <w:p w14:paraId="3334E19C">
            <w:pPr>
              <w:spacing w:line="480" w:lineRule="exact"/>
              <w:rPr>
                <w:rFonts w:ascii="Times New Roman" w:hAnsi="Times New Roman" w:cs="Times New Roman"/>
                <w:sz w:val="24"/>
                <w:szCs w:val="24"/>
              </w:rPr>
            </w:pPr>
            <w:r>
              <w:rPr>
                <w:rFonts w:hint="eastAsia" w:ascii="Times New Roman" w:hAnsi="Times New Roman" w:cs="Times New Roman"/>
                <w:b/>
                <w:bCs/>
                <w:sz w:val="24"/>
                <w:szCs w:val="24"/>
              </w:rPr>
              <w:t>二、营运期：</w:t>
            </w:r>
          </w:p>
          <w:p w14:paraId="3BED2235">
            <w:pPr>
              <w:autoSpaceDE w:val="0"/>
              <w:autoSpaceDN w:val="0"/>
              <w:spacing w:line="500" w:lineRule="exact"/>
              <w:ind w:firstLine="482" w:firstLineChars="200"/>
              <w:rPr>
                <w:rFonts w:ascii="Times New Roman" w:hAnsi="Times New Roman" w:cs="Times New Roman"/>
                <w:b/>
                <w:bCs/>
                <w:color w:val="000000"/>
                <w:sz w:val="24"/>
                <w:szCs w:val="24"/>
              </w:rPr>
            </w:pPr>
            <w:r>
              <w:rPr>
                <w:rFonts w:hint="eastAsia" w:ascii="Times New Roman" w:hAnsi="Times New Roman" w:cs="Times New Roman"/>
                <w:b/>
                <w:bCs/>
                <w:color w:val="000000"/>
                <w:sz w:val="24"/>
                <w:szCs w:val="24"/>
              </w:rPr>
              <w:t>1</w:t>
            </w:r>
            <w:r>
              <w:rPr>
                <w:rFonts w:ascii="Times New Roman" w:hAnsi="Times New Roman" w:cs="Times New Roman"/>
                <w:b/>
                <w:bCs/>
                <w:color w:val="000000"/>
                <w:sz w:val="24"/>
                <w:szCs w:val="24"/>
              </w:rPr>
              <w:t>、大气污染物排放标准</w:t>
            </w:r>
          </w:p>
          <w:p w14:paraId="2217D2B4">
            <w:pPr>
              <w:spacing w:line="480" w:lineRule="exact"/>
              <w:jc w:val="center"/>
              <w:rPr>
                <w:rFonts w:ascii="Times New Roman" w:hAnsi="Times New Roman" w:cs="Times New Roman"/>
                <w:b/>
                <w:bCs/>
                <w:color w:val="000000"/>
                <w:sz w:val="24"/>
                <w:szCs w:val="24"/>
                <w:highlight w:val="yellow"/>
              </w:rPr>
            </w:pPr>
            <w:r>
              <w:rPr>
                <w:rFonts w:ascii="Times New Roman" w:hAnsi="Times New Roman" w:cs="Times New Roman"/>
                <w:b/>
                <w:bCs/>
                <w:color w:val="000000"/>
                <w:sz w:val="24"/>
                <w:szCs w:val="24"/>
              </w:rPr>
              <w:t>表</w:t>
            </w:r>
            <w:r>
              <w:rPr>
                <w:rFonts w:hint="eastAsia" w:ascii="Times New Roman" w:hAnsi="Times New Roman" w:cs="Times New Roman"/>
                <w:b/>
                <w:bCs/>
                <w:color w:val="000000"/>
                <w:sz w:val="24"/>
                <w:szCs w:val="24"/>
                <w:lang w:val="en-US" w:eastAsia="zh-CN"/>
              </w:rPr>
              <w:t>16</w:t>
            </w:r>
            <w:r>
              <w:rPr>
                <w:rFonts w:hint="eastAsia" w:ascii="Times New Roman" w:hAnsi="Times New Roman" w:cs="Times New Roman"/>
                <w:b/>
                <w:bCs/>
                <w:color w:val="000000"/>
                <w:sz w:val="24"/>
                <w:szCs w:val="24"/>
              </w:rPr>
              <w:t>废气中污染物排放</w:t>
            </w:r>
            <w:r>
              <w:rPr>
                <w:rFonts w:ascii="Times New Roman" w:hAnsi="Times New Roman" w:cs="Times New Roman"/>
                <w:b/>
                <w:bCs/>
                <w:color w:val="000000"/>
                <w:sz w:val="24"/>
                <w:szCs w:val="24"/>
              </w:rPr>
              <w:t>标准</w:t>
            </w:r>
          </w:p>
          <w:tbl>
            <w:tblPr>
              <w:tblStyle w:val="34"/>
              <w:tblW w:w="88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1012"/>
              <w:gridCol w:w="765"/>
              <w:gridCol w:w="945"/>
              <w:gridCol w:w="2370"/>
              <w:gridCol w:w="3758"/>
            </w:tblGrid>
            <w:tr w14:paraId="3C210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1012" w:type="dxa"/>
                  <w:vAlign w:val="center"/>
                </w:tcPr>
                <w:p w14:paraId="35978AC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污染源</w:t>
                  </w:r>
                </w:p>
              </w:tc>
              <w:tc>
                <w:tcPr>
                  <w:tcW w:w="765" w:type="dxa"/>
                  <w:vAlign w:val="center"/>
                </w:tcPr>
                <w:p w14:paraId="7ED5C78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排气筒高度</w:t>
                  </w:r>
                </w:p>
              </w:tc>
              <w:tc>
                <w:tcPr>
                  <w:tcW w:w="945" w:type="dxa"/>
                  <w:vAlign w:val="center"/>
                </w:tcPr>
                <w:p w14:paraId="5AF12E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lang w:val="en-US" w:eastAsia="zh-CN"/>
                    </w:rPr>
                    <w:t>污染物名称</w:t>
                  </w:r>
                </w:p>
              </w:tc>
              <w:tc>
                <w:tcPr>
                  <w:tcW w:w="2370" w:type="dxa"/>
                  <w:vAlign w:val="center"/>
                </w:tcPr>
                <w:p w14:paraId="545F498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排放限值</w:t>
                  </w:r>
                  <w:r>
                    <w:rPr>
                      <w:rFonts w:hint="default" w:ascii="Times New Roman" w:hAnsi="Times New Roman" w:cs="Times New Roman"/>
                      <w:b/>
                      <w:bCs/>
                      <w:color w:val="auto"/>
                      <w:sz w:val="21"/>
                      <w:szCs w:val="21"/>
                      <w:lang w:eastAsia="zh-CN"/>
                    </w:rPr>
                    <w:t>（</w:t>
                  </w:r>
                  <w:r>
                    <w:rPr>
                      <w:rFonts w:hint="default" w:ascii="Times New Roman" w:hAnsi="Times New Roman" w:eastAsia="宋体" w:cs="Times New Roman"/>
                      <w:b/>
                      <w:bCs/>
                      <w:color w:val="auto"/>
                      <w:sz w:val="21"/>
                      <w:szCs w:val="21"/>
                      <w:lang w:eastAsia="zh-CN"/>
                    </w:rPr>
                    <w:t>mg/m</w:t>
                  </w:r>
                  <w:r>
                    <w:rPr>
                      <w:rFonts w:hint="default" w:ascii="Times New Roman" w:hAnsi="Times New Roman" w:eastAsia="宋体" w:cs="Times New Roman"/>
                      <w:b/>
                      <w:bCs/>
                      <w:color w:val="auto"/>
                      <w:sz w:val="21"/>
                      <w:szCs w:val="21"/>
                      <w:vertAlign w:val="superscript"/>
                      <w:lang w:eastAsia="zh-CN"/>
                    </w:rPr>
                    <w:t>3</w:t>
                  </w:r>
                  <w:r>
                    <w:rPr>
                      <w:rFonts w:hint="default" w:ascii="Times New Roman" w:hAnsi="Times New Roman" w:cs="Times New Roman"/>
                      <w:b/>
                      <w:bCs/>
                      <w:color w:val="auto"/>
                      <w:sz w:val="21"/>
                      <w:szCs w:val="21"/>
                      <w:lang w:eastAsia="zh-CN"/>
                    </w:rPr>
                    <w:t>）</w:t>
                  </w:r>
                </w:p>
              </w:tc>
              <w:tc>
                <w:tcPr>
                  <w:tcW w:w="3758" w:type="dxa"/>
                  <w:vAlign w:val="center"/>
                </w:tcPr>
                <w:p w14:paraId="23020EA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执行标准</w:t>
                  </w:r>
                </w:p>
              </w:tc>
            </w:tr>
            <w:tr w14:paraId="47DD0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1012" w:type="dxa"/>
                  <w:vAlign w:val="center"/>
                </w:tcPr>
                <w:p w14:paraId="4B1F693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cs="Times New Roman"/>
                      <w:color w:val="auto"/>
                      <w:sz w:val="21"/>
                      <w:szCs w:val="21"/>
                      <w:highlight w:val="none"/>
                      <w:lang w:val="en-US" w:eastAsia="zh-CN"/>
                    </w:rPr>
                    <w:t>粉碎</w:t>
                  </w:r>
                  <w:r>
                    <w:rPr>
                      <w:rFonts w:hint="eastAsia" w:ascii="Times New Roman" w:hAnsi="Times New Roman" w:cs="Times New Roman"/>
                      <w:color w:val="auto"/>
                      <w:sz w:val="21"/>
                      <w:szCs w:val="21"/>
                      <w:highlight w:val="none"/>
                      <w:lang w:val="en-US" w:eastAsia="zh-CN"/>
                    </w:rPr>
                    <w:t>工序</w:t>
                  </w:r>
                </w:p>
              </w:tc>
              <w:tc>
                <w:tcPr>
                  <w:tcW w:w="765" w:type="dxa"/>
                  <w:vAlign w:val="center"/>
                </w:tcPr>
                <w:p w14:paraId="5B4B3E0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15</w:t>
                  </w:r>
                  <w:r>
                    <w:rPr>
                      <w:rFonts w:hint="default" w:ascii="Times New Roman" w:hAnsi="Times New Roman" w:eastAsia="宋体" w:cs="Times New Roman"/>
                      <w:color w:val="auto"/>
                      <w:sz w:val="21"/>
                      <w:szCs w:val="21"/>
                    </w:rPr>
                    <w:t>m</w:t>
                  </w:r>
                </w:p>
              </w:tc>
              <w:tc>
                <w:tcPr>
                  <w:tcW w:w="945" w:type="dxa"/>
                  <w:vAlign w:val="center"/>
                </w:tcPr>
                <w:p w14:paraId="7E77DF2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颗粒物</w:t>
                  </w:r>
                </w:p>
              </w:tc>
              <w:tc>
                <w:tcPr>
                  <w:tcW w:w="2370" w:type="dxa"/>
                  <w:vAlign w:val="center"/>
                </w:tcPr>
                <w:p w14:paraId="56B051F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20</w:t>
                  </w:r>
                </w:p>
              </w:tc>
              <w:tc>
                <w:tcPr>
                  <w:tcW w:w="3758" w:type="dxa"/>
                  <w:vAlign w:val="center"/>
                </w:tcPr>
                <w:p w14:paraId="66DDEFC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0" w:firstLineChars="0"/>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rPr>
                    <w:t>《合成树脂工业污染物排放标准》（GB31572-2015）</w:t>
                  </w:r>
                  <w:r>
                    <w:rPr>
                      <w:rFonts w:hint="eastAsia" w:ascii="Times New Roman" w:hAnsi="Times New Roman" w:cs="Times New Roman"/>
                      <w:bCs/>
                      <w:color w:val="auto"/>
                      <w:sz w:val="21"/>
                      <w:szCs w:val="21"/>
                      <w:lang w:eastAsia="zh-CN"/>
                    </w:rPr>
                    <w:t>及修改单</w:t>
                  </w:r>
                  <w:r>
                    <w:rPr>
                      <w:rFonts w:hint="default" w:ascii="Times New Roman" w:hAnsi="Times New Roman" w:eastAsia="宋体" w:cs="Times New Roman"/>
                      <w:bCs/>
                      <w:color w:val="auto"/>
                      <w:sz w:val="21"/>
                      <w:szCs w:val="21"/>
                    </w:rPr>
                    <w:t>表5大气污染物特别排放限值</w:t>
                  </w:r>
                </w:p>
              </w:tc>
            </w:tr>
            <w:tr w14:paraId="6B144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1012" w:type="dxa"/>
                  <w:vMerge w:val="restart"/>
                  <w:vAlign w:val="center"/>
                </w:tcPr>
                <w:p w14:paraId="24423EF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注塑</w:t>
                  </w:r>
                </w:p>
              </w:tc>
              <w:tc>
                <w:tcPr>
                  <w:tcW w:w="765" w:type="dxa"/>
                  <w:vMerge w:val="restart"/>
                  <w:vAlign w:val="center"/>
                </w:tcPr>
                <w:p w14:paraId="3F0FA3A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15m</w:t>
                  </w:r>
                </w:p>
              </w:tc>
              <w:tc>
                <w:tcPr>
                  <w:tcW w:w="945" w:type="dxa"/>
                  <w:vAlign w:val="center"/>
                </w:tcPr>
                <w:p w14:paraId="7E5B69B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非甲烷总烃</w:t>
                  </w:r>
                </w:p>
              </w:tc>
              <w:tc>
                <w:tcPr>
                  <w:tcW w:w="2370" w:type="dxa"/>
                  <w:vAlign w:val="center"/>
                </w:tcPr>
                <w:p w14:paraId="3927963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60</w:t>
                  </w:r>
                  <w:r>
                    <w:rPr>
                      <w:rFonts w:hint="default" w:ascii="Times New Roman" w:hAnsi="Times New Roman" w:cs="Times New Roman"/>
                      <w:color w:val="auto"/>
                      <w:sz w:val="21"/>
                      <w:szCs w:val="21"/>
                      <w:lang w:val="en-US" w:eastAsia="zh-CN"/>
                    </w:rPr>
                    <w:t>（最低去除效率90%）</w:t>
                  </w:r>
                </w:p>
              </w:tc>
              <w:tc>
                <w:tcPr>
                  <w:tcW w:w="3758" w:type="dxa"/>
                  <w:vAlign w:val="center"/>
                </w:tcPr>
                <w:p w14:paraId="5F0156F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rPr>
                    <w:t>《合成树脂工业污染物排放标准》（GB31572-2015）</w:t>
                  </w:r>
                  <w:r>
                    <w:rPr>
                      <w:rFonts w:hint="eastAsia" w:ascii="Times New Roman" w:hAnsi="Times New Roman" w:cs="Times New Roman"/>
                      <w:bCs/>
                      <w:color w:val="auto"/>
                      <w:sz w:val="21"/>
                      <w:szCs w:val="21"/>
                      <w:lang w:eastAsia="zh-CN"/>
                    </w:rPr>
                    <w:t>及修改单</w:t>
                  </w:r>
                  <w:r>
                    <w:rPr>
                      <w:rFonts w:hint="default" w:ascii="Times New Roman" w:hAnsi="Times New Roman" w:eastAsia="宋体" w:cs="Times New Roman"/>
                      <w:bCs/>
                      <w:color w:val="auto"/>
                      <w:sz w:val="21"/>
                      <w:szCs w:val="21"/>
                    </w:rPr>
                    <w:t>表5大气污染物特别排放限值</w:t>
                  </w:r>
                  <w:r>
                    <w:rPr>
                      <w:rFonts w:hint="default" w:ascii="Times New Roman" w:hAnsi="Times New Roman" w:cs="Times New Roman"/>
                      <w:bCs/>
                      <w:color w:val="auto"/>
                      <w:sz w:val="21"/>
                      <w:szCs w:val="21"/>
                      <w:lang w:eastAsia="zh-CN"/>
                    </w:rPr>
                    <w:t>、</w:t>
                  </w:r>
                  <w:r>
                    <w:rPr>
                      <w:rFonts w:hint="default" w:ascii="Times New Roman" w:hAnsi="Times New Roman" w:eastAsia="宋体" w:cs="Times New Roman"/>
                      <w:bCs/>
                      <w:color w:val="auto"/>
                      <w:sz w:val="21"/>
                      <w:szCs w:val="21"/>
                    </w:rPr>
                    <w:t>《工业企业挥发性有机物排放控制标准》（DB13/2322-2016）表1有机化工行业</w:t>
                  </w:r>
                </w:p>
              </w:tc>
            </w:tr>
            <w:tr w14:paraId="5E725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1012" w:type="dxa"/>
                  <w:vMerge w:val="continue"/>
                  <w:vAlign w:val="center"/>
                </w:tcPr>
                <w:p w14:paraId="686BD51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765" w:type="dxa"/>
                  <w:vMerge w:val="continue"/>
                  <w:vAlign w:val="center"/>
                </w:tcPr>
                <w:p w14:paraId="53DD4A2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945" w:type="dxa"/>
                  <w:vAlign w:val="center"/>
                </w:tcPr>
                <w:p w14:paraId="3EE87D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臭气</w:t>
                  </w:r>
                </w:p>
                <w:p w14:paraId="5023C2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rPr>
                      <w:rFonts w:hint="eastAsia"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浓度</w:t>
                  </w:r>
                </w:p>
              </w:tc>
              <w:tc>
                <w:tcPr>
                  <w:tcW w:w="2370" w:type="dxa"/>
                  <w:vAlign w:val="center"/>
                </w:tcPr>
                <w:p w14:paraId="65E9212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2000</w:t>
                  </w:r>
                </w:p>
                <w:p w14:paraId="6889F1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无量纲</w:t>
                  </w:r>
                </w:p>
              </w:tc>
              <w:tc>
                <w:tcPr>
                  <w:tcW w:w="3758" w:type="dxa"/>
                  <w:vAlign w:val="center"/>
                </w:tcPr>
                <w:p w14:paraId="2A7B92F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cs="Times New Roman"/>
                      <w:color w:val="auto"/>
                      <w:sz w:val="21"/>
                      <w:szCs w:val="21"/>
                      <w:lang w:val="en-US" w:eastAsia="zh-CN"/>
                    </w:rPr>
                    <w:t>《恶臭污染物排放标准》（GB14554-93）表2排放限值</w:t>
                  </w:r>
                </w:p>
              </w:tc>
            </w:tr>
            <w:tr w14:paraId="768BA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1012" w:type="dxa"/>
                  <w:vMerge w:val="restart"/>
                  <w:vAlign w:val="center"/>
                </w:tcPr>
                <w:p w14:paraId="40314A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无组织</w:t>
                  </w:r>
                </w:p>
              </w:tc>
              <w:tc>
                <w:tcPr>
                  <w:tcW w:w="765" w:type="dxa"/>
                  <w:vMerge w:val="restart"/>
                  <w:vAlign w:val="center"/>
                </w:tcPr>
                <w:p w14:paraId="153225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45" w:type="dxa"/>
                  <w:vAlign w:val="center"/>
                </w:tcPr>
                <w:p w14:paraId="5F90ED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颗粒物</w:t>
                  </w:r>
                </w:p>
              </w:tc>
              <w:tc>
                <w:tcPr>
                  <w:tcW w:w="2370" w:type="dxa"/>
                  <w:vAlign w:val="center"/>
                </w:tcPr>
                <w:p w14:paraId="0EC7320C">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1.</w:t>
                  </w:r>
                  <w:r>
                    <w:rPr>
                      <w:rFonts w:hint="default" w:ascii="Times New Roman" w:hAnsi="Times New Roman" w:eastAsia="宋体" w:cs="Times New Roman"/>
                      <w:color w:val="auto"/>
                      <w:sz w:val="21"/>
                      <w:szCs w:val="21"/>
                      <w:lang w:val="en-US" w:eastAsia="zh-CN"/>
                    </w:rPr>
                    <w:t>0</w:t>
                  </w:r>
                </w:p>
              </w:tc>
              <w:tc>
                <w:tcPr>
                  <w:tcW w:w="3758" w:type="dxa"/>
                  <w:vAlign w:val="center"/>
                </w:tcPr>
                <w:p w14:paraId="361885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《合成树脂工业污染物排放标准》（GB31572-2015）</w:t>
                  </w:r>
                  <w:r>
                    <w:rPr>
                      <w:rFonts w:hint="eastAsia" w:ascii="Times New Roman" w:hAnsi="Times New Roman" w:cs="Times New Roman"/>
                      <w:bCs/>
                      <w:color w:val="auto"/>
                      <w:sz w:val="21"/>
                      <w:szCs w:val="21"/>
                      <w:lang w:eastAsia="zh-CN"/>
                    </w:rPr>
                    <w:t>及修改单</w:t>
                  </w:r>
                  <w:r>
                    <w:rPr>
                      <w:rFonts w:hint="default" w:ascii="Times New Roman" w:hAnsi="Times New Roman" w:eastAsia="宋体" w:cs="Times New Roman"/>
                      <w:bCs/>
                      <w:color w:val="auto"/>
                      <w:sz w:val="21"/>
                      <w:szCs w:val="21"/>
                    </w:rPr>
                    <w:t>表9企业边界大气污染物浓度限值</w:t>
                  </w:r>
                </w:p>
              </w:tc>
            </w:tr>
            <w:tr w14:paraId="5A95A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1012" w:type="dxa"/>
                  <w:vMerge w:val="continue"/>
                  <w:vAlign w:val="center"/>
                </w:tcPr>
                <w:p w14:paraId="092F07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0" w:firstLineChars="0"/>
                    <w:jc w:val="center"/>
                    <w:textAlignment w:val="auto"/>
                    <w:rPr>
                      <w:rFonts w:hint="default" w:ascii="Times New Roman" w:hAnsi="Times New Roman" w:eastAsia="宋体" w:cs="Times New Roman"/>
                      <w:color w:val="auto"/>
                      <w:sz w:val="21"/>
                      <w:szCs w:val="21"/>
                    </w:rPr>
                  </w:pPr>
                </w:p>
              </w:tc>
              <w:tc>
                <w:tcPr>
                  <w:tcW w:w="765" w:type="dxa"/>
                  <w:vMerge w:val="continue"/>
                  <w:vAlign w:val="center"/>
                </w:tcPr>
                <w:p w14:paraId="510B4A1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0" w:firstLineChars="0"/>
                    <w:jc w:val="center"/>
                    <w:textAlignment w:val="auto"/>
                    <w:rPr>
                      <w:rFonts w:hint="default" w:ascii="Times New Roman" w:hAnsi="Times New Roman" w:eastAsia="宋体" w:cs="Times New Roman"/>
                      <w:color w:val="auto"/>
                      <w:sz w:val="21"/>
                      <w:szCs w:val="21"/>
                    </w:rPr>
                  </w:pPr>
                </w:p>
              </w:tc>
              <w:tc>
                <w:tcPr>
                  <w:tcW w:w="945" w:type="dxa"/>
                  <w:vMerge w:val="restart"/>
                  <w:vAlign w:val="center"/>
                </w:tcPr>
                <w:p w14:paraId="0869E9B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非甲烷总烃</w:t>
                  </w:r>
                </w:p>
              </w:tc>
              <w:tc>
                <w:tcPr>
                  <w:tcW w:w="2370" w:type="dxa"/>
                  <w:vAlign w:val="center"/>
                </w:tcPr>
                <w:p w14:paraId="25666B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Cs/>
                      <w:color w:val="auto"/>
                      <w:sz w:val="21"/>
                      <w:szCs w:val="21"/>
                      <w:lang w:val="en-US" w:eastAsia="zh-CN"/>
                    </w:rPr>
                    <w:t>2.0（厂界）</w:t>
                  </w:r>
                </w:p>
              </w:tc>
              <w:tc>
                <w:tcPr>
                  <w:tcW w:w="3758" w:type="dxa"/>
                  <w:vAlign w:val="center"/>
                </w:tcPr>
                <w:p w14:paraId="77DE3B9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rPr>
                    <w:t>《工业企业挥发性有机物排放控制标准》（DB13/2322-2016）</w:t>
                  </w:r>
                  <w:r>
                    <w:rPr>
                      <w:rFonts w:hint="default" w:ascii="Times New Roman" w:hAnsi="Times New Roman" w:eastAsia="宋体" w:cs="Times New Roman"/>
                      <w:color w:val="auto"/>
                      <w:sz w:val="21"/>
                      <w:szCs w:val="21"/>
                    </w:rPr>
                    <w:t>表2其他企业标准限值</w:t>
                  </w:r>
                </w:p>
              </w:tc>
            </w:tr>
            <w:tr w14:paraId="1270E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1012" w:type="dxa"/>
                  <w:vMerge w:val="continue"/>
                  <w:vAlign w:val="center"/>
                </w:tcPr>
                <w:p w14:paraId="14F9E4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0" w:firstLineChars="0"/>
                    <w:jc w:val="center"/>
                    <w:textAlignment w:val="auto"/>
                    <w:rPr>
                      <w:rFonts w:hint="default" w:ascii="Times New Roman" w:hAnsi="Times New Roman" w:eastAsia="宋体" w:cs="Times New Roman"/>
                      <w:color w:val="auto"/>
                      <w:sz w:val="21"/>
                      <w:szCs w:val="21"/>
                    </w:rPr>
                  </w:pPr>
                </w:p>
              </w:tc>
              <w:tc>
                <w:tcPr>
                  <w:tcW w:w="765" w:type="dxa"/>
                  <w:vMerge w:val="continue"/>
                  <w:vAlign w:val="center"/>
                </w:tcPr>
                <w:p w14:paraId="7BB48E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0" w:firstLineChars="0"/>
                    <w:jc w:val="center"/>
                    <w:textAlignment w:val="auto"/>
                    <w:rPr>
                      <w:rFonts w:hint="default" w:ascii="Times New Roman" w:hAnsi="Times New Roman" w:eastAsia="宋体" w:cs="Times New Roman"/>
                      <w:color w:val="auto"/>
                      <w:sz w:val="21"/>
                      <w:szCs w:val="21"/>
                    </w:rPr>
                  </w:pPr>
                </w:p>
              </w:tc>
              <w:tc>
                <w:tcPr>
                  <w:tcW w:w="945" w:type="dxa"/>
                  <w:vMerge w:val="continue"/>
                  <w:vAlign w:val="center"/>
                </w:tcPr>
                <w:p w14:paraId="6817F1F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firstLine="0" w:firstLineChars="0"/>
                    <w:jc w:val="center"/>
                    <w:textAlignment w:val="auto"/>
                    <w:rPr>
                      <w:rFonts w:hint="default" w:ascii="Times New Roman" w:hAnsi="Times New Roman" w:eastAsia="宋体" w:cs="Times New Roman"/>
                      <w:color w:val="auto"/>
                      <w:sz w:val="21"/>
                      <w:szCs w:val="21"/>
                    </w:rPr>
                  </w:pPr>
                </w:p>
              </w:tc>
              <w:tc>
                <w:tcPr>
                  <w:tcW w:w="2370" w:type="dxa"/>
                  <w:vAlign w:val="center"/>
                </w:tcPr>
                <w:p w14:paraId="15E3E46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Cs/>
                      <w:color w:val="auto"/>
                      <w:sz w:val="21"/>
                      <w:szCs w:val="21"/>
                      <w:lang w:val="en-US" w:eastAsia="zh-CN"/>
                    </w:rPr>
                    <w:t>6.0（厂区内任意一点1h平均浓度值）</w:t>
                  </w:r>
                </w:p>
              </w:tc>
              <w:tc>
                <w:tcPr>
                  <w:tcW w:w="3758" w:type="dxa"/>
                  <w:vMerge w:val="restart"/>
                  <w:vAlign w:val="center"/>
                </w:tcPr>
                <w:p w14:paraId="5C2286B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color w:val="auto"/>
                      <w:sz w:val="21"/>
                      <w:szCs w:val="21"/>
                    </w:rPr>
                    <w:t>《挥发性有机物无组织排放控制标准》（GB37822-2019）附录A.1标准</w:t>
                  </w:r>
                </w:p>
              </w:tc>
            </w:tr>
            <w:tr w14:paraId="74653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1012" w:type="dxa"/>
                  <w:vMerge w:val="continue"/>
                  <w:vAlign w:val="center"/>
                </w:tcPr>
                <w:p w14:paraId="3330E5E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0" w:firstLineChars="0"/>
                    <w:jc w:val="center"/>
                    <w:textAlignment w:val="auto"/>
                    <w:rPr>
                      <w:rFonts w:hint="default" w:ascii="Times New Roman" w:hAnsi="Times New Roman" w:eastAsia="宋体" w:cs="Times New Roman"/>
                      <w:color w:val="auto"/>
                      <w:sz w:val="21"/>
                      <w:szCs w:val="21"/>
                    </w:rPr>
                  </w:pPr>
                </w:p>
              </w:tc>
              <w:tc>
                <w:tcPr>
                  <w:tcW w:w="765" w:type="dxa"/>
                  <w:vMerge w:val="continue"/>
                  <w:vAlign w:val="center"/>
                </w:tcPr>
                <w:p w14:paraId="79D01E9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0" w:firstLineChars="0"/>
                    <w:jc w:val="center"/>
                    <w:textAlignment w:val="auto"/>
                    <w:rPr>
                      <w:rFonts w:hint="default" w:ascii="Times New Roman" w:hAnsi="Times New Roman" w:eastAsia="宋体" w:cs="Times New Roman"/>
                      <w:color w:val="auto"/>
                      <w:sz w:val="21"/>
                      <w:szCs w:val="21"/>
                    </w:rPr>
                  </w:pPr>
                </w:p>
              </w:tc>
              <w:tc>
                <w:tcPr>
                  <w:tcW w:w="945" w:type="dxa"/>
                  <w:vMerge w:val="continue"/>
                  <w:vAlign w:val="center"/>
                </w:tcPr>
                <w:p w14:paraId="2139F0C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firstLine="0" w:firstLineChars="0"/>
                    <w:jc w:val="center"/>
                    <w:textAlignment w:val="auto"/>
                    <w:rPr>
                      <w:rFonts w:hint="default" w:ascii="Times New Roman" w:hAnsi="Times New Roman" w:eastAsia="宋体" w:cs="Times New Roman"/>
                      <w:color w:val="auto"/>
                      <w:sz w:val="21"/>
                      <w:szCs w:val="21"/>
                    </w:rPr>
                  </w:pPr>
                </w:p>
              </w:tc>
              <w:tc>
                <w:tcPr>
                  <w:tcW w:w="2370" w:type="dxa"/>
                  <w:vAlign w:val="center"/>
                </w:tcPr>
                <w:p w14:paraId="621D033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bCs/>
                      <w:color w:val="auto"/>
                      <w:sz w:val="21"/>
                      <w:szCs w:val="21"/>
                      <w:lang w:val="en-US" w:eastAsia="zh-CN"/>
                    </w:rPr>
                    <w:t>20</w:t>
                  </w:r>
                  <w:r>
                    <w:rPr>
                      <w:rFonts w:hint="default" w:ascii="Times New Roman" w:hAnsi="Times New Roman" w:eastAsia="宋体" w:cs="Times New Roman"/>
                      <w:bCs/>
                      <w:color w:val="auto"/>
                      <w:sz w:val="21"/>
                      <w:szCs w:val="21"/>
                      <w:lang w:val="en-US" w:eastAsia="zh-CN"/>
                    </w:rPr>
                    <w:t>厂区（内任意一点任意一次浓度值）</w:t>
                  </w:r>
                </w:p>
              </w:tc>
              <w:tc>
                <w:tcPr>
                  <w:tcW w:w="3758" w:type="dxa"/>
                  <w:vMerge w:val="continue"/>
                  <w:vAlign w:val="center"/>
                </w:tcPr>
                <w:p w14:paraId="6D4E47F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0" w:firstLineChars="0"/>
                    <w:jc w:val="center"/>
                    <w:textAlignment w:val="auto"/>
                    <w:rPr>
                      <w:rFonts w:hint="default" w:ascii="Times New Roman" w:hAnsi="Times New Roman" w:eastAsia="宋体" w:cs="Times New Roman"/>
                      <w:bCs/>
                      <w:color w:val="auto"/>
                      <w:sz w:val="21"/>
                      <w:szCs w:val="21"/>
                    </w:rPr>
                  </w:pPr>
                </w:p>
              </w:tc>
            </w:tr>
            <w:tr w14:paraId="67657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1012" w:type="dxa"/>
                  <w:vMerge w:val="continue"/>
                  <w:vAlign w:val="center"/>
                </w:tcPr>
                <w:p w14:paraId="30B0A4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0" w:firstLineChars="0"/>
                    <w:jc w:val="center"/>
                    <w:textAlignment w:val="auto"/>
                    <w:rPr>
                      <w:rFonts w:hint="default" w:ascii="Times New Roman" w:hAnsi="Times New Roman" w:eastAsia="宋体" w:cs="Times New Roman"/>
                      <w:color w:val="auto"/>
                      <w:sz w:val="21"/>
                      <w:szCs w:val="21"/>
                    </w:rPr>
                  </w:pPr>
                </w:p>
              </w:tc>
              <w:tc>
                <w:tcPr>
                  <w:tcW w:w="765" w:type="dxa"/>
                  <w:vMerge w:val="continue"/>
                  <w:vAlign w:val="center"/>
                </w:tcPr>
                <w:p w14:paraId="2AE4E41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0" w:firstLineChars="0"/>
                    <w:jc w:val="center"/>
                    <w:textAlignment w:val="auto"/>
                    <w:rPr>
                      <w:rFonts w:hint="default" w:ascii="Times New Roman" w:hAnsi="Times New Roman" w:eastAsia="宋体" w:cs="Times New Roman"/>
                      <w:color w:val="auto"/>
                      <w:sz w:val="21"/>
                      <w:szCs w:val="21"/>
                    </w:rPr>
                  </w:pPr>
                </w:p>
              </w:tc>
              <w:tc>
                <w:tcPr>
                  <w:tcW w:w="945" w:type="dxa"/>
                  <w:shd w:val="clear" w:color="auto" w:fill="auto"/>
                  <w:vAlign w:val="center"/>
                </w:tcPr>
                <w:p w14:paraId="1FD69E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臭气</w:t>
                  </w:r>
                </w:p>
                <w:p w14:paraId="56ED393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cs="Times New Roman"/>
                      <w:color w:val="auto"/>
                      <w:sz w:val="21"/>
                      <w:szCs w:val="21"/>
                      <w:lang w:eastAsia="zh-CN"/>
                    </w:rPr>
                    <w:t>浓度</w:t>
                  </w:r>
                </w:p>
              </w:tc>
              <w:tc>
                <w:tcPr>
                  <w:tcW w:w="2370" w:type="dxa"/>
                  <w:shd w:val="clear" w:color="auto" w:fill="auto"/>
                  <w:vAlign w:val="center"/>
                </w:tcPr>
                <w:p w14:paraId="36F483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cs="Times New Roman"/>
                      <w:color w:val="auto"/>
                      <w:sz w:val="21"/>
                      <w:szCs w:val="21"/>
                      <w:lang w:val="en-US" w:eastAsia="zh-CN"/>
                    </w:rPr>
                    <w:t>20</w:t>
                  </w:r>
                </w:p>
              </w:tc>
              <w:tc>
                <w:tcPr>
                  <w:tcW w:w="3758" w:type="dxa"/>
                  <w:shd w:val="clear" w:color="auto" w:fill="auto"/>
                  <w:vAlign w:val="center"/>
                </w:tcPr>
                <w:p w14:paraId="764DAB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cs="Times New Roman"/>
                      <w:color w:val="auto"/>
                      <w:sz w:val="21"/>
                      <w:szCs w:val="21"/>
                      <w:lang w:eastAsia="zh-CN"/>
                    </w:rPr>
                    <w:t>《恶臭污染物排放标准》（GB14554-93）表1排放限值</w:t>
                  </w:r>
                </w:p>
              </w:tc>
            </w:tr>
            <w:tr w14:paraId="0E233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8850" w:type="dxa"/>
                  <w:gridSpan w:val="5"/>
                  <w:vAlign w:val="center"/>
                </w:tcPr>
                <w:p w14:paraId="54666E6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注：当在排气筒去除效率不满足要求的情况下执行</w:t>
                  </w:r>
                  <w:r>
                    <w:rPr>
                      <w:rFonts w:hint="default" w:ascii="Times New Roman" w:hAnsi="Times New Roman" w:eastAsia="宋体" w:cs="Times New Roman"/>
                      <w:bCs/>
                      <w:color w:val="000000" w:themeColor="text1"/>
                      <w:sz w:val="21"/>
                      <w:szCs w:val="21"/>
                      <w14:textFill>
                        <w14:solidFill>
                          <w14:schemeClr w14:val="tx1"/>
                        </w14:solidFill>
                      </w14:textFill>
                    </w:rPr>
                    <w:t>《工业企业挥发性有机物排放控制标准》（DB13/2322-2016）</w:t>
                  </w:r>
                  <w:r>
                    <w:rPr>
                      <w:rFonts w:hint="default" w:ascii="Times New Roman" w:hAnsi="Times New Roman" w:cs="Times New Roman"/>
                      <w:color w:val="000000" w:themeColor="text1"/>
                      <w:sz w:val="21"/>
                      <w:szCs w:val="21"/>
                      <w:lang w:eastAsia="zh-CN"/>
                      <w14:textFill>
                        <w14:solidFill>
                          <w14:schemeClr w14:val="tx1"/>
                        </w14:solidFill>
                      </w14:textFill>
                    </w:rPr>
                    <w:t>表3生产车间或生产设备边界大气污染物浓度限值（非甲烷总烃≤</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4.0</w:t>
                  </w:r>
                  <w:r>
                    <w:rPr>
                      <w:rFonts w:hint="default" w:ascii="Times New Roman" w:hAnsi="Times New Roman" w:eastAsia="宋体" w:cs="Times New Roman"/>
                      <w:b w:val="0"/>
                      <w:bCs w:val="0"/>
                      <w:color w:val="000000" w:themeColor="text1"/>
                      <w:sz w:val="21"/>
                      <w:szCs w:val="21"/>
                      <w:lang w:eastAsia="zh-CN"/>
                      <w14:textFill>
                        <w14:solidFill>
                          <w14:schemeClr w14:val="tx1"/>
                        </w14:solidFill>
                      </w14:textFill>
                    </w:rPr>
                    <w:t>mg/m</w:t>
                  </w:r>
                  <w:r>
                    <w:rPr>
                      <w:rFonts w:hint="default" w:ascii="Times New Roman" w:hAnsi="Times New Roman" w:eastAsia="宋体" w:cs="Times New Roman"/>
                      <w:b w:val="0"/>
                      <w:bCs w:val="0"/>
                      <w:color w:val="000000" w:themeColor="text1"/>
                      <w:sz w:val="21"/>
                      <w:szCs w:val="21"/>
                      <w:vertAlign w:val="superscript"/>
                      <w:lang w:eastAsia="zh-CN"/>
                      <w14:textFill>
                        <w14:solidFill>
                          <w14:schemeClr w14:val="tx1"/>
                        </w14:solidFill>
                      </w14:textFill>
                    </w:rPr>
                    <w:t>3</w:t>
                  </w:r>
                  <w:r>
                    <w:rPr>
                      <w:rFonts w:hint="default" w:ascii="Times New Roman" w:hAnsi="Times New Roman" w:cs="Times New Roman"/>
                      <w:b w:val="0"/>
                      <w:bCs w:val="0"/>
                      <w:color w:val="000000" w:themeColor="text1"/>
                      <w:sz w:val="21"/>
                      <w:szCs w:val="21"/>
                      <w:lang w:eastAsia="zh-CN"/>
                      <w14:textFill>
                        <w14:solidFill>
                          <w14:schemeClr w14:val="tx1"/>
                        </w14:solidFill>
                      </w14:textFill>
                    </w:rPr>
                    <w:t>）</w:t>
                  </w:r>
                </w:p>
              </w:tc>
            </w:tr>
            <w:tr w14:paraId="13DB7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8850" w:type="dxa"/>
                  <w:gridSpan w:val="5"/>
                  <w:vAlign w:val="center"/>
                </w:tcPr>
                <w:p w14:paraId="159B219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right="0"/>
                    <w:jc w:val="both"/>
                    <w:textAlignment w:val="baseline"/>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注：《合成树脂工业污染物排放标准》（GB31572-2015）</w:t>
                  </w:r>
                  <w:r>
                    <w:rPr>
                      <w:rFonts w:hint="default" w:ascii="Times New Roman" w:hAnsi="Times New Roman" w:cs="Times New Roman"/>
                      <w:bCs/>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5.4.2合成树脂企业产生大气污染物的生产工艺和装置需设立局部或整体气体收集系统和净化处理装置，达标排放。排气筒高度应按环境影响评价要求确定，且至少</w:t>
                  </w: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不低于15m</w:t>
                  </w:r>
                  <w:r>
                    <w:rPr>
                      <w:rFonts w:hint="default" w:ascii="Times New Roman" w:hAnsi="Times New Roman" w:cs="Times New Roman"/>
                      <w:bCs/>
                      <w:color w:val="000000" w:themeColor="text1"/>
                      <w:sz w:val="21"/>
                      <w:szCs w:val="21"/>
                      <w:highlight w:val="none"/>
                      <w:lang w:val="en-US" w:eastAsia="zh-CN"/>
                      <w14:textFill>
                        <w14:solidFill>
                          <w14:schemeClr w14:val="tx1"/>
                        </w14:solidFill>
                      </w14:textFill>
                    </w:rPr>
                    <w:t>”</w:t>
                  </w: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。本项目排气筒高度15米，设计高度满足该标准高度要求。</w:t>
                  </w:r>
                </w:p>
                <w:p w14:paraId="00BE3E3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right="0"/>
                    <w:jc w:val="both"/>
                    <w:textAlignment w:val="baseline"/>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highlight w:val="none"/>
                      <w:lang w:val="en-US" w:eastAsia="zh-CN"/>
                      <w14:textFill>
                        <w14:solidFill>
                          <w14:schemeClr w14:val="tx1"/>
                        </w14:solidFill>
                      </w14:textFill>
                    </w:rPr>
                    <w:t>注：</w:t>
                  </w: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《工业企业挥发性有机物排放控制标准》（DB13/2322-2016）“4.1.7企业排气筒高度一般不应低于15m，排气筒高度应高出200m半径范围内最高建筑5m以上，高度达不到规定时，按排放限值的50%执行”，</w:t>
                  </w:r>
                  <w:r>
                    <w:rPr>
                      <w:rFonts w:hint="eastAsia" w:ascii="Times New Roman" w:hAnsi="Times New Roman" w:cs="Times New Roman"/>
                      <w:bCs/>
                      <w:color w:val="000000" w:themeColor="text1"/>
                      <w:sz w:val="21"/>
                      <w:szCs w:val="21"/>
                      <w:highlight w:val="none"/>
                      <w:lang w:val="en-US" w:eastAsia="zh-CN"/>
                      <w14:textFill>
                        <w14:solidFill>
                          <w14:schemeClr w14:val="tx1"/>
                        </w14:solidFill>
                      </w14:textFill>
                    </w:rPr>
                    <w:t>本项目周围200m范围内最高建筑高度为8m，</w:t>
                  </w: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本项目排气筒设计高度为15m达到该标准高度要求</w:t>
                  </w:r>
                  <w:r>
                    <w:rPr>
                      <w:rFonts w:hint="eastAsia" w:ascii="Times New Roman" w:hAnsi="Times New Roman" w:cs="Times New Roman"/>
                      <w:bCs/>
                      <w:color w:val="000000" w:themeColor="text1"/>
                      <w:sz w:val="21"/>
                      <w:szCs w:val="21"/>
                      <w:highlight w:val="none"/>
                      <w:lang w:val="en-US" w:eastAsia="zh-CN"/>
                      <w14:textFill>
                        <w14:solidFill>
                          <w14:schemeClr w14:val="tx1"/>
                        </w14:solidFill>
                      </w14:textFill>
                    </w:rPr>
                    <w:t>。</w:t>
                  </w:r>
                </w:p>
              </w:tc>
            </w:tr>
          </w:tbl>
          <w:p w14:paraId="7A251B6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both"/>
              <w:textAlignment w:val="baseline"/>
              <w:rPr>
                <w:rFonts w:hint="default" w:ascii="Times New Roman" w:hAnsi="Times New Roman" w:eastAsia="宋体" w:cs="Times New Roman"/>
                <w:color w:val="auto"/>
                <w:sz w:val="24"/>
                <w:szCs w:val="24"/>
              </w:rPr>
            </w:pPr>
            <w:r>
              <w:rPr>
                <w:rFonts w:hint="default" w:ascii="Times New Roman" w:hAnsi="Times New Roman" w:cs="Times New Roman"/>
                <w:b/>
                <w:bCs/>
                <w:color w:val="auto"/>
                <w:sz w:val="24"/>
                <w:szCs w:val="24"/>
                <w:lang w:val="en-US" w:eastAsia="zh-CN"/>
              </w:rPr>
              <w:t>（二）</w:t>
            </w:r>
            <w:r>
              <w:rPr>
                <w:rFonts w:hint="default" w:ascii="Times New Roman" w:hAnsi="Times New Roman" w:eastAsia="宋体" w:cs="Times New Roman"/>
                <w:b/>
                <w:bCs/>
                <w:color w:val="auto"/>
                <w:sz w:val="24"/>
                <w:szCs w:val="24"/>
                <w:lang w:eastAsia="zh-CN"/>
              </w:rPr>
              <w:t>废水</w:t>
            </w:r>
            <w:r>
              <w:rPr>
                <w:rFonts w:hint="default" w:ascii="Times New Roman" w:hAnsi="Times New Roman" w:eastAsia="宋体" w:cs="Times New Roman"/>
                <w:b/>
                <w:bCs/>
                <w:color w:val="auto"/>
                <w:sz w:val="24"/>
                <w:szCs w:val="24"/>
              </w:rPr>
              <w:t>排放标准</w:t>
            </w:r>
          </w:p>
          <w:p w14:paraId="335E1EA8">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00" w:lineRule="exact"/>
              <w:ind w:left="0" w:right="0" w:rightChars="0" w:firstLine="480" w:firstLineChars="200"/>
              <w:jc w:val="both"/>
              <w:textAlignment w:val="auto"/>
              <w:outlineLvl w:val="9"/>
              <w:rPr>
                <w:rFonts w:hint="default" w:ascii="Times New Roman" w:hAnsi="Times New Roman" w:eastAsia="宋体" w:cs="Times New Roman"/>
                <w:color w:val="auto"/>
                <w:sz w:val="24"/>
                <w:szCs w:val="24"/>
                <w:highlight w:val="yellow"/>
              </w:rPr>
            </w:pPr>
            <w:r>
              <w:rPr>
                <w:rFonts w:hint="default" w:ascii="Times New Roman" w:hAnsi="Times New Roman" w:cs="Times New Roman"/>
                <w:color w:val="auto"/>
                <w:sz w:val="24"/>
                <w:szCs w:val="24"/>
                <w:lang w:eastAsia="zh-CN"/>
              </w:rPr>
              <w:t>本</w:t>
            </w:r>
            <w:r>
              <w:rPr>
                <w:rFonts w:hint="default" w:ascii="Times New Roman" w:hAnsi="Times New Roman" w:eastAsia="宋体" w:cs="Times New Roman"/>
                <w:color w:val="auto"/>
                <w:kern w:val="0"/>
                <w:sz w:val="24"/>
                <w:szCs w:val="24"/>
                <w:highlight w:val="none"/>
                <w:lang w:eastAsia="zh-CN"/>
              </w:rPr>
              <w:t>项目</w:t>
            </w:r>
            <w:r>
              <w:rPr>
                <w:rFonts w:hint="default" w:ascii="Times New Roman" w:hAnsi="Times New Roman" w:eastAsia="宋体" w:cs="Times New Roman"/>
                <w:color w:val="auto"/>
                <w:kern w:val="0"/>
                <w:sz w:val="24"/>
                <w:szCs w:val="24"/>
                <w:highlight w:val="none"/>
                <w:lang w:val="en-US" w:eastAsia="zh-CN"/>
              </w:rPr>
              <w:t>生活污水排入</w:t>
            </w:r>
            <w:r>
              <w:rPr>
                <w:rFonts w:hint="eastAsia" w:ascii="Times New Roman" w:hAnsi="Times New Roman" w:cs="Times New Roman"/>
                <w:color w:val="auto"/>
                <w:kern w:val="0"/>
                <w:sz w:val="24"/>
                <w:szCs w:val="24"/>
                <w:highlight w:val="none"/>
                <w:lang w:val="en-US" w:eastAsia="zh-CN"/>
              </w:rPr>
              <w:t>化粪池</w:t>
            </w:r>
            <w:r>
              <w:rPr>
                <w:rFonts w:hint="default" w:ascii="Times New Roman" w:hAnsi="Times New Roman" w:eastAsia="宋体" w:cs="Times New Roman"/>
                <w:color w:val="auto"/>
                <w:kern w:val="0"/>
                <w:sz w:val="24"/>
                <w:szCs w:val="24"/>
                <w:highlight w:val="none"/>
                <w:lang w:val="en-US" w:eastAsia="zh-CN"/>
              </w:rPr>
              <w:t>，定期清掏</w:t>
            </w:r>
            <w:r>
              <w:rPr>
                <w:rFonts w:hint="eastAsia" w:ascii="Times New Roman" w:hAnsi="Times New Roman" w:cs="Times New Roman"/>
                <w:color w:val="auto"/>
                <w:kern w:val="0"/>
                <w:sz w:val="24"/>
                <w:szCs w:val="24"/>
                <w:highlight w:val="none"/>
                <w:lang w:val="en-US" w:eastAsia="zh-CN"/>
              </w:rPr>
              <w:t>不外排。</w:t>
            </w:r>
            <w:r>
              <w:rPr>
                <w:rFonts w:hint="default" w:ascii="Times New Roman" w:hAnsi="Times New Roman" w:eastAsia="宋体" w:cs="Times New Roman"/>
                <w:color w:val="auto"/>
                <w:kern w:val="0"/>
                <w:sz w:val="24"/>
                <w:szCs w:val="24"/>
                <w:highlight w:val="none"/>
                <w:lang w:val="en-US" w:eastAsia="zh-CN"/>
              </w:rPr>
              <w:t>冷却用水循环使用不外排</w:t>
            </w:r>
            <w:r>
              <w:rPr>
                <w:rFonts w:hint="default" w:ascii="Times New Roman" w:hAnsi="Times New Roman" w:eastAsia="宋体" w:cs="Times New Roman"/>
                <w:color w:val="auto"/>
                <w:kern w:val="0"/>
                <w:sz w:val="24"/>
                <w:szCs w:val="24"/>
                <w:highlight w:val="none"/>
                <w:lang w:eastAsia="zh-CN"/>
              </w:rPr>
              <w:t>。</w:t>
            </w:r>
          </w:p>
          <w:p w14:paraId="261E13B2">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atLeast"/>
              <w:ind w:left="0" w:right="0"/>
              <w:jc w:val="both"/>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（三）</w:t>
            </w:r>
            <w:r>
              <w:rPr>
                <w:rFonts w:hint="default" w:ascii="Times New Roman" w:hAnsi="Times New Roman" w:eastAsia="宋体" w:cs="Times New Roman"/>
                <w:b/>
                <w:bCs/>
                <w:color w:val="auto"/>
                <w:sz w:val="24"/>
                <w:szCs w:val="24"/>
                <w:lang w:val="en-US" w:eastAsia="zh-CN"/>
              </w:rPr>
              <w:t>噪声</w:t>
            </w:r>
            <w:r>
              <w:rPr>
                <w:rFonts w:hint="default" w:ascii="Times New Roman" w:hAnsi="Times New Roman" w:eastAsia="宋体" w:cs="Times New Roman"/>
                <w:b/>
                <w:bCs/>
                <w:color w:val="auto"/>
                <w:sz w:val="24"/>
                <w:szCs w:val="24"/>
              </w:rPr>
              <w:t>排放标准</w:t>
            </w:r>
          </w:p>
          <w:p w14:paraId="7028BBC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sz w:val="24"/>
                <w:szCs w:val="24"/>
                <w:highlight w:val="none"/>
              </w:rPr>
              <w:t>厂界噪声执行</w:t>
            </w:r>
            <w:r>
              <w:rPr>
                <w:rFonts w:hint="default" w:ascii="Times New Roman" w:hAnsi="Times New Roman" w:eastAsia="宋体" w:cs="Times New Roman"/>
                <w:color w:val="auto"/>
                <w:kern w:val="0"/>
                <w:sz w:val="24"/>
                <w:szCs w:val="24"/>
                <w:highlight w:val="none"/>
              </w:rPr>
              <w:t>《工业企业厂界环境噪声排放标准》（GB12348-2008）</w:t>
            </w:r>
            <w:r>
              <w:rPr>
                <w:rFonts w:hint="eastAsia" w:ascii="Times New Roman" w:hAnsi="Times New Roman" w:cs="Times New Roman"/>
                <w:color w:val="auto"/>
                <w:kern w:val="0"/>
                <w:sz w:val="24"/>
                <w:szCs w:val="24"/>
                <w:highlight w:val="none"/>
                <w:lang w:val="en-US" w:eastAsia="zh-CN"/>
              </w:rPr>
              <w:t>2类</w:t>
            </w:r>
            <w:r>
              <w:rPr>
                <w:rFonts w:hint="default" w:ascii="Times New Roman" w:hAnsi="Times New Roman" w:eastAsia="宋体" w:cs="Times New Roman"/>
                <w:color w:val="auto"/>
                <w:kern w:val="0"/>
                <w:sz w:val="24"/>
                <w:szCs w:val="24"/>
                <w:highlight w:val="none"/>
              </w:rPr>
              <w:t>标准。标准值见表</w:t>
            </w:r>
            <w:r>
              <w:rPr>
                <w:rFonts w:hint="eastAsia" w:ascii="Times New Roman" w:hAnsi="Times New Roman" w:cs="Times New Roman"/>
                <w:color w:val="auto"/>
                <w:kern w:val="0"/>
                <w:sz w:val="24"/>
                <w:szCs w:val="24"/>
                <w:highlight w:val="none"/>
                <w:lang w:val="en-US" w:eastAsia="zh-CN"/>
              </w:rPr>
              <w:t>17</w:t>
            </w:r>
            <w:r>
              <w:rPr>
                <w:rFonts w:hint="default" w:ascii="Times New Roman" w:hAnsi="Times New Roman" w:eastAsia="宋体" w:cs="Times New Roman"/>
                <w:color w:val="auto"/>
                <w:kern w:val="0"/>
                <w:sz w:val="24"/>
                <w:szCs w:val="24"/>
                <w:highlight w:val="none"/>
              </w:rPr>
              <w:t>。</w:t>
            </w:r>
          </w:p>
          <w:p w14:paraId="5779715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tLeast"/>
              <w:ind w:left="0" w:right="0" w:firstLine="0" w:firstLineChars="0"/>
              <w:jc w:val="center"/>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表</w:t>
            </w:r>
            <w:r>
              <w:rPr>
                <w:rFonts w:hint="eastAsia" w:ascii="Times New Roman" w:hAnsi="Times New Roman" w:cs="Times New Roman"/>
                <w:b/>
                <w:bCs/>
                <w:color w:val="auto"/>
                <w:sz w:val="24"/>
                <w:szCs w:val="24"/>
                <w:highlight w:val="none"/>
                <w:lang w:val="en-US" w:eastAsia="zh-CN"/>
              </w:rPr>
              <w:t>17</w:t>
            </w:r>
            <w:r>
              <w:rPr>
                <w:rFonts w:hint="default" w:ascii="Times New Roman" w:hAnsi="Times New Roman" w:eastAsia="宋体" w:cs="Times New Roman"/>
                <w:b/>
                <w:bCs/>
                <w:color w:val="auto"/>
                <w:sz w:val="24"/>
                <w:szCs w:val="24"/>
                <w:highlight w:val="none"/>
                <w:lang w:val="en-US" w:eastAsia="zh-CN"/>
              </w:rPr>
              <w:t>工业企业厂界环境噪声排放标准dB</w:t>
            </w:r>
            <w:r>
              <w:rPr>
                <w:rFonts w:hint="default" w:ascii="Times New Roman" w:hAnsi="Times New Roman" w:cs="Times New Roman"/>
                <w:b/>
                <w:bCs/>
                <w:color w:val="auto"/>
                <w:sz w:val="24"/>
                <w:szCs w:val="24"/>
                <w:highlight w:val="none"/>
                <w:lang w:val="en-US" w:eastAsia="zh-CN"/>
              </w:rPr>
              <w:t>（</w:t>
            </w:r>
            <w:r>
              <w:rPr>
                <w:rFonts w:hint="default" w:ascii="Times New Roman" w:hAnsi="Times New Roman" w:eastAsia="宋体" w:cs="Times New Roman"/>
                <w:b/>
                <w:bCs/>
                <w:color w:val="auto"/>
                <w:sz w:val="24"/>
                <w:szCs w:val="24"/>
                <w:highlight w:val="none"/>
                <w:lang w:val="en-US" w:eastAsia="zh-CN"/>
              </w:rPr>
              <w:t>A</w:t>
            </w:r>
            <w:r>
              <w:rPr>
                <w:rFonts w:hint="default" w:ascii="Times New Roman" w:hAnsi="Times New Roman" w:cs="Times New Roman"/>
                <w:b/>
                <w:bCs/>
                <w:color w:val="auto"/>
                <w:sz w:val="24"/>
                <w:szCs w:val="24"/>
                <w:highlight w:val="none"/>
                <w:lang w:val="en-US" w:eastAsia="zh-CN"/>
              </w:rPr>
              <w:t>）</w:t>
            </w:r>
          </w:p>
          <w:tbl>
            <w:tblPr>
              <w:tblStyle w:val="34"/>
              <w:tblW w:w="89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1237"/>
              <w:gridCol w:w="1103"/>
              <w:gridCol w:w="954"/>
              <w:gridCol w:w="1814"/>
              <w:gridCol w:w="3804"/>
            </w:tblGrid>
            <w:tr w14:paraId="1453F5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694" w:type="pct"/>
                  <w:noWrap w:val="0"/>
                  <w:vAlign w:val="center"/>
                </w:tcPr>
                <w:p w14:paraId="60A29B5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atLeast"/>
                    <w:ind w:left="0" w:right="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项目</w:t>
                  </w:r>
                </w:p>
              </w:tc>
              <w:tc>
                <w:tcPr>
                  <w:tcW w:w="619" w:type="pct"/>
                  <w:noWrap w:val="0"/>
                  <w:vAlign w:val="center"/>
                </w:tcPr>
                <w:p w14:paraId="0E6B93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atLeast"/>
                    <w:ind w:left="0" w:right="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rPr>
                    <w:t>昼间</w:t>
                  </w:r>
                </w:p>
              </w:tc>
              <w:tc>
                <w:tcPr>
                  <w:tcW w:w="535" w:type="pct"/>
                  <w:noWrap w:val="0"/>
                  <w:vAlign w:val="center"/>
                </w:tcPr>
                <w:p w14:paraId="140DC2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atLeast"/>
                    <w:ind w:left="0" w:right="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夜间</w:t>
                  </w:r>
                </w:p>
              </w:tc>
              <w:tc>
                <w:tcPr>
                  <w:tcW w:w="1017" w:type="pct"/>
                  <w:noWrap w:val="0"/>
                  <w:vAlign w:val="center"/>
                </w:tcPr>
                <w:p w14:paraId="6E16C6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atLeast"/>
                    <w:ind w:left="0" w:right="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标准级别</w:t>
                  </w:r>
                </w:p>
              </w:tc>
              <w:tc>
                <w:tcPr>
                  <w:tcW w:w="2133" w:type="pct"/>
                  <w:noWrap w:val="0"/>
                  <w:vAlign w:val="center"/>
                </w:tcPr>
                <w:p w14:paraId="6F632E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atLeast"/>
                    <w:ind w:left="0" w:right="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标准来源</w:t>
                  </w:r>
                </w:p>
              </w:tc>
            </w:tr>
            <w:tr w14:paraId="703935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694" w:type="pct"/>
                  <w:noWrap w:val="0"/>
                  <w:vAlign w:val="center"/>
                </w:tcPr>
                <w:p w14:paraId="40AC29A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atLeast"/>
                    <w:ind w:left="0" w:right="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厂界</w:t>
                  </w:r>
                </w:p>
              </w:tc>
              <w:tc>
                <w:tcPr>
                  <w:tcW w:w="619" w:type="pct"/>
                  <w:noWrap w:val="0"/>
                  <w:vAlign w:val="center"/>
                </w:tcPr>
                <w:p w14:paraId="3164BAA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atLeast"/>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60</w:t>
                  </w:r>
                </w:p>
              </w:tc>
              <w:tc>
                <w:tcPr>
                  <w:tcW w:w="535" w:type="pct"/>
                  <w:noWrap w:val="0"/>
                  <w:vAlign w:val="center"/>
                </w:tcPr>
                <w:p w14:paraId="0EE53E1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atLeast"/>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50</w:t>
                  </w:r>
                </w:p>
              </w:tc>
              <w:tc>
                <w:tcPr>
                  <w:tcW w:w="1017" w:type="pct"/>
                  <w:noWrap w:val="0"/>
                  <w:vAlign w:val="center"/>
                </w:tcPr>
                <w:p w14:paraId="708AEF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atLeast"/>
                    <w:ind w:left="0" w:right="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2类</w:t>
                  </w:r>
                </w:p>
              </w:tc>
              <w:tc>
                <w:tcPr>
                  <w:tcW w:w="2133" w:type="pct"/>
                  <w:noWrap w:val="0"/>
                  <w:vAlign w:val="center"/>
                </w:tcPr>
                <w:p w14:paraId="660AEF1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atLeast"/>
                    <w:ind w:left="0" w:right="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《工业企业厂界环境噪声排放标准》（GB12348-2008）</w:t>
                  </w:r>
                </w:p>
              </w:tc>
            </w:tr>
          </w:tbl>
          <w:p w14:paraId="72874231">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atLeast"/>
              <w:ind w:left="0" w:right="0"/>
              <w:jc w:val="both"/>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（四）</w:t>
            </w:r>
            <w:r>
              <w:rPr>
                <w:rFonts w:hint="default" w:ascii="Times New Roman" w:hAnsi="Times New Roman" w:eastAsia="宋体" w:cs="Times New Roman"/>
                <w:b/>
                <w:bCs/>
                <w:color w:val="auto"/>
                <w:sz w:val="24"/>
                <w:szCs w:val="24"/>
                <w:lang w:val="en-US" w:eastAsia="zh-CN"/>
              </w:rPr>
              <w:t>固体废物</w:t>
            </w:r>
          </w:p>
          <w:p w14:paraId="4B3289F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highlight w:val="none"/>
                <w:lang w:val="en-US" w:eastAsia="zh-CN"/>
              </w:rPr>
              <w:t>项目</w:t>
            </w:r>
            <w:r>
              <w:rPr>
                <w:rFonts w:hint="default" w:ascii="Times New Roman" w:hAnsi="Times New Roman" w:eastAsia="宋体" w:cs="Times New Roman"/>
                <w:color w:val="auto"/>
                <w:sz w:val="24"/>
                <w:szCs w:val="24"/>
                <w:highlight w:val="none"/>
                <w:lang w:val="en-US" w:eastAsia="zh-CN"/>
              </w:rPr>
              <w:t>工业固体废物处置执行《中华人民共和国固体废物污染环境防治法》（2020年版）第三章</w:t>
            </w:r>
            <w:r>
              <w:rPr>
                <w:rFonts w:hint="default" w:ascii="Times New Roman" w:hAnsi="Times New Roman"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工业固体废物</w:t>
            </w:r>
            <w:r>
              <w:rPr>
                <w:rFonts w:hint="default" w:ascii="Times New Roman" w:hAnsi="Times New Roman"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标准要求及《一般工业固体废物贮存</w:t>
            </w:r>
            <w:r>
              <w:rPr>
                <w:rFonts w:hint="default" w:ascii="Times New Roman" w:hAnsi="Times New Roman" w:cs="Times New Roman"/>
                <w:color w:val="auto"/>
                <w:sz w:val="24"/>
                <w:szCs w:val="24"/>
                <w:highlight w:val="none"/>
                <w:lang w:val="en-US" w:eastAsia="zh-CN"/>
              </w:rPr>
              <w:t>和填埋污染控制</w:t>
            </w:r>
            <w:r>
              <w:rPr>
                <w:rFonts w:hint="default" w:ascii="Times New Roman" w:hAnsi="Times New Roman" w:eastAsia="宋体" w:cs="Times New Roman"/>
                <w:color w:val="auto"/>
                <w:sz w:val="24"/>
                <w:szCs w:val="24"/>
                <w:highlight w:val="none"/>
                <w:lang w:val="en-US" w:eastAsia="zh-CN"/>
              </w:rPr>
              <w:t>标准》（GB18599-20</w:t>
            </w:r>
            <w:r>
              <w:rPr>
                <w:rFonts w:hint="default" w:ascii="Times New Roman" w:hAnsi="Times New Roman" w:cs="Times New Roman"/>
                <w:color w:val="auto"/>
                <w:sz w:val="24"/>
                <w:szCs w:val="24"/>
                <w:highlight w:val="none"/>
                <w:lang w:val="en-US" w:eastAsia="zh-CN"/>
              </w:rPr>
              <w:t>20</w:t>
            </w:r>
            <w:r>
              <w:rPr>
                <w:rFonts w:hint="default" w:ascii="Times New Roman" w:hAnsi="Times New Roman" w:eastAsia="宋体" w:cs="Times New Roman"/>
                <w:color w:val="auto"/>
                <w:sz w:val="24"/>
                <w:szCs w:val="24"/>
                <w:highlight w:val="none"/>
                <w:lang w:val="en-US" w:eastAsia="zh-CN"/>
              </w:rPr>
              <w:t>）要求；生活垃圾执行《中华人民共和国固体废物污染环境防治法》（2020年版）中第四章</w:t>
            </w:r>
            <w:r>
              <w:rPr>
                <w:rFonts w:hint="default" w:ascii="Times New Roman" w:hAnsi="Times New Roman"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生活垃圾</w:t>
            </w:r>
            <w:r>
              <w:rPr>
                <w:rFonts w:hint="default" w:ascii="Times New Roman" w:hAnsi="Times New Roman"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中的相关内容</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危险废物处置参照执行《危险废物转移管理办法》</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2022年1月1日起实施</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cs="Times New Roman"/>
                <w:color w:val="auto"/>
                <w:sz w:val="24"/>
                <w:szCs w:val="24"/>
                <w:highlight w:val="none"/>
                <w:lang w:eastAsia="zh-CN"/>
              </w:rPr>
              <w:t>《危险废物贮存污染控制标准》（GB18597-2023）</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《危险废物收集贮存运输技术规范》（HJ2025-2012）及相关法律法规。</w:t>
            </w:r>
          </w:p>
          <w:p w14:paraId="032AD15C">
            <w:pPr>
              <w:spacing w:line="480" w:lineRule="atLeast"/>
              <w:rPr>
                <w:rFonts w:hint="default" w:ascii="Times New Roman" w:hAnsi="Times New Roman" w:cs="Times New Roman"/>
                <w:color w:val="auto"/>
                <w:sz w:val="21"/>
                <w:szCs w:val="21"/>
              </w:rPr>
            </w:pPr>
          </w:p>
        </w:tc>
      </w:tr>
      <w:tr w14:paraId="305CD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0" w:type="dxa"/>
            <w:vAlign w:val="center"/>
          </w:tcPr>
          <w:p w14:paraId="01F16DF1">
            <w:pPr>
              <w:widowControl/>
              <w:jc w:val="center"/>
              <w:rPr>
                <w:rFonts w:hint="default" w:ascii="Times New Roman" w:hAnsi="Times New Roman" w:cs="Times New Roman"/>
                <w:color w:val="auto"/>
              </w:rPr>
            </w:pPr>
            <w:r>
              <w:rPr>
                <w:rFonts w:hint="default" w:ascii="Times New Roman" w:hAnsi="Times New Roman" w:cs="Times New Roman"/>
                <w:color w:val="auto"/>
                <w:sz w:val="24"/>
                <w:szCs w:val="24"/>
                <w:lang w:bidi="ar"/>
              </w:rPr>
              <w:t>总量控制指标</w:t>
            </w:r>
          </w:p>
        </w:tc>
        <w:tc>
          <w:tcPr>
            <w:tcW w:w="8847" w:type="dxa"/>
            <w:vAlign w:val="center"/>
          </w:tcPr>
          <w:p w14:paraId="7A1E0C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textAlignment w:val="auto"/>
              <w:rPr>
                <w:rFonts w:hint="default" w:ascii="Times New Roman" w:hAnsi="Times New Roman" w:eastAsia="宋体" w:cs="Times New Roman"/>
                <w:b w:val="0"/>
                <w:bCs w:val="0"/>
                <w:color w:val="auto"/>
                <w:sz w:val="24"/>
                <w:szCs w:val="24"/>
                <w:highlight w:val="none"/>
              </w:rPr>
            </w:pPr>
            <w:r>
              <w:rPr>
                <w:rFonts w:hint="default" w:ascii="Times New Roman" w:hAnsi="Times New Roman" w:eastAsia="宋体" w:cs="Times New Roman"/>
                <w:b w:val="0"/>
                <w:bCs w:val="0"/>
                <w:color w:val="auto"/>
                <w:sz w:val="24"/>
                <w:szCs w:val="24"/>
                <w:highlight w:val="none"/>
              </w:rPr>
              <w:t>根据新《环境保护法》第四十四条及环保部印发的《建设项目主要污染物排放总量指标审核及管理暂行办法》（环发【2014】197号）</w:t>
            </w:r>
            <w:r>
              <w:rPr>
                <w:rFonts w:hint="eastAsia" w:ascii="Times New Roman" w:hAnsi="Times New Roman" w:eastAsia="宋体" w:cs="Times New Roman"/>
                <w:b w:val="0"/>
                <w:bCs w:val="0"/>
                <w:color w:val="auto"/>
                <w:sz w:val="24"/>
                <w:szCs w:val="24"/>
                <w:highlight w:val="none"/>
                <w:lang w:eastAsia="zh-CN"/>
              </w:rPr>
              <w:t>、《河北省主要污染物排污权确权管理暂行办法》（冀环规范〔2022〕3号）文件规定</w:t>
            </w:r>
            <w:r>
              <w:rPr>
                <w:rFonts w:hint="default" w:ascii="Times New Roman" w:hAnsi="Times New Roman" w:eastAsia="宋体" w:cs="Times New Roman"/>
                <w:b w:val="0"/>
                <w:bCs w:val="0"/>
                <w:color w:val="auto"/>
                <w:sz w:val="24"/>
                <w:szCs w:val="24"/>
                <w:highlight w:val="none"/>
              </w:rPr>
              <w:t>：</w:t>
            </w:r>
            <w:r>
              <w:rPr>
                <w:rFonts w:hint="eastAsia" w:ascii="Times New Roman" w:hAnsi="Times New Roman" w:eastAsia="宋体" w:cs="Times New Roman"/>
                <w:b w:val="0"/>
                <w:bCs w:val="0"/>
                <w:color w:val="auto"/>
                <w:sz w:val="24"/>
                <w:szCs w:val="24"/>
                <w:highlight w:val="none"/>
                <w:lang w:eastAsia="zh-CN"/>
              </w:rPr>
              <w:t>“</w:t>
            </w:r>
            <w:r>
              <w:rPr>
                <w:rFonts w:hint="default" w:ascii="Times New Roman" w:hAnsi="Times New Roman" w:eastAsia="宋体" w:cs="Times New Roman"/>
                <w:color w:val="auto"/>
                <w:kern w:val="0"/>
                <w:sz w:val="24"/>
                <w:szCs w:val="24"/>
                <w:highlight w:val="none"/>
                <w:lang w:val="en-US" w:eastAsia="zh-CN" w:bidi="ar"/>
              </w:rPr>
              <w:t>排污权确权种类包括</w:t>
            </w:r>
            <w:r>
              <w:rPr>
                <w:rFonts w:hint="eastAsia" w:ascii="Times New Roman" w:hAnsi="Times New Roman" w:eastAsia="宋体" w:cs="Times New Roman"/>
                <w:color w:val="auto"/>
                <w:kern w:val="0"/>
                <w:sz w:val="24"/>
                <w:szCs w:val="24"/>
                <w:highlight w:val="none"/>
                <w:lang w:val="en-US" w:eastAsia="zh-CN" w:bidi="ar"/>
              </w:rPr>
              <w:t>COD</w:t>
            </w:r>
            <w:r>
              <w:rPr>
                <w:rFonts w:hint="default" w:ascii="Times New Roman" w:hAnsi="Times New Roman" w:eastAsia="宋体" w:cs="Times New Roman"/>
                <w:color w:val="auto"/>
                <w:kern w:val="0"/>
                <w:sz w:val="24"/>
                <w:szCs w:val="24"/>
                <w:highlight w:val="none"/>
                <w:lang w:val="en-US" w:eastAsia="zh-CN" w:bidi="ar"/>
              </w:rPr>
              <w:t>、</w:t>
            </w:r>
            <w:r>
              <w:rPr>
                <w:rFonts w:hint="default" w:ascii="Times New Roman" w:hAnsi="Times New Roman" w:eastAsia="宋体" w:cs="Times New Roman"/>
                <w:color w:val="auto"/>
                <w:sz w:val="24"/>
                <w:szCs w:val="20"/>
                <w:highlight w:val="none"/>
              </w:rPr>
              <w:t>NH</w:t>
            </w:r>
            <w:r>
              <w:rPr>
                <w:rFonts w:hint="default" w:ascii="Times New Roman" w:hAnsi="Times New Roman" w:eastAsia="宋体" w:cs="Times New Roman"/>
                <w:color w:val="auto"/>
                <w:sz w:val="24"/>
                <w:szCs w:val="20"/>
                <w:highlight w:val="none"/>
                <w:vertAlign w:val="subscript"/>
              </w:rPr>
              <w:t>3</w:t>
            </w:r>
            <w:r>
              <w:rPr>
                <w:rFonts w:hint="default" w:ascii="Times New Roman" w:hAnsi="Times New Roman" w:eastAsia="宋体" w:cs="Times New Roman"/>
                <w:color w:val="auto"/>
                <w:sz w:val="24"/>
                <w:szCs w:val="20"/>
                <w:highlight w:val="none"/>
              </w:rPr>
              <w:t>-N</w:t>
            </w:r>
            <w:r>
              <w:rPr>
                <w:rFonts w:hint="default" w:ascii="Times New Roman" w:hAnsi="Times New Roman" w:eastAsia="宋体" w:cs="Times New Roman"/>
                <w:color w:val="auto"/>
                <w:kern w:val="0"/>
                <w:sz w:val="24"/>
                <w:szCs w:val="24"/>
                <w:highlight w:val="none"/>
                <w:lang w:val="en-US" w:eastAsia="zh-CN" w:bidi="ar"/>
              </w:rPr>
              <w:t>、</w:t>
            </w:r>
            <w:r>
              <w:rPr>
                <w:rFonts w:hint="eastAsia" w:ascii="Times New Roman" w:hAnsi="Times New Roman" w:eastAsia="宋体" w:cs="Times New Roman"/>
                <w:color w:val="auto"/>
                <w:kern w:val="0"/>
                <w:sz w:val="24"/>
                <w:szCs w:val="24"/>
                <w:highlight w:val="none"/>
                <w:lang w:val="en-US" w:eastAsia="zh-CN" w:bidi="ar"/>
              </w:rPr>
              <w:t>SO</w:t>
            </w:r>
            <w:r>
              <w:rPr>
                <w:rFonts w:hint="eastAsia" w:ascii="Times New Roman" w:hAnsi="Times New Roman" w:eastAsia="宋体" w:cs="Times New Roman"/>
                <w:color w:val="auto"/>
                <w:kern w:val="0"/>
                <w:sz w:val="24"/>
                <w:szCs w:val="24"/>
                <w:highlight w:val="none"/>
                <w:vertAlign w:val="subscript"/>
                <w:lang w:val="en-US" w:eastAsia="zh-CN" w:bidi="ar"/>
              </w:rPr>
              <w:t>2</w:t>
            </w:r>
            <w:r>
              <w:rPr>
                <w:rFonts w:hint="default" w:ascii="Times New Roman" w:hAnsi="Times New Roman" w:eastAsia="宋体" w:cs="Times New Roman"/>
                <w:color w:val="auto"/>
                <w:kern w:val="0"/>
                <w:sz w:val="24"/>
                <w:szCs w:val="24"/>
                <w:highlight w:val="none"/>
                <w:lang w:val="en-US" w:eastAsia="zh-CN" w:bidi="ar"/>
              </w:rPr>
              <w:t>、</w:t>
            </w:r>
            <w:r>
              <w:rPr>
                <w:rFonts w:hint="eastAsia" w:ascii="Times New Roman" w:hAnsi="Times New Roman" w:eastAsia="宋体" w:cs="Times New Roman"/>
                <w:color w:val="auto"/>
                <w:kern w:val="0"/>
                <w:sz w:val="24"/>
                <w:szCs w:val="24"/>
                <w:highlight w:val="none"/>
                <w:lang w:val="en-US" w:eastAsia="zh-CN" w:bidi="ar"/>
              </w:rPr>
              <w:t>NOx</w:t>
            </w:r>
            <w:r>
              <w:rPr>
                <w:rFonts w:hint="default" w:ascii="Times New Roman" w:hAnsi="Times New Roman" w:eastAsia="宋体" w:cs="Times New Roman"/>
                <w:color w:val="auto"/>
                <w:kern w:val="0"/>
                <w:sz w:val="24"/>
                <w:szCs w:val="24"/>
                <w:highlight w:val="none"/>
                <w:lang w:val="en-US" w:eastAsia="zh-CN" w:bidi="ar"/>
              </w:rPr>
              <w:t>，适时增加颗粒物、挥发性有机物和重金属等污染物</w:t>
            </w:r>
            <w:r>
              <w:rPr>
                <w:rFonts w:hint="eastAsia" w:ascii="Times New Roman" w:hAnsi="Times New Roman" w:eastAsia="宋体" w:cs="Times New Roman"/>
                <w:b w:val="0"/>
                <w:bCs w:val="0"/>
                <w:color w:val="auto"/>
                <w:sz w:val="24"/>
                <w:szCs w:val="24"/>
                <w:highlight w:val="none"/>
                <w:lang w:eastAsia="zh-CN"/>
              </w:rPr>
              <w:t>”，“</w:t>
            </w:r>
            <w:r>
              <w:rPr>
                <w:rFonts w:hint="default" w:ascii="Times New Roman" w:hAnsi="Times New Roman" w:eastAsia="宋体" w:cs="Times New Roman"/>
                <w:b w:val="0"/>
                <w:bCs w:val="0"/>
                <w:color w:val="auto"/>
                <w:sz w:val="24"/>
                <w:szCs w:val="24"/>
                <w:highlight w:val="none"/>
              </w:rPr>
              <w:t>根据国家或地方现行的排放标准、排放废气（水）量核算重点污染物排放量</w:t>
            </w:r>
            <w:r>
              <w:rPr>
                <w:rFonts w:hint="eastAsia" w:ascii="Times New Roman" w:hAnsi="Times New Roman" w:eastAsia="宋体" w:cs="Times New Roman"/>
                <w:b w:val="0"/>
                <w:bCs w:val="0"/>
                <w:color w:val="auto"/>
                <w:sz w:val="24"/>
                <w:szCs w:val="24"/>
                <w:highlight w:val="none"/>
                <w:lang w:eastAsia="zh-CN"/>
              </w:rPr>
              <w:t>”</w:t>
            </w:r>
            <w:r>
              <w:rPr>
                <w:rFonts w:hint="default" w:ascii="Times New Roman" w:hAnsi="Times New Roman" w:eastAsia="宋体" w:cs="Times New Roman"/>
                <w:b w:val="0"/>
                <w:bCs w:val="0"/>
                <w:color w:val="auto"/>
                <w:sz w:val="24"/>
                <w:szCs w:val="24"/>
                <w:highlight w:val="none"/>
              </w:rPr>
              <w:t>。废水排放污染物总量控制指标为：COD、</w:t>
            </w:r>
            <w:r>
              <w:rPr>
                <w:rFonts w:hint="default" w:ascii="Times New Roman" w:hAnsi="Times New Roman" w:eastAsia="宋体" w:cs="Times New Roman"/>
                <w:color w:val="auto"/>
                <w:sz w:val="24"/>
                <w:szCs w:val="20"/>
                <w:highlight w:val="none"/>
              </w:rPr>
              <w:t>NH</w:t>
            </w:r>
            <w:r>
              <w:rPr>
                <w:rFonts w:hint="default" w:ascii="Times New Roman" w:hAnsi="Times New Roman" w:eastAsia="宋体" w:cs="Times New Roman"/>
                <w:color w:val="auto"/>
                <w:sz w:val="24"/>
                <w:szCs w:val="20"/>
                <w:highlight w:val="none"/>
                <w:vertAlign w:val="subscript"/>
              </w:rPr>
              <w:t>3</w:t>
            </w:r>
            <w:r>
              <w:rPr>
                <w:rFonts w:hint="default" w:ascii="Times New Roman" w:hAnsi="Times New Roman" w:eastAsia="宋体" w:cs="Times New Roman"/>
                <w:color w:val="auto"/>
                <w:sz w:val="24"/>
                <w:szCs w:val="20"/>
                <w:highlight w:val="none"/>
              </w:rPr>
              <w:t>-N</w:t>
            </w:r>
            <w:r>
              <w:rPr>
                <w:rFonts w:hint="default" w:ascii="Times New Roman" w:hAnsi="Times New Roman" w:eastAsia="宋体" w:cs="Times New Roman"/>
                <w:b w:val="0"/>
                <w:bCs w:val="0"/>
                <w:color w:val="auto"/>
                <w:sz w:val="24"/>
                <w:szCs w:val="24"/>
                <w:highlight w:val="none"/>
              </w:rPr>
              <w:t>；废气排放污染物总量控制指标为：SO</w:t>
            </w:r>
            <w:r>
              <w:rPr>
                <w:rFonts w:hint="default" w:ascii="Times New Roman" w:hAnsi="Times New Roman" w:eastAsia="宋体" w:cs="Times New Roman"/>
                <w:b w:val="0"/>
                <w:bCs w:val="0"/>
                <w:color w:val="auto"/>
                <w:sz w:val="24"/>
                <w:szCs w:val="24"/>
                <w:highlight w:val="none"/>
                <w:vertAlign w:val="subscript"/>
              </w:rPr>
              <w:t>2</w:t>
            </w:r>
            <w:r>
              <w:rPr>
                <w:rFonts w:hint="default" w:ascii="Times New Roman" w:hAnsi="Times New Roman" w:eastAsia="宋体" w:cs="Times New Roman"/>
                <w:b w:val="0"/>
                <w:bCs w:val="0"/>
                <w:color w:val="auto"/>
                <w:sz w:val="24"/>
                <w:szCs w:val="24"/>
                <w:highlight w:val="none"/>
              </w:rPr>
              <w:t>、NO</w:t>
            </w:r>
            <w:r>
              <w:rPr>
                <w:rFonts w:hint="default" w:ascii="Times New Roman" w:hAnsi="Times New Roman" w:eastAsia="宋体" w:cs="Times New Roman"/>
                <w:b w:val="0"/>
                <w:bCs w:val="0"/>
                <w:color w:val="auto"/>
                <w:sz w:val="24"/>
                <w:szCs w:val="24"/>
                <w:highlight w:val="none"/>
                <w:vertAlign w:val="subscript"/>
              </w:rPr>
              <w:t>X</w:t>
            </w:r>
            <w:r>
              <w:rPr>
                <w:rFonts w:hint="eastAsia" w:ascii="Times New Roman" w:hAnsi="Times New Roman" w:eastAsia="宋体" w:cs="Times New Roman"/>
                <w:b w:val="0"/>
                <w:bCs w:val="0"/>
                <w:color w:val="auto"/>
                <w:sz w:val="24"/>
                <w:szCs w:val="24"/>
                <w:highlight w:val="none"/>
                <w:vertAlign w:val="baseline"/>
                <w:lang w:eastAsia="zh-CN"/>
              </w:rPr>
              <w:t>、颗粒物、</w:t>
            </w:r>
            <w:r>
              <w:rPr>
                <w:rFonts w:hint="eastAsia" w:ascii="Times New Roman" w:hAnsi="Times New Roman" w:eastAsia="宋体" w:cs="Times New Roman"/>
                <w:b w:val="0"/>
                <w:bCs w:val="0"/>
                <w:color w:val="auto"/>
                <w:sz w:val="24"/>
                <w:szCs w:val="24"/>
                <w:highlight w:val="none"/>
                <w:vertAlign w:val="baseline"/>
                <w:lang w:val="en-US" w:eastAsia="zh-CN"/>
              </w:rPr>
              <w:t>VOCs（以</w:t>
            </w:r>
            <w:r>
              <w:rPr>
                <w:rFonts w:hint="eastAsia" w:ascii="Times New Roman" w:hAnsi="Times New Roman" w:eastAsia="宋体" w:cs="Times New Roman"/>
                <w:b w:val="0"/>
                <w:bCs w:val="0"/>
                <w:color w:val="auto"/>
                <w:sz w:val="24"/>
                <w:szCs w:val="24"/>
                <w:highlight w:val="none"/>
                <w:vertAlign w:val="baseline"/>
                <w:lang w:eastAsia="zh-CN"/>
              </w:rPr>
              <w:t>非甲烷总烃计）</w:t>
            </w:r>
            <w:r>
              <w:rPr>
                <w:rFonts w:hint="default" w:ascii="Times New Roman" w:hAnsi="Times New Roman" w:eastAsia="宋体" w:cs="Times New Roman"/>
                <w:b w:val="0"/>
                <w:bCs w:val="0"/>
                <w:color w:val="auto"/>
                <w:sz w:val="24"/>
                <w:szCs w:val="24"/>
                <w:highlight w:val="none"/>
              </w:rPr>
              <w:t>。</w:t>
            </w:r>
          </w:p>
          <w:p w14:paraId="691FE90B">
            <w:pPr>
              <w:keepNext w:val="0"/>
              <w:keepLines w:val="0"/>
              <w:suppressLineNumbers w:val="0"/>
              <w:spacing w:before="0" w:beforeAutospacing="0" w:after="0" w:afterAutospacing="0" w:line="480" w:lineRule="atLeast"/>
              <w:ind w:left="0" w:right="0" w:firstLine="480" w:firstLineChars="200"/>
              <w:rPr>
                <w:rFonts w:hint="eastAsia" w:ascii="Times New Roman" w:hAnsi="Times New Roman" w:eastAsia="宋体" w:cs="Times New Roman"/>
                <w:b w:val="0"/>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2"/>
                <w:sz w:val="24"/>
                <w:szCs w:val="24"/>
                <w:highlight w:val="none"/>
                <w:lang w:val="en-US" w:eastAsia="zh-CN" w:bidi="ar-SA"/>
                <w14:textFill>
                  <w14:solidFill>
                    <w14:schemeClr w14:val="tx1"/>
                  </w14:solidFill>
                </w14:textFill>
              </w:rPr>
              <w:t>1</w:t>
            </w:r>
            <w:r>
              <w:rPr>
                <w:rFonts w:hint="eastAsia" w:ascii="Times New Roman" w:hAnsi="Times New Roman" w:eastAsia="宋体" w:cs="Times New Roman"/>
                <w:b w:val="0"/>
                <w:bCs w:val="0"/>
                <w:color w:val="000000" w:themeColor="text1"/>
                <w:kern w:val="2"/>
                <w:sz w:val="24"/>
                <w:szCs w:val="24"/>
                <w:highlight w:val="none"/>
                <w:lang w:val="en-US" w:eastAsia="zh-CN" w:bidi="ar-SA"/>
                <w14:textFill>
                  <w14:solidFill>
                    <w14:schemeClr w14:val="tx1"/>
                  </w14:solidFill>
                </w14:textFill>
              </w:rPr>
              <w:t>、</w:t>
            </w:r>
            <w:r>
              <w:rPr>
                <w:rFonts w:hint="eastAsia" w:cs="Times New Roman"/>
                <w:b w:val="0"/>
                <w:bCs w:val="0"/>
                <w:color w:val="000000" w:themeColor="text1"/>
                <w:kern w:val="2"/>
                <w:sz w:val="24"/>
                <w:szCs w:val="24"/>
                <w:highlight w:val="none"/>
                <w:lang w:val="en-US" w:eastAsia="zh-CN" w:bidi="ar-SA"/>
                <w14:textFill>
                  <w14:solidFill>
                    <w14:schemeClr w14:val="tx1"/>
                  </w14:solidFill>
                </w14:textFill>
              </w:rPr>
              <w:t>本项目</w:t>
            </w:r>
            <w:r>
              <w:rPr>
                <w:rFonts w:hint="eastAsia" w:ascii="Times New Roman" w:hAnsi="Times New Roman" w:eastAsia="宋体" w:cs="Times New Roman"/>
                <w:b w:val="0"/>
                <w:bCs w:val="0"/>
                <w:color w:val="000000" w:themeColor="text1"/>
                <w:kern w:val="2"/>
                <w:sz w:val="24"/>
                <w:szCs w:val="24"/>
                <w:highlight w:val="none"/>
                <w:lang w:val="en-US" w:eastAsia="zh-CN" w:bidi="ar-SA"/>
                <w14:textFill>
                  <w14:solidFill>
                    <w14:schemeClr w14:val="tx1"/>
                  </w14:solidFill>
                </w14:textFill>
              </w:rPr>
              <w:t>预测排放量</w:t>
            </w:r>
          </w:p>
          <w:p w14:paraId="2035EBBB">
            <w:pPr>
              <w:keepNext w:val="0"/>
              <w:keepLines w:val="0"/>
              <w:suppressLineNumbers w:val="0"/>
              <w:spacing w:before="0" w:beforeAutospacing="0" w:after="0" w:afterAutospacing="0" w:line="480" w:lineRule="atLeast"/>
              <w:ind w:left="0" w:right="0" w:firstLine="480" w:firstLineChars="200"/>
              <w:rPr>
                <w:rFonts w:hint="eastAsia" w:ascii="Times New Roman" w:hAnsi="Times New Roman" w:eastAsia="宋体" w:cs="Times New Roman"/>
                <w:snapToGrid w:val="0"/>
                <w:color w:val="000000" w:themeColor="text1"/>
                <w:sz w:val="24"/>
                <w:szCs w:val="24"/>
                <w:lang w:val="en-US" w:eastAsia="zh-CN" w:bidi="ar-SA"/>
                <w14:textFill>
                  <w14:solidFill>
                    <w14:schemeClr w14:val="tx1"/>
                  </w14:solidFill>
                </w14:textFill>
              </w:rPr>
            </w:pPr>
            <w:r>
              <w:rPr>
                <w:rFonts w:hint="eastAsia" w:ascii="Times New Roman" w:hAnsi="Times New Roman" w:eastAsia="宋体" w:cs="Times New Roman"/>
                <w:snapToGrid w:val="0"/>
                <w:color w:val="000000" w:themeColor="text1"/>
                <w:sz w:val="24"/>
                <w:szCs w:val="24"/>
                <w:lang w:val="en-US" w:eastAsia="zh-CN" w:bidi="ar-SA"/>
                <w14:textFill>
                  <w14:solidFill>
                    <w14:schemeClr w14:val="tx1"/>
                  </w14:solidFill>
                </w14:textFill>
              </w:rPr>
              <w:t>废气</w:t>
            </w:r>
          </w:p>
          <w:p w14:paraId="64026D3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textAlignment w:val="auto"/>
              <w:rPr>
                <w:rFonts w:hint="default" w:ascii="Times New Roman" w:hAnsi="Times New Roman" w:eastAsia="宋体" w:cs="Times New Roman"/>
                <w:b w:val="0"/>
                <w:bCs w:val="0"/>
                <w:color w:val="auto"/>
                <w:sz w:val="24"/>
                <w:szCs w:val="24"/>
                <w:highlight w:val="none"/>
                <w:lang w:val="en-US" w:eastAsia="zh-CN"/>
              </w:rPr>
            </w:pPr>
            <w:r>
              <w:rPr>
                <w:rFonts w:hint="eastAsia" w:ascii="Times New Roman" w:hAnsi="Times New Roman" w:eastAsia="宋体" w:cs="Times New Roman"/>
                <w:snapToGrid w:val="0"/>
                <w:color w:val="000000" w:themeColor="text1"/>
                <w:sz w:val="24"/>
                <w:szCs w:val="24"/>
                <w:lang w:val="en-US" w:eastAsia="zh-CN" w:bidi="ar-SA"/>
                <w14:textFill>
                  <w14:solidFill>
                    <w14:schemeClr w14:val="tx1"/>
                  </w14:solidFill>
                </w14:textFill>
              </w:rPr>
              <w:t>本项目无重点污染物SO</w:t>
            </w:r>
            <w:r>
              <w:rPr>
                <w:rFonts w:hint="eastAsia" w:ascii="Times New Roman" w:hAnsi="Times New Roman" w:eastAsia="宋体" w:cs="Times New Roman"/>
                <w:snapToGrid w:val="0"/>
                <w:color w:val="000000" w:themeColor="text1"/>
                <w:sz w:val="24"/>
                <w:szCs w:val="24"/>
                <w:vertAlign w:val="subscript"/>
                <w:lang w:val="en-US" w:eastAsia="zh-CN" w:bidi="ar-SA"/>
                <w14:textFill>
                  <w14:solidFill>
                    <w14:schemeClr w14:val="tx1"/>
                  </w14:solidFill>
                </w14:textFill>
              </w:rPr>
              <w:t>2</w:t>
            </w:r>
            <w:r>
              <w:rPr>
                <w:rFonts w:hint="eastAsia" w:ascii="Times New Roman" w:hAnsi="Times New Roman" w:eastAsia="宋体" w:cs="Times New Roman"/>
                <w:snapToGrid w:val="0"/>
                <w:color w:val="000000" w:themeColor="text1"/>
                <w:sz w:val="24"/>
                <w:szCs w:val="24"/>
                <w:lang w:val="en-US" w:eastAsia="zh-CN" w:bidi="ar-SA"/>
                <w14:textFill>
                  <w14:solidFill>
                    <w14:schemeClr w14:val="tx1"/>
                  </w14:solidFill>
                </w14:textFill>
              </w:rPr>
              <w:t>、NO</w:t>
            </w:r>
            <w:r>
              <w:rPr>
                <w:rFonts w:hint="eastAsia" w:ascii="Times New Roman" w:hAnsi="Times New Roman" w:eastAsia="宋体" w:cs="Times New Roman"/>
                <w:snapToGrid w:val="0"/>
                <w:color w:val="000000" w:themeColor="text1"/>
                <w:sz w:val="24"/>
                <w:szCs w:val="24"/>
                <w:vertAlign w:val="subscript"/>
                <w:lang w:val="en-US" w:eastAsia="zh-CN" w:bidi="ar-SA"/>
                <w14:textFill>
                  <w14:solidFill>
                    <w14:schemeClr w14:val="tx1"/>
                  </w14:solidFill>
                </w14:textFill>
              </w:rPr>
              <w:t>X</w:t>
            </w:r>
            <w:r>
              <w:rPr>
                <w:rFonts w:hint="eastAsia" w:ascii="Times New Roman" w:hAnsi="Times New Roman" w:eastAsia="宋体" w:cs="Times New Roman"/>
                <w:snapToGrid w:val="0"/>
                <w:color w:val="000000" w:themeColor="text1"/>
                <w:sz w:val="24"/>
                <w:szCs w:val="24"/>
                <w:lang w:val="en-US" w:eastAsia="zh-CN" w:bidi="ar-SA"/>
                <w14:textFill>
                  <w14:solidFill>
                    <w14:schemeClr w14:val="tx1"/>
                  </w14:solidFill>
                </w14:textFill>
              </w:rPr>
              <w:t>的产生及排放，因此SO</w:t>
            </w:r>
            <w:r>
              <w:rPr>
                <w:rFonts w:hint="eastAsia" w:ascii="Times New Roman" w:hAnsi="Times New Roman" w:eastAsia="宋体" w:cs="Times New Roman"/>
                <w:snapToGrid w:val="0"/>
                <w:color w:val="000000" w:themeColor="text1"/>
                <w:sz w:val="24"/>
                <w:szCs w:val="24"/>
                <w:vertAlign w:val="subscript"/>
                <w:lang w:val="en-US" w:eastAsia="zh-CN" w:bidi="ar-SA"/>
                <w14:textFill>
                  <w14:solidFill>
                    <w14:schemeClr w14:val="tx1"/>
                  </w14:solidFill>
                </w14:textFill>
              </w:rPr>
              <w:t>2</w:t>
            </w:r>
            <w:r>
              <w:rPr>
                <w:rFonts w:hint="eastAsia" w:ascii="Times New Roman" w:hAnsi="Times New Roman" w:eastAsia="宋体" w:cs="Times New Roman"/>
                <w:snapToGrid w:val="0"/>
                <w:color w:val="000000" w:themeColor="text1"/>
                <w:sz w:val="24"/>
                <w:szCs w:val="24"/>
                <w:lang w:val="en-US" w:eastAsia="zh-CN" w:bidi="ar-SA"/>
                <w14:textFill>
                  <w14:solidFill>
                    <w14:schemeClr w14:val="tx1"/>
                  </w14:solidFill>
                </w14:textFill>
              </w:rPr>
              <w:t>、NO</w:t>
            </w:r>
            <w:r>
              <w:rPr>
                <w:rFonts w:hint="eastAsia" w:ascii="Times New Roman" w:hAnsi="Times New Roman" w:eastAsia="宋体" w:cs="Times New Roman"/>
                <w:snapToGrid w:val="0"/>
                <w:color w:val="000000" w:themeColor="text1"/>
                <w:sz w:val="24"/>
                <w:szCs w:val="24"/>
                <w:vertAlign w:val="subscript"/>
                <w:lang w:val="en-US" w:eastAsia="zh-CN" w:bidi="ar-SA"/>
                <w14:textFill>
                  <w14:solidFill>
                    <w14:schemeClr w14:val="tx1"/>
                  </w14:solidFill>
                </w14:textFill>
              </w:rPr>
              <w:t>X</w:t>
            </w:r>
            <w:r>
              <w:rPr>
                <w:rFonts w:hint="eastAsia" w:ascii="Times New Roman" w:hAnsi="Times New Roman" w:eastAsia="宋体" w:cs="Times New Roman"/>
                <w:snapToGrid w:val="0"/>
                <w:color w:val="000000" w:themeColor="text1"/>
                <w:sz w:val="24"/>
                <w:szCs w:val="24"/>
                <w:lang w:val="en-US" w:eastAsia="zh-CN" w:bidi="ar-SA"/>
                <w14:textFill>
                  <w14:solidFill>
                    <w14:schemeClr w14:val="tx1"/>
                  </w14:solidFill>
                </w14:textFill>
              </w:rPr>
              <w:t>预测排放量分别为0t/</w:t>
            </w:r>
            <w:r>
              <w:rPr>
                <w:rFonts w:hint="eastAsia" w:ascii="Times New Roman" w:hAnsi="Times New Roman" w:eastAsia="宋体" w:cs="Times New Roman"/>
                <w:b w:val="0"/>
                <w:bCs w:val="0"/>
                <w:color w:val="auto"/>
                <w:sz w:val="24"/>
                <w:szCs w:val="24"/>
                <w:highlight w:val="none"/>
                <w:lang w:val="en-US" w:eastAsia="zh-CN"/>
              </w:rPr>
              <w:t>a、0t/a、根据源强核算非甲烷总</w:t>
            </w:r>
            <w:r>
              <w:rPr>
                <w:rFonts w:hint="default" w:ascii="Times New Roman" w:hAnsi="Times New Roman" w:eastAsia="宋体" w:cs="Times New Roman"/>
                <w:b w:val="0"/>
                <w:bCs w:val="0"/>
                <w:color w:val="auto"/>
                <w:sz w:val="24"/>
                <w:szCs w:val="24"/>
                <w:highlight w:val="none"/>
                <w:lang w:val="en-US" w:eastAsia="zh-CN"/>
              </w:rPr>
              <w:t>烃：</w:t>
            </w:r>
            <w:r>
              <w:rPr>
                <w:rFonts w:hint="eastAsia" w:ascii="Times New Roman" w:hAnsi="Times New Roman" w:eastAsia="宋体" w:cs="Times New Roman"/>
                <w:b w:val="0"/>
                <w:bCs w:val="0"/>
                <w:color w:val="auto"/>
                <w:sz w:val="24"/>
                <w:szCs w:val="24"/>
                <w:highlight w:val="none"/>
                <w:lang w:val="en-US" w:eastAsia="zh-CN"/>
              </w:rPr>
              <w:t>0.09</w:t>
            </w:r>
            <w:r>
              <w:rPr>
                <w:rFonts w:hint="default" w:ascii="Times New Roman" w:hAnsi="Times New Roman" w:eastAsia="宋体" w:cs="Times New Roman"/>
                <w:b w:val="0"/>
                <w:bCs w:val="0"/>
                <w:color w:val="auto"/>
                <w:sz w:val="24"/>
                <w:szCs w:val="24"/>
                <w:highlight w:val="none"/>
                <w:lang w:val="en-US" w:eastAsia="zh-CN"/>
              </w:rPr>
              <w:t>t/a、颗粒物：</w:t>
            </w:r>
            <w:r>
              <w:rPr>
                <w:rFonts w:hint="eastAsia" w:ascii="Times New Roman" w:hAnsi="Times New Roman" w:eastAsia="宋体" w:cs="Times New Roman"/>
                <w:b w:val="0"/>
                <w:bCs w:val="0"/>
                <w:color w:val="auto"/>
                <w:sz w:val="24"/>
                <w:szCs w:val="24"/>
                <w:highlight w:val="none"/>
                <w:lang w:val="en-US" w:eastAsia="zh-CN"/>
              </w:rPr>
              <w:t>0.0002</w:t>
            </w:r>
            <w:r>
              <w:rPr>
                <w:rFonts w:hint="default" w:ascii="Times New Roman" w:hAnsi="Times New Roman" w:eastAsia="宋体" w:cs="Times New Roman"/>
                <w:b w:val="0"/>
                <w:bCs w:val="0"/>
                <w:color w:val="auto"/>
                <w:sz w:val="24"/>
                <w:szCs w:val="24"/>
                <w:highlight w:val="none"/>
                <w:lang w:val="en-US" w:eastAsia="zh-CN"/>
              </w:rPr>
              <w:t>t/a。</w:t>
            </w:r>
          </w:p>
          <w:p w14:paraId="1C3DA1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textAlignment w:val="auto"/>
              <w:rPr>
                <w:rFonts w:hint="default" w:ascii="Times New Roman" w:hAnsi="Times New Roman" w:eastAsia="宋体" w:cs="Times New Roman"/>
                <w:b w:val="0"/>
                <w:bCs w:val="0"/>
                <w:color w:val="auto"/>
                <w:sz w:val="24"/>
                <w:szCs w:val="24"/>
                <w:highlight w:val="none"/>
                <w:lang w:val="en-US" w:eastAsia="zh-CN"/>
              </w:rPr>
            </w:pPr>
            <w:r>
              <w:rPr>
                <w:rFonts w:hint="eastAsia" w:ascii="Times New Roman" w:hAnsi="Times New Roman" w:cs="Times New Roman"/>
                <w:b w:val="0"/>
                <w:bCs w:val="0"/>
                <w:color w:val="auto"/>
                <w:sz w:val="24"/>
                <w:szCs w:val="24"/>
                <w:highlight w:val="none"/>
                <w:lang w:val="en-US" w:eastAsia="zh-CN"/>
              </w:rPr>
              <w:t>2、本项目核定排放量</w:t>
            </w:r>
          </w:p>
          <w:p w14:paraId="4235F1F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textAlignment w:val="auto"/>
              <w:rPr>
                <w:rFonts w:hint="default" w:ascii="Times New Roman" w:hAnsi="Times New Roman" w:eastAsia="宋体" w:cs="Times New Roman"/>
                <w:color w:val="auto"/>
                <w:kern w:val="0"/>
                <w:sz w:val="24"/>
                <w:szCs w:val="24"/>
                <w:highlight w:val="none"/>
                <w:lang w:val="en-US" w:eastAsia="zh-CN" w:bidi="ar"/>
              </w:rPr>
            </w:pPr>
            <w:r>
              <w:rPr>
                <w:rFonts w:hint="eastAsia" w:ascii="Times New Roman" w:hAnsi="Times New Roman" w:eastAsia="宋体" w:cs="Times New Roman"/>
                <w:b w:val="0"/>
                <w:bCs w:val="0"/>
                <w:color w:val="auto"/>
                <w:sz w:val="24"/>
                <w:szCs w:val="24"/>
                <w:highlight w:val="none"/>
                <w:lang w:val="en-US" w:eastAsia="zh-CN"/>
              </w:rPr>
              <w:t>本项目注塑工序产生的非甲烷总烃执</w:t>
            </w:r>
            <w:r>
              <w:rPr>
                <w:rFonts w:hint="eastAsia" w:ascii="Times New Roman" w:hAnsi="Times New Roman" w:eastAsia="宋体" w:cs="Times New Roman"/>
                <w:color w:val="auto"/>
                <w:kern w:val="0"/>
                <w:sz w:val="24"/>
                <w:szCs w:val="24"/>
                <w:highlight w:val="none"/>
                <w:lang w:val="en-US" w:eastAsia="zh-CN" w:bidi="ar"/>
              </w:rPr>
              <w:t>行</w:t>
            </w:r>
            <w:r>
              <w:rPr>
                <w:rFonts w:hint="default" w:ascii="Times New Roman" w:hAnsi="Times New Roman" w:eastAsia="宋体" w:cs="Times New Roman"/>
                <w:color w:val="auto"/>
                <w:kern w:val="0"/>
                <w:sz w:val="24"/>
                <w:szCs w:val="24"/>
                <w:highlight w:val="none"/>
                <w:lang w:val="en-US" w:eastAsia="zh-CN" w:bidi="ar"/>
              </w:rPr>
              <w:t>《合成树脂工业污染物排放标准》（GB31572-2015）</w:t>
            </w:r>
            <w:r>
              <w:rPr>
                <w:rFonts w:hint="eastAsia" w:ascii="Times New Roman" w:hAnsi="Times New Roman" w:eastAsia="宋体" w:cs="Times New Roman"/>
                <w:color w:val="auto"/>
                <w:kern w:val="0"/>
                <w:sz w:val="24"/>
                <w:szCs w:val="24"/>
                <w:highlight w:val="none"/>
                <w:lang w:val="en-US" w:eastAsia="zh-CN" w:bidi="ar"/>
              </w:rPr>
              <w:t>及修改单</w:t>
            </w:r>
            <w:r>
              <w:rPr>
                <w:rFonts w:hint="default" w:ascii="Times New Roman" w:hAnsi="Times New Roman" w:eastAsia="宋体" w:cs="Times New Roman"/>
                <w:color w:val="auto"/>
                <w:kern w:val="0"/>
                <w:sz w:val="24"/>
                <w:szCs w:val="24"/>
                <w:highlight w:val="none"/>
                <w:lang w:val="en-US" w:eastAsia="zh-CN" w:bidi="ar"/>
              </w:rPr>
              <w:t>表5大气污染物特别排放限值</w:t>
            </w:r>
            <w:r>
              <w:rPr>
                <w:rFonts w:hint="eastAsia" w:ascii="Times New Roman" w:hAnsi="Times New Roman" w:cs="Times New Roman"/>
                <w:color w:val="auto"/>
                <w:kern w:val="0"/>
                <w:sz w:val="24"/>
                <w:szCs w:val="24"/>
                <w:highlight w:val="none"/>
                <w:lang w:val="en-US" w:eastAsia="zh-CN" w:bidi="ar"/>
              </w:rPr>
              <w:t>（60mg/m³），本项目风机风量为15000m³/h，年工作2400h，则非甲烷总烃核定排放量为：</w:t>
            </w:r>
          </w:p>
          <w:p w14:paraId="54392DB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textAlignment w:val="auto"/>
              <w:rPr>
                <w:rFonts w:hint="default" w:ascii="Times New Roman" w:hAnsi="Times New Roman" w:eastAsia="宋体" w:cs="Times New Roman"/>
                <w:b w:val="0"/>
                <w:bCs w:val="0"/>
                <w:color w:val="auto"/>
                <w:sz w:val="24"/>
                <w:szCs w:val="24"/>
                <w:highlight w:val="none"/>
                <w:lang w:val="en-US" w:eastAsia="zh-CN"/>
              </w:rPr>
            </w:pPr>
            <w:r>
              <w:rPr>
                <w:rFonts w:hint="eastAsia" w:ascii="Times New Roman" w:hAnsi="Times New Roman" w:cs="Times New Roman"/>
                <w:b w:val="0"/>
                <w:bCs w:val="0"/>
                <w:color w:val="auto"/>
                <w:sz w:val="24"/>
                <w:szCs w:val="24"/>
                <w:highlight w:val="none"/>
                <w:lang w:val="en-US" w:eastAsia="zh-CN"/>
              </w:rPr>
              <w:t>15000*2400*60/10</w:t>
            </w:r>
            <w:r>
              <w:rPr>
                <w:rFonts w:hint="eastAsia" w:ascii="Times New Roman" w:hAnsi="Times New Roman" w:cs="Times New Roman"/>
                <w:b w:val="0"/>
                <w:bCs w:val="0"/>
                <w:color w:val="auto"/>
                <w:sz w:val="24"/>
                <w:szCs w:val="24"/>
                <w:highlight w:val="none"/>
                <w:vertAlign w:val="superscript"/>
                <w:lang w:val="en-US" w:eastAsia="zh-CN"/>
              </w:rPr>
              <w:t>-9</w:t>
            </w:r>
            <w:r>
              <w:rPr>
                <w:rFonts w:hint="eastAsia" w:ascii="Times New Roman" w:hAnsi="Times New Roman" w:cs="Times New Roman"/>
                <w:b w:val="0"/>
                <w:bCs w:val="0"/>
                <w:color w:val="auto"/>
                <w:sz w:val="24"/>
                <w:szCs w:val="24"/>
                <w:highlight w:val="none"/>
                <w:vertAlign w:val="baseline"/>
                <w:lang w:val="en-US" w:eastAsia="zh-CN"/>
              </w:rPr>
              <w:t>＝2.16t/a</w:t>
            </w:r>
          </w:p>
          <w:p w14:paraId="36DAE1F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textAlignment w:val="auto"/>
              <w:rPr>
                <w:rFonts w:hint="eastAsia" w:ascii="Times New Roman" w:hAnsi="Times New Roman" w:eastAsia="宋体" w:cs="Times New Roman"/>
                <w:b w:val="0"/>
                <w:bCs w:val="0"/>
                <w:color w:val="auto"/>
                <w:sz w:val="24"/>
                <w:szCs w:val="24"/>
                <w:highlight w:val="none"/>
                <w:lang w:val="en-US" w:eastAsia="zh-CN"/>
              </w:rPr>
            </w:pPr>
            <w:r>
              <w:rPr>
                <w:rFonts w:hint="eastAsia" w:ascii="Times New Roman" w:hAnsi="Times New Roman" w:eastAsia="宋体" w:cs="Times New Roman"/>
                <w:b w:val="0"/>
                <w:bCs w:val="0"/>
                <w:color w:val="auto"/>
                <w:sz w:val="24"/>
                <w:szCs w:val="24"/>
                <w:highlight w:val="none"/>
                <w:lang w:val="en-US" w:eastAsia="zh-CN"/>
              </w:rPr>
              <w:t>废水</w:t>
            </w:r>
          </w:p>
          <w:p w14:paraId="7A767D36">
            <w:pPr>
              <w:keepNext w:val="0"/>
              <w:keepLines w:val="0"/>
              <w:suppressLineNumbers w:val="0"/>
              <w:spacing w:before="0" w:beforeAutospacing="0" w:after="0" w:afterAutospacing="0" w:line="480" w:lineRule="atLeast"/>
              <w:ind w:left="0" w:right="0" w:firstLine="480" w:firstLineChars="200"/>
              <w:rPr>
                <w:rFonts w:hint="eastAsia" w:ascii="Times New Roman" w:hAnsi="Times New Roman" w:eastAsia="宋体" w:cs="Times New Roman"/>
                <w:snapToGrid w:val="0"/>
                <w:sz w:val="24"/>
                <w:szCs w:val="24"/>
                <w:highlight w:val="none"/>
                <w:lang w:val="en-US" w:eastAsia="zh-CN" w:bidi="ar-SA"/>
              </w:rPr>
            </w:pPr>
            <w:r>
              <w:rPr>
                <w:rFonts w:hint="eastAsia" w:ascii="Times New Roman" w:hAnsi="Times New Roman" w:eastAsia="宋体" w:cs="Times New Roman"/>
                <w:snapToGrid w:val="0"/>
                <w:sz w:val="24"/>
                <w:szCs w:val="24"/>
                <w:highlight w:val="none"/>
                <w:lang w:val="en-US" w:eastAsia="zh-CN" w:bidi="ar-SA"/>
              </w:rPr>
              <w:t>本</w:t>
            </w:r>
            <w:r>
              <w:rPr>
                <w:rFonts w:hint="eastAsia" w:ascii="Times New Roman" w:hAnsi="Times New Roman" w:eastAsia="宋体" w:cs="Times New Roman"/>
                <w:snapToGrid w:val="0"/>
                <w:sz w:val="24"/>
                <w:szCs w:val="24"/>
                <w:highlight w:val="none"/>
                <w:lang w:val="en-GB" w:eastAsia="zh-CN" w:bidi="ar-SA"/>
              </w:rPr>
              <w:t>项目无外排废水，无重点污染物COD、氨氮的产生及排放，因此COD、氨氮</w:t>
            </w:r>
            <w:r>
              <w:rPr>
                <w:rFonts w:hint="eastAsia" w:ascii="Times New Roman" w:hAnsi="Times New Roman" w:eastAsia="宋体" w:cs="Times New Roman"/>
                <w:snapToGrid w:val="0"/>
                <w:sz w:val="24"/>
                <w:szCs w:val="24"/>
                <w:highlight w:val="none"/>
                <w:lang w:val="en-US" w:eastAsia="zh-CN" w:bidi="ar-SA"/>
              </w:rPr>
              <w:t>预测排放量分别为0t/a、0t/a。</w:t>
            </w:r>
          </w:p>
          <w:p w14:paraId="021D4787">
            <w:pPr>
              <w:keepNext w:val="0"/>
              <w:keepLines w:val="0"/>
              <w:pageBreakBefore w:val="0"/>
              <w:suppressLineNumbers w:val="0"/>
              <w:kinsoku/>
              <w:wordWrap/>
              <w:overflowPunct/>
              <w:topLinePunct w:val="0"/>
              <w:autoSpaceDE/>
              <w:autoSpaceDN/>
              <w:bidi w:val="0"/>
              <w:spacing w:before="0" w:beforeAutospacing="0" w:after="0" w:afterAutospacing="0" w:line="480" w:lineRule="atLeast"/>
              <w:ind w:left="0" w:right="0"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eastAsia="zh-CN"/>
              </w:rPr>
              <w:t>综上，项目建设后全厂</w:t>
            </w:r>
            <w:r>
              <w:rPr>
                <w:rFonts w:hint="default" w:ascii="Times New Roman" w:hAnsi="Times New Roman" w:eastAsia="宋体" w:cs="Times New Roman"/>
                <w:color w:val="auto"/>
                <w:sz w:val="24"/>
                <w:szCs w:val="24"/>
                <w:highlight w:val="none"/>
                <w:lang w:val="en-US" w:eastAsia="zh-CN"/>
              </w:rPr>
              <w:t>总量控制指标为：</w:t>
            </w:r>
            <w:r>
              <w:rPr>
                <w:rFonts w:hint="default" w:ascii="Times New Roman" w:hAnsi="Times New Roman" w:eastAsia="宋体" w:cs="Times New Roman"/>
                <w:b w:val="0"/>
                <w:bCs w:val="0"/>
                <w:color w:val="auto"/>
                <w:sz w:val="24"/>
                <w:szCs w:val="24"/>
                <w:highlight w:val="none"/>
                <w:lang w:val="en-US" w:eastAsia="zh-CN"/>
              </w:rPr>
              <w:t>SO</w:t>
            </w:r>
            <w:r>
              <w:rPr>
                <w:rFonts w:hint="default" w:ascii="Times New Roman" w:hAnsi="Times New Roman" w:eastAsia="宋体" w:cs="Times New Roman"/>
                <w:b w:val="0"/>
                <w:bCs w:val="0"/>
                <w:color w:val="auto"/>
                <w:sz w:val="24"/>
                <w:szCs w:val="24"/>
                <w:highlight w:val="none"/>
                <w:vertAlign w:val="subscript"/>
                <w:lang w:val="en-US" w:eastAsia="zh-CN"/>
              </w:rPr>
              <w:t>2</w:t>
            </w:r>
            <w:r>
              <w:rPr>
                <w:rFonts w:hint="default" w:ascii="Times New Roman" w:hAnsi="Times New Roman" w:eastAsia="宋体" w:cs="Times New Roman"/>
                <w:b w:val="0"/>
                <w:bCs w:val="0"/>
                <w:color w:val="auto"/>
                <w:sz w:val="24"/>
                <w:szCs w:val="24"/>
                <w:highlight w:val="none"/>
                <w:vertAlign w:val="baseline"/>
                <w:lang w:val="en-US" w:eastAsia="zh-CN"/>
              </w:rPr>
              <w:t>：</w:t>
            </w:r>
            <w:r>
              <w:rPr>
                <w:rFonts w:hint="eastAsia" w:ascii="Times New Roman" w:hAnsi="Times New Roman" w:eastAsia="宋体" w:cs="Times New Roman"/>
                <w:b w:val="0"/>
                <w:bCs w:val="0"/>
                <w:color w:val="auto"/>
                <w:sz w:val="24"/>
                <w:szCs w:val="24"/>
                <w:highlight w:val="none"/>
                <w:vertAlign w:val="baseline"/>
                <w:lang w:val="en-US" w:eastAsia="zh-CN"/>
              </w:rPr>
              <w:t>0</w:t>
            </w:r>
            <w:r>
              <w:rPr>
                <w:rFonts w:hint="default" w:ascii="Times New Roman" w:hAnsi="Times New Roman" w:eastAsia="宋体" w:cs="Times New Roman"/>
                <w:color w:val="auto"/>
                <w:sz w:val="24"/>
                <w:szCs w:val="24"/>
                <w:highlight w:val="none"/>
                <w:lang w:val="en-US" w:eastAsia="zh-CN"/>
              </w:rPr>
              <w:t>t/a、NOx：</w:t>
            </w:r>
            <w:r>
              <w:rPr>
                <w:rFonts w:hint="eastAsia" w:ascii="Times New Roman" w:hAnsi="Times New Roman" w:eastAsia="宋体" w:cs="Times New Roman"/>
                <w:color w:val="auto"/>
                <w:sz w:val="24"/>
                <w:szCs w:val="24"/>
                <w:highlight w:val="none"/>
                <w:lang w:val="en-US" w:eastAsia="zh-CN"/>
              </w:rPr>
              <w:t>0</w:t>
            </w:r>
            <w:r>
              <w:rPr>
                <w:rFonts w:hint="default" w:ascii="Times New Roman" w:hAnsi="Times New Roman" w:eastAsia="宋体" w:cs="Times New Roman"/>
                <w:color w:val="auto"/>
                <w:sz w:val="24"/>
                <w:szCs w:val="24"/>
                <w:highlight w:val="none"/>
                <w:lang w:val="en-US" w:eastAsia="zh-CN"/>
              </w:rPr>
              <w:t>t/a，COD：0t/a，氨氮：0t/a</w:t>
            </w:r>
            <w:r>
              <w:rPr>
                <w:rFonts w:hint="eastAsia" w:ascii="Times New Roman" w:hAnsi="Times New Roman" w:eastAsia="宋体" w:cs="Times New Roman"/>
                <w:color w:val="auto"/>
                <w:sz w:val="24"/>
                <w:szCs w:val="24"/>
                <w:highlight w:val="none"/>
                <w:lang w:val="en-US" w:eastAsia="zh-CN"/>
              </w:rPr>
              <w:t>，</w:t>
            </w:r>
            <w:r>
              <w:rPr>
                <w:rFonts w:hint="eastAsia" w:ascii="Times New Roman" w:hAnsi="Times New Roman" w:cs="Times New Roman"/>
                <w:snapToGrid w:val="0"/>
                <w:color w:val="000000" w:themeColor="text1"/>
                <w:sz w:val="24"/>
                <w:szCs w:val="24"/>
                <w:highlight w:val="none"/>
                <w:lang w:val="en-US" w:eastAsia="zh-CN" w:bidi="ar-SA"/>
                <w14:textFill>
                  <w14:solidFill>
                    <w14:schemeClr w14:val="tx1"/>
                  </w14:solidFill>
                </w14:textFill>
              </w:rPr>
              <w:t>非甲烷总</w:t>
            </w:r>
            <w:r>
              <w:rPr>
                <w:rFonts w:hint="default" w:ascii="Times New Roman" w:hAnsi="Times New Roman" w:cs="Times New Roman"/>
                <w:snapToGrid w:val="0"/>
                <w:color w:val="000000" w:themeColor="text1"/>
                <w:sz w:val="24"/>
                <w:szCs w:val="24"/>
                <w:highlight w:val="none"/>
                <w:lang w:val="en-US" w:eastAsia="zh-CN" w:bidi="ar-SA"/>
                <w14:textFill>
                  <w14:solidFill>
                    <w14:schemeClr w14:val="tx1"/>
                  </w14:solidFill>
                </w14:textFill>
              </w:rPr>
              <w:t>烃：</w:t>
            </w:r>
            <w:r>
              <w:rPr>
                <w:rFonts w:hint="eastAsia" w:ascii="Times New Roman" w:hAnsi="Times New Roman" w:cs="Times New Roman"/>
                <w:snapToGrid w:val="0"/>
                <w:color w:val="000000" w:themeColor="text1"/>
                <w:sz w:val="24"/>
                <w:szCs w:val="24"/>
                <w:highlight w:val="none"/>
                <w:lang w:val="en-US" w:eastAsia="zh-CN" w:bidi="ar-SA"/>
                <w14:textFill>
                  <w14:solidFill>
                    <w14:schemeClr w14:val="tx1"/>
                  </w14:solidFill>
                </w14:textFill>
              </w:rPr>
              <w:t>2.16</w:t>
            </w:r>
            <w:r>
              <w:rPr>
                <w:rFonts w:hint="default" w:ascii="Times New Roman" w:hAnsi="Times New Roman" w:cs="Times New Roman"/>
                <w:snapToGrid w:val="0"/>
                <w:color w:val="000000" w:themeColor="text1"/>
                <w:sz w:val="24"/>
                <w:szCs w:val="24"/>
                <w:highlight w:val="none"/>
                <w:lang w:val="en-US" w:eastAsia="zh-CN" w:bidi="ar-SA"/>
                <w14:textFill>
                  <w14:solidFill>
                    <w14:schemeClr w14:val="tx1"/>
                  </w14:solidFill>
                </w14:textFill>
              </w:rPr>
              <w:t>t/a</w:t>
            </w:r>
            <w:r>
              <w:rPr>
                <w:rFonts w:hint="eastAsia" w:ascii="Times New Roman" w:hAnsi="Times New Roman" w:cs="Times New Roman"/>
                <w:snapToGrid w:val="0"/>
                <w:color w:val="000000" w:themeColor="text1"/>
                <w:sz w:val="24"/>
                <w:szCs w:val="24"/>
                <w:highlight w:val="none"/>
                <w:lang w:val="en-US" w:eastAsia="zh-CN" w:bidi="ar-SA"/>
                <w14:textFill>
                  <w14:solidFill>
                    <w14:schemeClr w14:val="tx1"/>
                  </w14:solidFill>
                </w14:textFill>
              </w:rPr>
              <w:t>，</w:t>
            </w:r>
            <w:r>
              <w:rPr>
                <w:rFonts w:hint="default" w:ascii="Times New Roman" w:hAnsi="Times New Roman" w:cs="Times New Roman"/>
                <w:snapToGrid w:val="0"/>
                <w:color w:val="000000" w:themeColor="text1"/>
                <w:sz w:val="24"/>
                <w:szCs w:val="24"/>
                <w:highlight w:val="none"/>
                <w:lang w:val="en-US" w:eastAsia="zh-CN" w:bidi="ar-SA"/>
                <w14:textFill>
                  <w14:solidFill>
                    <w14:schemeClr w14:val="tx1"/>
                  </w14:solidFill>
                </w14:textFill>
              </w:rPr>
              <w:t>颗粒物：</w:t>
            </w:r>
            <w:r>
              <w:rPr>
                <w:rFonts w:hint="eastAsia" w:ascii="Times New Roman" w:hAnsi="Times New Roman" w:cs="Times New Roman"/>
                <w:snapToGrid w:val="0"/>
                <w:color w:val="000000" w:themeColor="text1"/>
                <w:sz w:val="24"/>
                <w:szCs w:val="24"/>
                <w:highlight w:val="none"/>
                <w:lang w:val="en-US" w:eastAsia="zh-CN" w:bidi="ar-SA"/>
                <w14:textFill>
                  <w14:solidFill>
                    <w14:schemeClr w14:val="tx1"/>
                  </w14:solidFill>
                </w14:textFill>
              </w:rPr>
              <w:t>0.0002</w:t>
            </w:r>
            <w:r>
              <w:rPr>
                <w:rFonts w:hint="default" w:ascii="Times New Roman" w:hAnsi="Times New Roman" w:cs="Times New Roman"/>
                <w:snapToGrid w:val="0"/>
                <w:color w:val="000000" w:themeColor="text1"/>
                <w:sz w:val="24"/>
                <w:szCs w:val="24"/>
                <w:highlight w:val="none"/>
                <w:lang w:val="en-US" w:eastAsia="zh-CN" w:bidi="ar-SA"/>
                <w14:textFill>
                  <w14:solidFill>
                    <w14:schemeClr w14:val="tx1"/>
                  </w14:solidFill>
                </w14:textFill>
              </w:rPr>
              <w:t>t/a</w:t>
            </w:r>
            <w:r>
              <w:rPr>
                <w:rFonts w:hint="default" w:ascii="Times New Roman" w:hAnsi="Times New Roman" w:eastAsia="宋体" w:cs="Times New Roman"/>
                <w:snapToGrid w:val="0"/>
                <w:color w:val="000000" w:themeColor="text1"/>
                <w:sz w:val="24"/>
                <w:szCs w:val="24"/>
                <w:highlight w:val="none"/>
                <w:lang w:val="en-US" w:eastAsia="zh-CN" w:bidi="ar-SA"/>
                <w14:textFill>
                  <w14:solidFill>
                    <w14:schemeClr w14:val="tx1"/>
                  </w14:solidFill>
                </w14:textFill>
              </w:rPr>
              <w:t>。</w:t>
            </w:r>
          </w:p>
          <w:p w14:paraId="4D180992">
            <w:pPr>
              <w:spacing w:line="480" w:lineRule="atLeast"/>
              <w:ind w:firstLine="560" w:firstLineChars="200"/>
              <w:rPr>
                <w:rFonts w:hint="default" w:ascii="Times New Roman" w:hAnsi="Times New Roman" w:cs="Times New Roman"/>
                <w:color w:val="auto"/>
                <w:highlight w:val="yellow"/>
              </w:rPr>
            </w:pPr>
          </w:p>
          <w:p w14:paraId="098DC6F3">
            <w:pPr>
              <w:spacing w:line="480" w:lineRule="atLeast"/>
              <w:ind w:firstLine="560" w:firstLineChars="200"/>
              <w:rPr>
                <w:rFonts w:hint="default" w:ascii="Times New Roman" w:hAnsi="Times New Roman" w:cs="Times New Roman"/>
                <w:color w:val="auto"/>
                <w:highlight w:val="yellow"/>
              </w:rPr>
            </w:pPr>
          </w:p>
          <w:p w14:paraId="2311B65F">
            <w:pPr>
              <w:spacing w:line="480" w:lineRule="atLeast"/>
              <w:ind w:firstLine="560" w:firstLineChars="200"/>
              <w:rPr>
                <w:rFonts w:hint="default" w:ascii="Times New Roman" w:hAnsi="Times New Roman" w:cs="Times New Roman"/>
                <w:color w:val="auto"/>
                <w:highlight w:val="yellow"/>
              </w:rPr>
            </w:pPr>
          </w:p>
          <w:p w14:paraId="48F8FBF7">
            <w:pPr>
              <w:pStyle w:val="9"/>
              <w:rPr>
                <w:rFonts w:hint="default" w:ascii="Times New Roman" w:hAnsi="Times New Roman" w:cs="Times New Roman"/>
                <w:color w:val="auto"/>
                <w:sz w:val="24"/>
                <w:szCs w:val="24"/>
              </w:rPr>
            </w:pPr>
          </w:p>
          <w:p w14:paraId="3A42FB69">
            <w:pPr>
              <w:rPr>
                <w:rFonts w:hint="default"/>
              </w:rPr>
            </w:pPr>
          </w:p>
        </w:tc>
      </w:tr>
    </w:tbl>
    <w:p w14:paraId="3D6D6981">
      <w:pPr>
        <w:rPr>
          <w:rFonts w:hint="default" w:ascii="Times New Roman" w:hAnsi="Times New Roman" w:eastAsia="黑体" w:cs="Times New Roman"/>
          <w:color w:val="auto"/>
          <w:sz w:val="30"/>
          <w:szCs w:val="30"/>
          <w:lang w:bidi="ar"/>
        </w:rPr>
      </w:pPr>
      <w:r>
        <w:rPr>
          <w:rFonts w:hint="default" w:ascii="Times New Roman" w:hAnsi="Times New Roman" w:eastAsia="黑体" w:cs="Times New Roman"/>
          <w:color w:val="auto"/>
          <w:sz w:val="30"/>
          <w:szCs w:val="30"/>
          <w:lang w:bidi="ar"/>
        </w:rPr>
        <w:br w:type="page"/>
      </w:r>
    </w:p>
    <w:p w14:paraId="70A5DFA9">
      <w:pPr>
        <w:widowControl/>
        <w:jc w:val="center"/>
        <w:rPr>
          <w:rFonts w:hint="default" w:ascii="Times New Roman" w:hAnsi="Times New Roman" w:cs="Times New Roman"/>
          <w:color w:val="auto"/>
        </w:rPr>
      </w:pPr>
      <w:r>
        <w:rPr>
          <w:rFonts w:hint="default" w:ascii="Times New Roman" w:hAnsi="Times New Roman" w:eastAsia="黑体" w:cs="Times New Roman"/>
          <w:color w:val="auto"/>
          <w:sz w:val="30"/>
          <w:szCs w:val="30"/>
          <w:lang w:bidi="ar"/>
        </w:rPr>
        <w:t>四、主要环境影响和保护措施</w:t>
      </w:r>
    </w:p>
    <w:tbl>
      <w:tblPr>
        <w:tblStyle w:val="35"/>
        <w:tblW w:w="92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9"/>
        <w:gridCol w:w="8592"/>
      </w:tblGrid>
      <w:tr w14:paraId="1F81A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4" w:hRule="atLeast"/>
          <w:jc w:val="center"/>
        </w:trPr>
        <w:tc>
          <w:tcPr>
            <w:tcW w:w="679" w:type="dxa"/>
            <w:vAlign w:val="center"/>
          </w:tcPr>
          <w:p w14:paraId="5CC3D037">
            <w:pPr>
              <w:widowControl/>
              <w:jc w:val="center"/>
              <w:rPr>
                <w:rFonts w:hint="default" w:ascii="Times New Roman" w:hAnsi="Times New Roman" w:eastAsia="宋体" w:cs="Times New Roman"/>
                <w:color w:val="auto"/>
              </w:rPr>
            </w:pPr>
            <w:r>
              <w:rPr>
                <w:rFonts w:hint="default" w:ascii="Times New Roman" w:hAnsi="Times New Roman" w:eastAsia="宋体" w:cs="Times New Roman"/>
                <w:color w:val="auto"/>
                <w:sz w:val="24"/>
                <w:szCs w:val="24"/>
                <w:lang w:bidi="ar"/>
              </w:rPr>
              <w:t>施工期环境保护措施</w:t>
            </w:r>
          </w:p>
        </w:tc>
        <w:tc>
          <w:tcPr>
            <w:tcW w:w="8592" w:type="dxa"/>
            <w:vAlign w:val="center"/>
          </w:tcPr>
          <w:p w14:paraId="74EF443E">
            <w:pPr>
              <w:pStyle w:val="9"/>
              <w:pageBreakBefore w:val="0"/>
              <w:widowControl w:val="0"/>
              <w:tabs>
                <w:tab w:val="left" w:pos="1680"/>
              </w:tabs>
              <w:kinsoku/>
              <w:wordWrap/>
              <w:overflowPunct/>
              <w:topLinePunct w:val="0"/>
              <w:autoSpaceDE/>
              <w:autoSpaceDN/>
              <w:bidi w:val="0"/>
              <w:spacing w:before="0" w:after="0" w:line="460" w:lineRule="atLeast"/>
              <w:ind w:firstLine="482" w:firstLineChars="200"/>
              <w:textAlignment w:val="auto"/>
              <w:rPr>
                <w:rFonts w:hint="eastAsia"/>
                <w:lang w:eastAsia="zh-CN"/>
              </w:rPr>
            </w:pPr>
            <w:r>
              <w:rPr>
                <w:rFonts w:hint="eastAsia" w:ascii="Times New Roman" w:hAnsi="Times New Roman" w:eastAsia="宋体" w:cs="Times New Roman"/>
                <w:b/>
                <w:bCs/>
                <w:color w:val="auto"/>
                <w:sz w:val="24"/>
                <w:szCs w:val="24"/>
                <w:highlight w:val="none"/>
                <w:lang w:eastAsia="zh-CN"/>
              </w:rPr>
              <w:t>施工期环境影响分析</w:t>
            </w:r>
          </w:p>
          <w:p w14:paraId="0F4D7C6B">
            <w:pPr>
              <w:pStyle w:val="9"/>
              <w:keepNext/>
              <w:keepLines/>
              <w:pageBreakBefore w:val="0"/>
              <w:widowControl w:val="0"/>
              <w:tabs>
                <w:tab w:val="left" w:pos="1680"/>
              </w:tabs>
              <w:kinsoku/>
              <w:wordWrap/>
              <w:overflowPunct/>
              <w:topLinePunct w:val="0"/>
              <w:autoSpaceDE/>
              <w:autoSpaceDN/>
              <w:bidi w:val="0"/>
              <w:adjustRightInd/>
              <w:snapToGrid/>
              <w:spacing w:before="0" w:after="0" w:line="460" w:lineRule="atLeast"/>
              <w:ind w:firstLine="480" w:firstLineChars="200"/>
              <w:textAlignment w:val="auto"/>
              <w:rPr>
                <w:rFonts w:hint="eastAsia" w:ascii="Times New Roman" w:hAnsi="Times New Roman" w:eastAsia="宋体" w:cs="Times New Roman"/>
                <w:b w:val="0"/>
                <w:bCs w:val="0"/>
                <w:color w:val="auto"/>
                <w:sz w:val="24"/>
                <w:szCs w:val="24"/>
                <w:highlight w:val="none"/>
                <w:lang w:eastAsia="zh-CN"/>
              </w:rPr>
            </w:pPr>
            <w:r>
              <w:rPr>
                <w:rFonts w:hint="eastAsia" w:ascii="Times New Roman" w:hAnsi="Times New Roman" w:eastAsia="宋体" w:cs="Times New Roman"/>
                <w:b w:val="0"/>
                <w:bCs w:val="0"/>
                <w:color w:val="auto"/>
                <w:sz w:val="24"/>
                <w:szCs w:val="24"/>
                <w:highlight w:val="none"/>
                <w:lang w:eastAsia="zh-CN"/>
              </w:rPr>
              <w:t>本项目利用</w:t>
            </w:r>
            <w:r>
              <w:rPr>
                <w:rFonts w:hint="eastAsia" w:ascii="Times New Roman" w:hAnsi="Times New Roman" w:eastAsia="宋体" w:cs="Times New Roman"/>
                <w:b w:val="0"/>
                <w:bCs w:val="0"/>
                <w:kern w:val="2"/>
                <w:sz w:val="24"/>
                <w:szCs w:val="24"/>
                <w:lang w:val="en-US" w:eastAsia="zh-CN" w:bidi="ar-SA"/>
              </w:rPr>
              <w:t>现有</w:t>
            </w:r>
            <w:r>
              <w:rPr>
                <w:rFonts w:hint="eastAsia" w:ascii="Times New Roman" w:hAnsi="Times New Roman" w:eastAsia="宋体" w:cs="Times New Roman"/>
                <w:b w:val="0"/>
                <w:bCs w:val="0"/>
                <w:color w:val="000000" w:themeColor="text1"/>
                <w:kern w:val="2"/>
                <w:sz w:val="24"/>
                <w:szCs w:val="24"/>
                <w:lang w:val="en-US" w:eastAsia="zh-CN" w:bidi="ar-SA"/>
                <w14:textFill>
                  <w14:solidFill>
                    <w14:schemeClr w14:val="tx1"/>
                  </w14:solidFill>
                </w14:textFill>
              </w:rPr>
              <w:t>厂房</w:t>
            </w:r>
            <w:r>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t>（地上建筑为既有建筑</w:t>
            </w:r>
            <w:r>
              <w:rPr>
                <w:rFonts w:hint="eastAsia" w:ascii="Times New Roman" w:hAnsi="Times New Roman" w:eastAsia="宋体" w:cs="Times New Roman"/>
                <w:b w:val="0"/>
                <w:bCs w:val="0"/>
                <w:color w:val="000000" w:themeColor="text1"/>
                <w:sz w:val="24"/>
                <w:szCs w:val="24"/>
                <w:highlight w:val="none"/>
                <w:lang w:eastAsia="zh-CN"/>
                <w14:textFill>
                  <w14:solidFill>
                    <w14:schemeClr w14:val="tx1"/>
                  </w14:solidFill>
                </w14:textFill>
              </w:rPr>
              <w:t>）</w:t>
            </w:r>
            <w:r>
              <w:rPr>
                <w:rFonts w:hint="eastAsia" w:ascii="Times New Roman" w:hAnsi="Times New Roman" w:eastAsia="宋体" w:cs="Times New Roman"/>
                <w:b w:val="0"/>
                <w:bCs w:val="0"/>
                <w:color w:val="000000" w:themeColor="text1"/>
                <w:kern w:val="2"/>
                <w:sz w:val="24"/>
                <w:szCs w:val="24"/>
                <w:highlight w:val="none"/>
                <w:lang w:val="en-US" w:eastAsia="zh-CN" w:bidi="ar-SA"/>
                <w14:textFill>
                  <w14:solidFill>
                    <w14:schemeClr w14:val="tx1"/>
                  </w14:solidFill>
                </w14:textFill>
              </w:rPr>
              <w:t>，危废贮存间使用活动板房，无土建</w:t>
            </w:r>
            <w:r>
              <w:rPr>
                <w:rFonts w:hint="eastAsia" w:ascii="Times New Roman" w:hAnsi="Times New Roman" w:eastAsia="宋体" w:cs="Times New Roman"/>
                <w:b w:val="0"/>
                <w:bCs w:val="0"/>
                <w:kern w:val="2"/>
                <w:sz w:val="24"/>
                <w:szCs w:val="24"/>
                <w:highlight w:val="none"/>
                <w:lang w:val="en-US" w:eastAsia="zh-CN" w:bidi="ar-SA"/>
              </w:rPr>
              <w:t>施工，项目建设主要为设备安装和调试</w:t>
            </w:r>
            <w:r>
              <w:rPr>
                <w:rFonts w:hint="eastAsia" w:ascii="Times New Roman" w:hAnsi="Times New Roman" w:eastAsia="宋体" w:cs="Times New Roman"/>
                <w:b w:val="0"/>
                <w:bCs w:val="0"/>
                <w:color w:val="auto"/>
                <w:sz w:val="24"/>
                <w:szCs w:val="24"/>
                <w:highlight w:val="none"/>
                <w:lang w:val="en-US" w:eastAsia="zh-CN"/>
              </w:rPr>
              <w:t>。</w:t>
            </w:r>
            <w:r>
              <w:rPr>
                <w:rFonts w:hint="eastAsia" w:ascii="Times New Roman" w:hAnsi="Times New Roman" w:eastAsia="宋体" w:cs="Times New Roman"/>
                <w:b w:val="0"/>
                <w:bCs w:val="0"/>
                <w:color w:val="auto"/>
                <w:sz w:val="24"/>
                <w:szCs w:val="24"/>
                <w:highlight w:val="none"/>
                <w:lang w:eastAsia="zh-CN"/>
              </w:rPr>
              <w:t>项目施工期须采取严格的措施进行管理，</w:t>
            </w:r>
            <w:r>
              <w:rPr>
                <w:rFonts w:hint="eastAsia" w:ascii="Times New Roman" w:hAnsi="Times New Roman" w:eastAsia="宋体" w:cs="Times New Roman"/>
                <w:b w:val="0"/>
                <w:bCs w:val="0"/>
                <w:color w:val="auto"/>
                <w:sz w:val="24"/>
                <w:szCs w:val="24"/>
                <w:highlight w:val="none"/>
                <w:lang w:val="en-US" w:eastAsia="zh-CN"/>
              </w:rPr>
              <w:t>将污染降低到最小限度。</w:t>
            </w:r>
          </w:p>
          <w:p w14:paraId="2CE10D2F">
            <w:pPr>
              <w:keepNext w:val="0"/>
              <w:keepLines w:val="0"/>
              <w:pageBreakBefore w:val="0"/>
              <w:suppressLineNumbers w:val="0"/>
              <w:kinsoku/>
              <w:wordWrap/>
              <w:overflowPunct/>
              <w:topLinePunct w:val="0"/>
              <w:autoSpaceDE/>
              <w:autoSpaceDN/>
              <w:bidi w:val="0"/>
              <w:spacing w:beforeAutospacing="0" w:after="0" w:afterAutospacing="0" w:line="460" w:lineRule="atLeast"/>
              <w:ind w:left="0" w:right="0" w:firstLine="48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1、</w:t>
            </w:r>
            <w:r>
              <w:rPr>
                <w:rFonts w:hint="eastAsia" w:ascii="Times New Roman" w:hAnsi="Times New Roman" w:eastAsia="宋体" w:cs="Times New Roman"/>
                <w:color w:val="auto"/>
                <w:sz w:val="24"/>
                <w:szCs w:val="24"/>
                <w:highlight w:val="none"/>
                <w:lang w:val="en-US" w:eastAsia="zh-CN"/>
              </w:rPr>
              <w:t>大气环境影响分析</w:t>
            </w:r>
          </w:p>
          <w:p w14:paraId="322845A9">
            <w:pPr>
              <w:keepNext w:val="0"/>
              <w:keepLines w:val="0"/>
              <w:pageBreakBefore w:val="0"/>
              <w:suppressLineNumbers w:val="0"/>
              <w:kinsoku/>
              <w:wordWrap/>
              <w:overflowPunct/>
              <w:topLinePunct w:val="0"/>
              <w:autoSpaceDE/>
              <w:autoSpaceDN/>
              <w:bidi w:val="0"/>
              <w:spacing w:beforeAutospacing="0" w:after="0" w:afterAutospacing="0" w:line="460" w:lineRule="atLeast"/>
              <w:ind w:left="0" w:right="0" w:firstLine="48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施工期主要为生产设备的安装调试，</w:t>
            </w:r>
            <w:r>
              <w:rPr>
                <w:rFonts w:hint="eastAsia" w:ascii="Times New Roman" w:hAnsi="Times New Roman" w:eastAsia="宋体" w:cs="Times New Roman"/>
                <w:color w:val="auto"/>
                <w:sz w:val="24"/>
                <w:szCs w:val="24"/>
                <w:highlight w:val="none"/>
                <w:lang w:val="en-US" w:eastAsia="zh-CN"/>
              </w:rPr>
              <w:t>产生废气量较少，且施工期较短，不再进行施工期大气环境影响分析。</w:t>
            </w:r>
          </w:p>
          <w:p w14:paraId="286C409F">
            <w:pPr>
              <w:keepNext w:val="0"/>
              <w:keepLines w:val="0"/>
              <w:pageBreakBefore w:val="0"/>
              <w:suppressLineNumbers w:val="0"/>
              <w:kinsoku/>
              <w:wordWrap/>
              <w:overflowPunct/>
              <w:topLinePunct w:val="0"/>
              <w:autoSpaceDE/>
              <w:autoSpaceDN/>
              <w:bidi w:val="0"/>
              <w:spacing w:beforeAutospacing="0" w:after="0" w:afterAutospacing="0" w:line="460" w:lineRule="atLeast"/>
              <w:ind w:left="0" w:right="0" w:firstLine="48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2、施工废水</w:t>
            </w:r>
            <w:r>
              <w:rPr>
                <w:rFonts w:hint="eastAsia" w:ascii="Times New Roman" w:hAnsi="Times New Roman" w:eastAsia="宋体" w:cs="Times New Roman"/>
                <w:color w:val="auto"/>
                <w:sz w:val="24"/>
                <w:szCs w:val="24"/>
                <w:highlight w:val="none"/>
                <w:lang w:val="en-US" w:eastAsia="zh-CN"/>
              </w:rPr>
              <w:t>影响分析</w:t>
            </w:r>
          </w:p>
          <w:p w14:paraId="38255272">
            <w:pPr>
              <w:keepNext w:val="0"/>
              <w:keepLines w:val="0"/>
              <w:pageBreakBefore w:val="0"/>
              <w:suppressLineNumbers w:val="0"/>
              <w:kinsoku/>
              <w:wordWrap/>
              <w:overflowPunct/>
              <w:topLinePunct w:val="0"/>
              <w:autoSpaceDE/>
              <w:autoSpaceDN/>
              <w:bidi w:val="0"/>
              <w:spacing w:beforeAutospacing="0" w:after="0" w:afterAutospacing="0" w:line="460" w:lineRule="atLeast"/>
              <w:ind w:left="0" w:right="0" w:firstLine="48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施工期废水主要来自于设备安装人员的少量生活污水，现场不设食堂，</w:t>
            </w:r>
            <w:r>
              <w:rPr>
                <w:rFonts w:hint="eastAsia" w:ascii="Times New Roman" w:hAnsi="Times New Roman" w:eastAsia="宋体" w:cs="Times New Roman"/>
                <w:color w:val="auto"/>
                <w:sz w:val="24"/>
                <w:szCs w:val="24"/>
                <w:highlight w:val="none"/>
                <w:lang w:val="en-US" w:eastAsia="zh-CN"/>
              </w:rPr>
              <w:t>施工人员就餐自行</w:t>
            </w:r>
            <w:r>
              <w:rPr>
                <w:rFonts w:hint="default" w:ascii="Times New Roman" w:hAnsi="Times New Roman" w:eastAsia="宋体" w:cs="Times New Roman"/>
                <w:color w:val="auto"/>
                <w:sz w:val="24"/>
                <w:szCs w:val="24"/>
                <w:highlight w:val="none"/>
                <w:lang w:val="en-US" w:eastAsia="zh-CN"/>
              </w:rPr>
              <w:t>解决，施工期使用</w:t>
            </w:r>
            <w:r>
              <w:rPr>
                <w:rFonts w:hint="eastAsia" w:ascii="Times New Roman" w:hAnsi="Times New Roman" w:eastAsia="宋体" w:cs="Times New Roman"/>
                <w:color w:val="auto"/>
                <w:sz w:val="24"/>
                <w:szCs w:val="24"/>
                <w:highlight w:val="none"/>
                <w:lang w:val="en-US" w:eastAsia="zh-CN"/>
              </w:rPr>
              <w:t>现有</w:t>
            </w:r>
            <w:r>
              <w:rPr>
                <w:rFonts w:hint="default" w:ascii="Times New Roman" w:hAnsi="Times New Roman" w:eastAsia="宋体" w:cs="Times New Roman"/>
                <w:color w:val="auto"/>
                <w:sz w:val="24"/>
                <w:szCs w:val="24"/>
                <w:highlight w:val="none"/>
                <w:lang w:val="en-US" w:eastAsia="zh-CN"/>
              </w:rPr>
              <w:t>厕所，产生的少量生活盥洗废水，水质简单，不会对当地水环境产生影响。</w:t>
            </w:r>
          </w:p>
          <w:p w14:paraId="1F8BD900">
            <w:pPr>
              <w:keepNext w:val="0"/>
              <w:keepLines w:val="0"/>
              <w:pageBreakBefore w:val="0"/>
              <w:suppressLineNumbers w:val="0"/>
              <w:kinsoku/>
              <w:wordWrap/>
              <w:overflowPunct/>
              <w:topLinePunct w:val="0"/>
              <w:autoSpaceDE/>
              <w:autoSpaceDN/>
              <w:bidi w:val="0"/>
              <w:spacing w:beforeAutospacing="0" w:after="0" w:afterAutospacing="0" w:line="460" w:lineRule="atLeast"/>
              <w:ind w:left="0" w:right="0" w:firstLine="48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3、噪声</w:t>
            </w:r>
            <w:r>
              <w:rPr>
                <w:rFonts w:hint="eastAsia" w:ascii="Times New Roman" w:hAnsi="Times New Roman" w:eastAsia="宋体" w:cs="Times New Roman"/>
                <w:color w:val="auto"/>
                <w:sz w:val="24"/>
                <w:szCs w:val="24"/>
                <w:highlight w:val="none"/>
                <w:lang w:val="en-US" w:eastAsia="zh-CN"/>
              </w:rPr>
              <w:t>环境影响分析</w:t>
            </w:r>
          </w:p>
          <w:p w14:paraId="6688814D">
            <w:pPr>
              <w:keepNext w:val="0"/>
              <w:keepLines w:val="0"/>
              <w:pageBreakBefore w:val="0"/>
              <w:suppressLineNumbers w:val="0"/>
              <w:kinsoku/>
              <w:wordWrap/>
              <w:overflowPunct/>
              <w:topLinePunct w:val="0"/>
              <w:autoSpaceDE/>
              <w:autoSpaceDN/>
              <w:bidi w:val="0"/>
              <w:spacing w:beforeAutospacing="0" w:after="0" w:afterAutospacing="0" w:line="460" w:lineRule="atLeast"/>
              <w:ind w:left="0" w:right="0" w:firstLine="48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施工期噪声主要来自生产设备安装噪声及运输车辆噪声。噪声级一般在65～90dB(A)之间。</w:t>
            </w:r>
            <w:r>
              <w:rPr>
                <w:rFonts w:hint="eastAsia" w:ascii="Times New Roman" w:hAnsi="Times New Roman" w:eastAsia="宋体" w:cs="Times New Roman"/>
                <w:color w:val="auto"/>
                <w:sz w:val="24"/>
                <w:szCs w:val="24"/>
                <w:highlight w:val="none"/>
                <w:lang w:val="en-US" w:eastAsia="zh-CN"/>
              </w:rPr>
              <w:t>为</w:t>
            </w:r>
            <w:r>
              <w:rPr>
                <w:rFonts w:hint="default" w:ascii="Times New Roman" w:hAnsi="Times New Roman" w:eastAsia="宋体" w:cs="Times New Roman"/>
                <w:color w:val="auto"/>
                <w:sz w:val="24"/>
                <w:szCs w:val="24"/>
                <w:highlight w:val="none"/>
                <w:lang w:val="en-US" w:eastAsia="zh-CN"/>
              </w:rPr>
              <w:t>避免噪声对周围环境的影响，建议建设单位采取以下措施：</w:t>
            </w:r>
          </w:p>
          <w:p w14:paraId="7C90CD53">
            <w:pPr>
              <w:keepNext w:val="0"/>
              <w:keepLines w:val="0"/>
              <w:pageBreakBefore w:val="0"/>
              <w:suppressLineNumbers w:val="0"/>
              <w:kinsoku/>
              <w:wordWrap/>
              <w:overflowPunct/>
              <w:topLinePunct w:val="0"/>
              <w:autoSpaceDE/>
              <w:autoSpaceDN/>
              <w:bidi w:val="0"/>
              <w:spacing w:beforeAutospacing="0" w:after="0" w:afterAutospacing="0" w:line="460" w:lineRule="atLeast"/>
              <w:ind w:left="0" w:right="0" w:firstLine="48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（1）尽量采用低噪声设备进行安装，避免夜间施工。</w:t>
            </w:r>
          </w:p>
          <w:p w14:paraId="3A0BC628">
            <w:pPr>
              <w:keepNext w:val="0"/>
              <w:keepLines w:val="0"/>
              <w:pageBreakBefore w:val="0"/>
              <w:suppressLineNumbers w:val="0"/>
              <w:kinsoku/>
              <w:wordWrap/>
              <w:overflowPunct/>
              <w:topLinePunct w:val="0"/>
              <w:autoSpaceDE/>
              <w:autoSpaceDN/>
              <w:bidi w:val="0"/>
              <w:spacing w:beforeAutospacing="0" w:after="0" w:afterAutospacing="0" w:line="460" w:lineRule="atLeast"/>
              <w:ind w:left="0" w:right="0" w:firstLine="48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（2）合理制定施工计划，一定要严格控制和管理产生噪声的设备的使用时间，尽可能避免在同一区段安排大量强噪声设备同时施工。</w:t>
            </w:r>
          </w:p>
          <w:p w14:paraId="103C74FC">
            <w:pPr>
              <w:keepNext w:val="0"/>
              <w:keepLines w:val="0"/>
              <w:pageBreakBefore w:val="0"/>
              <w:suppressLineNumbers w:val="0"/>
              <w:kinsoku/>
              <w:wordWrap/>
              <w:overflowPunct/>
              <w:topLinePunct w:val="0"/>
              <w:autoSpaceDE/>
              <w:autoSpaceDN/>
              <w:bidi w:val="0"/>
              <w:spacing w:beforeAutospacing="0" w:after="0" w:afterAutospacing="0" w:line="460" w:lineRule="atLeast"/>
              <w:ind w:left="0" w:right="0" w:firstLine="48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施工期的</w:t>
            </w:r>
            <w:r>
              <w:rPr>
                <w:rFonts w:hint="eastAsia" w:ascii="Times New Roman" w:hAnsi="Times New Roman" w:eastAsia="宋体" w:cs="Times New Roman"/>
                <w:color w:val="auto"/>
                <w:sz w:val="24"/>
                <w:szCs w:val="24"/>
                <w:highlight w:val="none"/>
                <w:lang w:val="en-US" w:eastAsia="zh-CN"/>
              </w:rPr>
              <w:t>噪声</w:t>
            </w:r>
            <w:r>
              <w:rPr>
                <w:rFonts w:hint="default" w:ascii="Times New Roman" w:hAnsi="Times New Roman" w:eastAsia="宋体" w:cs="Times New Roman"/>
                <w:color w:val="auto"/>
                <w:sz w:val="24"/>
                <w:szCs w:val="24"/>
                <w:highlight w:val="none"/>
                <w:lang w:val="en-US" w:eastAsia="zh-CN"/>
              </w:rPr>
              <w:t>影响是暂时的，将随着施工期的结束而消失。</w:t>
            </w:r>
          </w:p>
          <w:p w14:paraId="1D99B0E3">
            <w:pPr>
              <w:keepNext w:val="0"/>
              <w:keepLines w:val="0"/>
              <w:pageBreakBefore w:val="0"/>
              <w:suppressLineNumbers w:val="0"/>
              <w:kinsoku/>
              <w:wordWrap/>
              <w:overflowPunct/>
              <w:topLinePunct w:val="0"/>
              <w:autoSpaceDE/>
              <w:autoSpaceDN/>
              <w:bidi w:val="0"/>
              <w:spacing w:beforeAutospacing="0" w:after="0" w:afterAutospacing="0" w:line="460" w:lineRule="atLeast"/>
              <w:ind w:left="0" w:right="0" w:firstLine="48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4、</w:t>
            </w:r>
            <w:r>
              <w:rPr>
                <w:rFonts w:hint="eastAsia" w:ascii="Times New Roman" w:hAnsi="Times New Roman" w:eastAsia="宋体" w:cs="Times New Roman"/>
                <w:color w:val="auto"/>
                <w:sz w:val="24"/>
                <w:szCs w:val="24"/>
                <w:highlight w:val="none"/>
                <w:lang w:val="en-US" w:eastAsia="zh-CN"/>
              </w:rPr>
              <w:t>固废影响分析</w:t>
            </w:r>
          </w:p>
          <w:p w14:paraId="5FE98EB8">
            <w:pPr>
              <w:keepNext w:val="0"/>
              <w:keepLines w:val="0"/>
              <w:pageBreakBefore w:val="0"/>
              <w:suppressLineNumbers w:val="0"/>
              <w:kinsoku/>
              <w:wordWrap/>
              <w:overflowPunct/>
              <w:topLinePunct w:val="0"/>
              <w:autoSpaceDE/>
              <w:autoSpaceDN/>
              <w:bidi w:val="0"/>
              <w:spacing w:beforeAutospacing="0" w:after="0" w:afterAutospacing="0" w:line="460" w:lineRule="atLeast"/>
              <w:ind w:left="0" w:right="0" w:firstLine="480"/>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施工期固废主要为</w:t>
            </w:r>
            <w:r>
              <w:rPr>
                <w:rFonts w:hint="default" w:ascii="Times New Roman" w:hAnsi="Times New Roman" w:eastAsia="宋体" w:cs="Times New Roman"/>
                <w:color w:val="auto"/>
                <w:sz w:val="24"/>
                <w:szCs w:val="24"/>
                <w:highlight w:val="none"/>
                <w:lang w:val="en-US" w:eastAsia="zh-CN"/>
              </w:rPr>
              <w:t>施工人员产生的生活垃圾</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集中收集后送当地环卫部门指定地点处理，各设备的包装箱、袋等应派专人负责收集分类存放，统一运往废品收购站回收利用。</w:t>
            </w:r>
          </w:p>
          <w:p w14:paraId="4F42E400">
            <w:pPr>
              <w:keepNext w:val="0"/>
              <w:keepLines w:val="0"/>
              <w:pageBreakBefore w:val="0"/>
              <w:suppressLineNumbers w:val="0"/>
              <w:kinsoku/>
              <w:wordWrap/>
              <w:overflowPunct/>
              <w:topLinePunct w:val="0"/>
              <w:autoSpaceDE/>
              <w:autoSpaceDN/>
              <w:bidi w:val="0"/>
              <w:spacing w:beforeAutospacing="0" w:after="0" w:afterAutospacing="0" w:line="460" w:lineRule="atLeast"/>
              <w:ind w:left="0" w:right="0" w:firstLine="48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综上所述，施工期的影响是暂时的，施工结束后受影响的环境因素可恢复到原有水平</w:t>
            </w:r>
            <w:r>
              <w:rPr>
                <w:rFonts w:hint="eastAsia" w:ascii="Times New Roman" w:hAnsi="Times New Roman" w:cs="Times New Roman"/>
                <w:color w:val="auto"/>
                <w:sz w:val="24"/>
                <w:szCs w:val="24"/>
                <w:highlight w:val="none"/>
                <w:lang w:val="en-US" w:eastAsia="zh-CN"/>
              </w:rPr>
              <w:t>。</w:t>
            </w:r>
          </w:p>
          <w:p w14:paraId="43536931">
            <w:pPr>
              <w:pStyle w:val="5"/>
              <w:spacing w:after="0" w:line="500" w:lineRule="exact"/>
              <w:rPr>
                <w:rFonts w:hint="default" w:ascii="Times New Roman" w:hAnsi="Times New Roman" w:eastAsia="宋体" w:cs="Times New Roman"/>
                <w:color w:val="auto"/>
                <w:szCs w:val="24"/>
              </w:rPr>
            </w:pPr>
          </w:p>
          <w:p w14:paraId="64FDCA3B">
            <w:pPr>
              <w:pStyle w:val="5"/>
              <w:spacing w:after="0" w:line="500" w:lineRule="exact"/>
              <w:rPr>
                <w:rFonts w:hint="default" w:ascii="Times New Roman" w:hAnsi="Times New Roman" w:eastAsia="宋体" w:cs="Times New Roman"/>
                <w:color w:val="auto"/>
                <w:szCs w:val="24"/>
              </w:rPr>
            </w:pPr>
          </w:p>
          <w:p w14:paraId="1269DFDE">
            <w:pPr>
              <w:pStyle w:val="5"/>
              <w:spacing w:after="0" w:line="500" w:lineRule="exact"/>
              <w:rPr>
                <w:rFonts w:hint="default" w:ascii="Times New Roman" w:hAnsi="Times New Roman" w:eastAsia="宋体" w:cs="Times New Roman"/>
                <w:color w:val="auto"/>
                <w:szCs w:val="24"/>
              </w:rPr>
            </w:pPr>
          </w:p>
          <w:p w14:paraId="6FE25C3F">
            <w:pPr>
              <w:pStyle w:val="5"/>
              <w:spacing w:after="0" w:line="480" w:lineRule="atLeast"/>
              <w:ind w:firstLine="0" w:firstLineChars="0"/>
              <w:rPr>
                <w:rFonts w:hint="default" w:ascii="Times New Roman" w:hAnsi="Times New Roman" w:eastAsia="宋体" w:cs="Times New Roman"/>
                <w:color w:val="auto"/>
              </w:rPr>
            </w:pPr>
          </w:p>
        </w:tc>
      </w:tr>
      <w:tr w14:paraId="69397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02" w:hRule="atLeast"/>
          <w:jc w:val="center"/>
        </w:trPr>
        <w:tc>
          <w:tcPr>
            <w:tcW w:w="679" w:type="dxa"/>
            <w:vAlign w:val="center"/>
          </w:tcPr>
          <w:p w14:paraId="0A6B3E7C">
            <w:pPr>
              <w:widowControl/>
              <w:jc w:val="center"/>
              <w:rPr>
                <w:rFonts w:hint="default" w:ascii="Times New Roman" w:hAnsi="Times New Roman" w:eastAsia="宋体" w:cs="Times New Roman"/>
                <w:color w:val="auto"/>
              </w:rPr>
            </w:pPr>
            <w:r>
              <w:rPr>
                <w:rFonts w:hint="default" w:ascii="Times New Roman" w:hAnsi="Times New Roman" w:eastAsia="宋体" w:cs="Times New Roman"/>
                <w:color w:val="auto"/>
                <w:sz w:val="24"/>
                <w:szCs w:val="24"/>
                <w:lang w:bidi="ar"/>
              </w:rPr>
              <w:t>运营期环境影响和保护措施</w:t>
            </w:r>
          </w:p>
        </w:tc>
        <w:tc>
          <w:tcPr>
            <w:tcW w:w="8592" w:type="dxa"/>
            <w:vAlign w:val="center"/>
          </w:tcPr>
          <w:p w14:paraId="63CC9226">
            <w:pPr>
              <w:spacing w:line="440" w:lineRule="atLeast"/>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一、</w:t>
            </w:r>
            <w:r>
              <w:rPr>
                <w:rFonts w:hint="default" w:ascii="Times New Roman" w:hAnsi="Times New Roman" w:eastAsia="宋体" w:cs="Times New Roman"/>
                <w:b/>
                <w:color w:val="auto"/>
                <w:sz w:val="24"/>
                <w:szCs w:val="24"/>
              </w:rPr>
              <w:t>大气环境影响分析</w:t>
            </w:r>
          </w:p>
          <w:p w14:paraId="497E5091">
            <w:pPr>
              <w:pStyle w:val="4"/>
              <w:spacing w:line="500" w:lineRule="exact"/>
              <w:ind w:firstLine="482"/>
              <w:rPr>
                <w:rFonts w:hint="default" w:ascii="Times New Roman" w:hAnsi="Times New Roman" w:eastAsia="宋体" w:cs="Times New Roman"/>
                <w:color w:val="auto"/>
                <w:sz w:val="24"/>
                <w:highlight w:val="none"/>
              </w:rPr>
            </w:pPr>
            <w:r>
              <w:rPr>
                <w:rFonts w:hint="default" w:ascii="Times New Roman" w:hAnsi="Times New Roman" w:eastAsia="宋体" w:cs="Times New Roman"/>
                <w:b/>
                <w:bCs/>
                <w:color w:val="auto"/>
                <w:sz w:val="24"/>
                <w:szCs w:val="24"/>
              </w:rPr>
              <w:t>1、污染物源强核算</w:t>
            </w:r>
          </w:p>
          <w:p w14:paraId="57F5C76E">
            <w:pPr>
              <w:keepNext w:val="0"/>
              <w:keepLines w:val="0"/>
              <w:pageBreakBefore w:val="0"/>
              <w:widowControl w:val="0"/>
              <w:kinsoku/>
              <w:wordWrap/>
              <w:overflowPunct/>
              <w:topLinePunct w:val="0"/>
              <w:autoSpaceDE/>
              <w:autoSpaceDN/>
              <w:bidi w:val="0"/>
              <w:adjustRightInd/>
              <w:snapToGrid/>
              <w:spacing w:line="480" w:lineRule="atLeast"/>
              <w:ind w:firstLine="480" w:firstLineChars="200"/>
              <w:textAlignment w:val="auto"/>
              <w:rPr>
                <w:rFonts w:hint="default" w:ascii="Times New Roman" w:hAnsi="Times New Roman" w:eastAsia="宋体" w:cs="Times New Roman"/>
                <w:i w:val="0"/>
                <w:caps w:val="0"/>
                <w:color w:val="auto"/>
                <w:spacing w:val="0"/>
                <w:sz w:val="20"/>
                <w:szCs w:val="20"/>
                <w:highlight w:val="none"/>
                <w:shd w:val="clear" w:fill="FFFFFF"/>
                <w:lang w:val="en-US" w:eastAsia="zh-CN"/>
              </w:rPr>
            </w:pPr>
            <w:r>
              <w:rPr>
                <w:rFonts w:hint="default" w:ascii="Times New Roman" w:hAnsi="Times New Roman" w:eastAsia="宋体" w:cs="Times New Roman"/>
                <w:i w:val="0"/>
                <w:caps w:val="0"/>
                <w:color w:val="auto"/>
                <w:spacing w:val="0"/>
                <w:sz w:val="24"/>
                <w:szCs w:val="24"/>
                <w:highlight w:val="none"/>
                <w:shd w:val="clear" w:fill="FFFFFF"/>
                <w:lang w:eastAsia="zh-CN"/>
              </w:rPr>
              <w:t>根据《环境工程设计手册》</w:t>
            </w:r>
            <w:r>
              <w:rPr>
                <w:rFonts w:hint="default" w:ascii="Times New Roman" w:hAnsi="Times New Roman" w:eastAsia="宋体" w:cs="Times New Roman"/>
                <w:i w:val="0"/>
                <w:caps w:val="0"/>
                <w:color w:val="auto"/>
                <w:spacing w:val="0"/>
                <w:sz w:val="24"/>
                <w:szCs w:val="24"/>
                <w:highlight w:val="none"/>
                <w:shd w:val="clear" w:fill="FFFFFF"/>
                <w:lang w:val="en-US" w:eastAsia="zh-CN"/>
              </w:rPr>
              <w:t>P48页式1.3.12和</w:t>
            </w:r>
            <w:r>
              <w:rPr>
                <w:rFonts w:hint="default" w:ascii="Times New Roman" w:hAnsi="Times New Roman" w:eastAsia="宋体" w:cs="Times New Roman"/>
                <w:i w:val="0"/>
                <w:caps w:val="0"/>
                <w:color w:val="auto"/>
                <w:spacing w:val="0"/>
                <w:sz w:val="24"/>
                <w:szCs w:val="24"/>
                <w:highlight w:val="none"/>
                <w:shd w:val="clear" w:fill="FFFFFF"/>
                <w:lang w:eastAsia="zh-CN"/>
              </w:rPr>
              <w:t>《机械工业采暖通风与空调设计手册》</w:t>
            </w:r>
            <w:r>
              <w:rPr>
                <w:rFonts w:hint="default" w:ascii="Times New Roman" w:hAnsi="Times New Roman" w:eastAsia="宋体" w:cs="Times New Roman"/>
                <w:i w:val="0"/>
                <w:caps w:val="0"/>
                <w:color w:val="auto"/>
                <w:spacing w:val="0"/>
                <w:sz w:val="24"/>
                <w:szCs w:val="24"/>
                <w:highlight w:val="none"/>
                <w:shd w:val="clear" w:fill="FFFFFF"/>
                <w:lang w:val="en-US" w:eastAsia="zh-CN"/>
              </w:rPr>
              <w:t>P264页式10-9：</w:t>
            </w:r>
            <w:r>
              <w:rPr>
                <w:rFonts w:hint="default" w:ascii="Times New Roman" w:hAnsi="Times New Roman" w:eastAsia="宋体" w:cs="Times New Roman"/>
                <w:i w:val="0"/>
                <w:caps w:val="0"/>
                <w:color w:val="auto"/>
                <w:spacing w:val="0"/>
                <w:sz w:val="24"/>
                <w:szCs w:val="24"/>
                <w:highlight w:val="none"/>
                <w:shd w:val="clear" w:fill="FFFFFF"/>
              </w:rPr>
              <w:t>外部集气罩</w:t>
            </w:r>
            <w:r>
              <w:rPr>
                <w:rFonts w:hint="default" w:ascii="Times New Roman" w:hAnsi="Times New Roman" w:eastAsia="宋体" w:cs="Times New Roman"/>
                <w:i w:val="0"/>
                <w:caps w:val="0"/>
                <w:color w:val="auto"/>
                <w:spacing w:val="0"/>
                <w:sz w:val="24"/>
                <w:szCs w:val="24"/>
                <w:highlight w:val="none"/>
                <w:shd w:val="clear" w:fill="FFFFFF"/>
                <w:lang w:eastAsia="zh-CN"/>
              </w:rPr>
              <w:t>排风量计算公式：</w:t>
            </w:r>
            <w:r>
              <w:rPr>
                <w:rFonts w:hint="default" w:ascii="Times New Roman" w:hAnsi="Times New Roman" w:eastAsia="宋体" w:cs="Times New Roman"/>
                <w:i w:val="0"/>
                <w:caps w:val="0"/>
                <w:color w:val="auto"/>
                <w:spacing w:val="0"/>
                <w:position w:val="-12"/>
                <w:sz w:val="20"/>
                <w:szCs w:val="20"/>
                <w:highlight w:val="none"/>
                <w:shd w:val="clear" w:fill="FFFFFF"/>
                <w:lang w:val="en-US" w:eastAsia="zh-CN"/>
              </w:rPr>
              <w:object>
                <v:shape id="_x0000_i1025" o:spt="75" type="#_x0000_t75" style="height:25pt;width:79.05pt;" o:ole="t" filled="f" o:preferrelative="t" stroked="f" coordsize="21600,21600">
                  <v:path/>
                  <v:fill on="f" focussize="0,0"/>
                  <v:stroke on="f"/>
                  <v:imagedata r:id="rId16" o:title=""/>
                  <o:lock v:ext="edit" aspectratio="t"/>
                  <w10:wrap type="none"/>
                  <w10:anchorlock/>
                </v:shape>
                <o:OLEObject Type="Embed" ProgID="Equation.KSEE3" ShapeID="_x0000_i1025" DrawAspect="Content" ObjectID="_1468075725" r:id="rId15">
                  <o:LockedField>false</o:LockedField>
                </o:OLEObject>
              </w:object>
            </w:r>
          </w:p>
          <w:p w14:paraId="02448F90">
            <w:pPr>
              <w:pStyle w:val="4"/>
              <w:keepNext w:val="0"/>
              <w:keepLines w:val="0"/>
              <w:pageBreakBefore w:val="0"/>
              <w:widowControl w:val="0"/>
              <w:kinsoku/>
              <w:wordWrap/>
              <w:overflowPunct/>
              <w:topLinePunct w:val="0"/>
              <w:autoSpaceDE/>
              <w:autoSpaceDN/>
              <w:bidi w:val="0"/>
              <w:adjustRightInd/>
              <w:snapToGrid/>
              <w:spacing w:line="480" w:lineRule="atLeast"/>
              <w:ind w:left="0" w:leftChars="0" w:firstLine="0" w:firstLineChars="0"/>
              <w:jc w:val="left"/>
              <w:textAlignment w:val="auto"/>
              <w:rPr>
                <w:rFonts w:hint="default" w:ascii="Times New Roman" w:hAnsi="Times New Roman" w:eastAsia="宋体" w:cs="Times New Roman"/>
                <w:i w:val="0"/>
                <w:caps w:val="0"/>
                <w:color w:val="auto"/>
                <w:spacing w:val="0"/>
                <w:sz w:val="24"/>
                <w:szCs w:val="24"/>
                <w:highlight w:val="none"/>
                <w:shd w:val="clear" w:fill="FFFFFF"/>
                <w:lang w:val="en-US" w:eastAsia="zh-CN"/>
              </w:rPr>
            </w:pPr>
            <w:r>
              <w:rPr>
                <w:rFonts w:hint="default" w:ascii="Times New Roman" w:hAnsi="Times New Roman" w:eastAsia="宋体" w:cs="Times New Roman"/>
                <w:i w:val="0"/>
                <w:caps w:val="0"/>
                <w:color w:val="auto"/>
                <w:spacing w:val="0"/>
                <w:sz w:val="24"/>
                <w:szCs w:val="24"/>
                <w:highlight w:val="none"/>
                <w:shd w:val="clear" w:fill="FFFFFF"/>
                <w:lang w:val="en-US" w:eastAsia="zh-CN"/>
              </w:rPr>
              <w:t>式中：L—上吸式排放罩的排气量；</w:t>
            </w:r>
          </w:p>
          <w:p w14:paraId="444C7CBD">
            <w:pPr>
              <w:pStyle w:val="4"/>
              <w:keepNext w:val="0"/>
              <w:keepLines w:val="0"/>
              <w:pageBreakBefore w:val="0"/>
              <w:widowControl w:val="0"/>
              <w:numPr>
                <w:ilvl w:val="0"/>
                <w:numId w:val="0"/>
              </w:numPr>
              <w:kinsoku/>
              <w:wordWrap/>
              <w:overflowPunct/>
              <w:topLinePunct w:val="0"/>
              <w:autoSpaceDE/>
              <w:autoSpaceDN/>
              <w:bidi w:val="0"/>
              <w:adjustRightInd/>
              <w:snapToGrid/>
              <w:spacing w:line="480" w:lineRule="atLeast"/>
              <w:ind w:left="560" w:leftChars="200"/>
              <w:jc w:val="left"/>
              <w:textAlignment w:val="auto"/>
              <w:rPr>
                <w:rFonts w:hint="default" w:ascii="Times New Roman" w:hAnsi="Times New Roman" w:eastAsia="宋体" w:cs="Times New Roman"/>
                <w:i w:val="0"/>
                <w:caps w:val="0"/>
                <w:color w:val="auto"/>
                <w:spacing w:val="0"/>
                <w:sz w:val="24"/>
                <w:szCs w:val="24"/>
                <w:highlight w:val="none"/>
                <w:shd w:val="clear" w:fill="FFFFFF"/>
                <w:lang w:eastAsia="zh-CN"/>
              </w:rPr>
            </w:pPr>
            <w:r>
              <w:rPr>
                <w:rFonts w:hint="default" w:ascii="Times New Roman" w:hAnsi="Times New Roman" w:eastAsia="宋体" w:cs="Times New Roman"/>
                <w:i w:val="0"/>
                <w:caps w:val="0"/>
                <w:color w:val="auto"/>
                <w:spacing w:val="0"/>
                <w:sz w:val="24"/>
                <w:szCs w:val="24"/>
                <w:highlight w:val="none"/>
                <w:shd w:val="clear" w:fill="FFFFFF"/>
                <w:lang w:val="en-US" w:eastAsia="zh-CN"/>
              </w:rPr>
              <w:t>K—</w:t>
            </w:r>
            <w:r>
              <w:rPr>
                <w:rFonts w:hint="default" w:ascii="Times New Roman" w:hAnsi="Times New Roman" w:eastAsia="宋体" w:cs="Times New Roman"/>
                <w:i w:val="0"/>
                <w:caps w:val="0"/>
                <w:color w:val="auto"/>
                <w:spacing w:val="0"/>
                <w:sz w:val="24"/>
                <w:szCs w:val="24"/>
                <w:highlight w:val="none"/>
                <w:shd w:val="clear" w:fill="FFFFFF"/>
                <w:lang w:eastAsia="zh-CN"/>
              </w:rPr>
              <w:t>考虑沿高度速度分布不均的安全系数，通常取K=1.4；</w:t>
            </w:r>
          </w:p>
          <w:p w14:paraId="51BB4B24">
            <w:pPr>
              <w:pStyle w:val="4"/>
              <w:keepNext w:val="0"/>
              <w:keepLines w:val="0"/>
              <w:pageBreakBefore w:val="0"/>
              <w:widowControl w:val="0"/>
              <w:numPr>
                <w:ilvl w:val="0"/>
                <w:numId w:val="0"/>
              </w:numPr>
              <w:kinsoku/>
              <w:wordWrap/>
              <w:overflowPunct/>
              <w:topLinePunct w:val="0"/>
              <w:autoSpaceDE/>
              <w:autoSpaceDN/>
              <w:bidi w:val="0"/>
              <w:adjustRightInd/>
              <w:snapToGrid/>
              <w:spacing w:line="480" w:lineRule="atLeast"/>
              <w:ind w:left="1040" w:leftChars="200" w:hanging="480" w:hangingChars="200"/>
              <w:jc w:val="left"/>
              <w:textAlignment w:val="auto"/>
              <w:rPr>
                <w:rFonts w:hint="default" w:ascii="Times New Roman" w:hAnsi="Times New Roman" w:eastAsia="宋体" w:cs="Times New Roman"/>
                <w:i w:val="0"/>
                <w:caps w:val="0"/>
                <w:color w:val="auto"/>
                <w:spacing w:val="0"/>
                <w:sz w:val="24"/>
                <w:szCs w:val="24"/>
                <w:highlight w:val="none"/>
                <w:shd w:val="clear" w:fill="FFFFFF"/>
                <w:lang w:val="en-US" w:eastAsia="zh-CN"/>
              </w:rPr>
            </w:pPr>
            <w:r>
              <w:rPr>
                <w:rFonts w:hint="default" w:ascii="Times New Roman" w:hAnsi="Times New Roman" w:eastAsia="宋体" w:cs="Times New Roman"/>
                <w:i w:val="0"/>
                <w:caps w:val="0"/>
                <w:color w:val="auto"/>
                <w:spacing w:val="0"/>
                <w:sz w:val="24"/>
                <w:szCs w:val="24"/>
                <w:highlight w:val="none"/>
                <w:shd w:val="clear" w:fill="FFFFFF"/>
                <w:lang w:val="en-US" w:eastAsia="zh-CN"/>
              </w:rPr>
              <w:t>P—排风罩敞开面的周长l=2（a+b）（a为罩口长边尺寸，b罩口短边尺寸）；</w:t>
            </w:r>
          </w:p>
          <w:p w14:paraId="0C818CCD">
            <w:pPr>
              <w:pStyle w:val="4"/>
              <w:keepNext w:val="0"/>
              <w:keepLines w:val="0"/>
              <w:pageBreakBefore w:val="0"/>
              <w:widowControl w:val="0"/>
              <w:numPr>
                <w:ilvl w:val="0"/>
                <w:numId w:val="0"/>
              </w:numPr>
              <w:kinsoku/>
              <w:wordWrap/>
              <w:overflowPunct/>
              <w:topLinePunct w:val="0"/>
              <w:autoSpaceDE/>
              <w:autoSpaceDN/>
              <w:bidi w:val="0"/>
              <w:adjustRightInd/>
              <w:snapToGrid/>
              <w:spacing w:line="480" w:lineRule="atLeast"/>
              <w:ind w:left="1040" w:leftChars="200" w:hanging="480" w:hangingChars="200"/>
              <w:jc w:val="left"/>
              <w:textAlignment w:val="auto"/>
              <w:rPr>
                <w:rFonts w:hint="default" w:ascii="Times New Roman" w:hAnsi="Times New Roman" w:eastAsia="宋体" w:cs="Times New Roman"/>
                <w:i w:val="0"/>
                <w:caps w:val="0"/>
                <w:color w:val="auto"/>
                <w:spacing w:val="0"/>
                <w:sz w:val="24"/>
                <w:szCs w:val="24"/>
                <w:highlight w:val="none"/>
                <w:shd w:val="clear" w:fill="FFFFFF"/>
                <w:lang w:val="en-US" w:eastAsia="zh-CN"/>
              </w:rPr>
            </w:pPr>
            <w:r>
              <w:rPr>
                <w:rFonts w:hint="default" w:ascii="Times New Roman" w:hAnsi="Times New Roman" w:eastAsia="宋体" w:cs="Times New Roman"/>
                <w:i w:val="0"/>
                <w:caps w:val="0"/>
                <w:color w:val="auto"/>
                <w:spacing w:val="0"/>
                <w:sz w:val="24"/>
                <w:szCs w:val="24"/>
                <w:highlight w:val="none"/>
                <w:shd w:val="clear" w:fill="FFFFFF"/>
                <w:lang w:val="en-US" w:eastAsia="zh-CN"/>
              </w:rPr>
              <w:t>H—</w:t>
            </w:r>
            <w:r>
              <w:rPr>
                <w:rFonts w:hint="eastAsia" w:ascii="Times New Roman" w:hAnsi="Times New Roman" w:cs="Times New Roman"/>
                <w:i w:val="0"/>
                <w:caps w:val="0"/>
                <w:color w:val="auto"/>
                <w:spacing w:val="0"/>
                <w:sz w:val="24"/>
                <w:szCs w:val="24"/>
                <w:highlight w:val="none"/>
                <w:shd w:val="clear" w:fill="FFFFFF"/>
                <w:lang w:val="en-US" w:eastAsia="zh-CN"/>
              </w:rPr>
              <w:t>罩</w:t>
            </w:r>
            <w:r>
              <w:rPr>
                <w:rFonts w:hint="default" w:ascii="Times New Roman" w:hAnsi="Times New Roman" w:eastAsia="宋体" w:cs="Times New Roman"/>
                <w:i w:val="0"/>
                <w:caps w:val="0"/>
                <w:color w:val="auto"/>
                <w:spacing w:val="0"/>
                <w:sz w:val="24"/>
                <w:szCs w:val="24"/>
                <w:highlight w:val="none"/>
                <w:shd w:val="clear" w:fill="FFFFFF"/>
                <w:lang w:val="en-US" w:eastAsia="zh-CN"/>
              </w:rPr>
              <w:t>口至有害源的距离，为避免横向气流影响要求H尽可能小于或等于0.3a（a为罩口长边尺寸）；</w:t>
            </w:r>
          </w:p>
          <w:p w14:paraId="6B7FBD35">
            <w:pPr>
              <w:pStyle w:val="4"/>
              <w:keepNext w:val="0"/>
              <w:keepLines w:val="0"/>
              <w:pageBreakBefore w:val="0"/>
              <w:widowControl w:val="0"/>
              <w:numPr>
                <w:ilvl w:val="0"/>
                <w:numId w:val="0"/>
              </w:numPr>
              <w:kinsoku/>
              <w:wordWrap/>
              <w:overflowPunct/>
              <w:topLinePunct w:val="0"/>
              <w:autoSpaceDE/>
              <w:autoSpaceDN/>
              <w:bidi w:val="0"/>
              <w:adjustRightInd/>
              <w:snapToGrid/>
              <w:spacing w:line="480" w:lineRule="atLeast"/>
              <w:ind w:left="1040" w:leftChars="200" w:hanging="480" w:hangingChars="200"/>
              <w:jc w:val="left"/>
              <w:textAlignment w:val="auto"/>
              <w:rPr>
                <w:rFonts w:hint="default" w:ascii="Times New Roman" w:hAnsi="Times New Roman" w:eastAsia="宋体" w:cs="Times New Roman"/>
                <w:i w:val="0"/>
                <w:caps w:val="0"/>
                <w:color w:val="auto"/>
                <w:spacing w:val="0"/>
                <w:sz w:val="24"/>
                <w:szCs w:val="24"/>
                <w:highlight w:val="none"/>
                <w:shd w:val="clear" w:fill="FFFFFF"/>
                <w:lang w:val="en-US" w:eastAsia="zh-CN"/>
              </w:rPr>
            </w:pPr>
            <w:r>
              <w:rPr>
                <w:rFonts w:hint="default" w:ascii="Times New Roman" w:hAnsi="Times New Roman" w:eastAsia="宋体" w:cs="Times New Roman"/>
                <w:i w:val="0"/>
                <w:caps w:val="0"/>
                <w:color w:val="auto"/>
                <w:spacing w:val="0"/>
                <w:sz w:val="24"/>
                <w:szCs w:val="24"/>
                <w:highlight w:val="none"/>
                <w:shd w:val="clear" w:fill="FFFFFF"/>
                <w:lang w:val="en-US" w:eastAsia="zh-CN"/>
              </w:rPr>
              <w:t>v</w:t>
            </w:r>
            <w:r>
              <w:rPr>
                <w:rFonts w:hint="default" w:ascii="Times New Roman" w:hAnsi="Times New Roman" w:eastAsia="宋体" w:cs="Times New Roman"/>
                <w:i w:val="0"/>
                <w:caps w:val="0"/>
                <w:color w:val="auto"/>
                <w:spacing w:val="0"/>
                <w:sz w:val="24"/>
                <w:szCs w:val="24"/>
                <w:highlight w:val="none"/>
                <w:shd w:val="clear" w:fill="FFFFFF"/>
                <w:vertAlign w:val="subscript"/>
                <w:lang w:val="en-US" w:eastAsia="zh-CN"/>
              </w:rPr>
              <w:t>x</w:t>
            </w:r>
            <w:r>
              <w:rPr>
                <w:rFonts w:hint="default" w:ascii="Times New Roman" w:hAnsi="Times New Roman" w:eastAsia="宋体" w:cs="Times New Roman"/>
                <w:i w:val="0"/>
                <w:caps w:val="0"/>
                <w:color w:val="auto"/>
                <w:spacing w:val="0"/>
                <w:sz w:val="24"/>
                <w:szCs w:val="24"/>
                <w:highlight w:val="none"/>
                <w:shd w:val="clear" w:fill="FFFFFF"/>
                <w:lang w:val="en-US" w:eastAsia="zh-CN"/>
              </w:rPr>
              <w:t>—边缘控制点的控制风速，取值参照下表；</w:t>
            </w:r>
          </w:p>
          <w:p w14:paraId="61C76813">
            <w:pPr>
              <w:pStyle w:val="4"/>
              <w:keepNext w:val="0"/>
              <w:keepLines w:val="0"/>
              <w:pageBreakBefore w:val="0"/>
              <w:widowControl w:val="0"/>
              <w:numPr>
                <w:ilvl w:val="0"/>
                <w:numId w:val="0"/>
              </w:numPr>
              <w:kinsoku/>
              <w:wordWrap/>
              <w:overflowPunct/>
              <w:topLinePunct w:val="0"/>
              <w:autoSpaceDE/>
              <w:autoSpaceDN/>
              <w:bidi w:val="0"/>
              <w:adjustRightInd/>
              <w:snapToGrid/>
              <w:spacing w:line="480" w:lineRule="atLeast"/>
              <w:jc w:val="center"/>
              <w:textAlignment w:val="auto"/>
              <w:rPr>
                <w:rFonts w:hint="default" w:ascii="Times New Roman" w:hAnsi="Times New Roman" w:eastAsia="宋体" w:cs="Times New Roman"/>
                <w:b/>
                <w:bCs/>
                <w:i w:val="0"/>
                <w:caps w:val="0"/>
                <w:color w:val="auto"/>
                <w:spacing w:val="0"/>
                <w:sz w:val="24"/>
                <w:szCs w:val="24"/>
                <w:highlight w:val="none"/>
                <w:shd w:val="clear" w:fill="FFFFFF"/>
                <w:lang w:val="en-US" w:eastAsia="zh-CN"/>
              </w:rPr>
            </w:pPr>
            <w:r>
              <w:rPr>
                <w:rFonts w:hint="default" w:ascii="Times New Roman" w:hAnsi="Times New Roman" w:eastAsia="宋体" w:cs="Times New Roman"/>
                <w:b/>
                <w:bCs/>
                <w:i w:val="0"/>
                <w:caps w:val="0"/>
                <w:color w:val="auto"/>
                <w:spacing w:val="0"/>
                <w:sz w:val="24"/>
                <w:szCs w:val="24"/>
                <w:highlight w:val="none"/>
                <w:shd w:val="clear" w:fill="FFFFFF"/>
                <w:lang w:val="en-US" w:eastAsia="zh-CN"/>
              </w:rPr>
              <w:t>表</w:t>
            </w:r>
            <w:r>
              <w:rPr>
                <w:rFonts w:hint="eastAsia" w:ascii="Times New Roman" w:hAnsi="Times New Roman" w:eastAsia="宋体" w:cs="Times New Roman"/>
                <w:b/>
                <w:bCs/>
                <w:i w:val="0"/>
                <w:caps w:val="0"/>
                <w:color w:val="auto"/>
                <w:spacing w:val="0"/>
                <w:sz w:val="24"/>
                <w:szCs w:val="24"/>
                <w:highlight w:val="none"/>
                <w:shd w:val="clear" w:fill="FFFFFF"/>
                <w:lang w:val="en-US" w:eastAsia="zh-CN"/>
              </w:rPr>
              <w:t>1</w:t>
            </w:r>
            <w:r>
              <w:rPr>
                <w:rFonts w:hint="eastAsia" w:ascii="Times New Roman" w:hAnsi="Times New Roman" w:cs="Times New Roman"/>
                <w:b/>
                <w:bCs/>
                <w:i w:val="0"/>
                <w:caps w:val="0"/>
                <w:color w:val="auto"/>
                <w:spacing w:val="0"/>
                <w:sz w:val="24"/>
                <w:szCs w:val="24"/>
                <w:highlight w:val="none"/>
                <w:shd w:val="clear" w:fill="FFFFFF"/>
                <w:lang w:val="en-US" w:eastAsia="zh-CN"/>
              </w:rPr>
              <w:t>8</w:t>
            </w:r>
            <w:r>
              <w:rPr>
                <w:rFonts w:hint="default" w:ascii="Times New Roman" w:hAnsi="Times New Roman" w:eastAsia="宋体" w:cs="Times New Roman"/>
                <w:b/>
                <w:bCs/>
                <w:i w:val="0"/>
                <w:caps w:val="0"/>
                <w:color w:val="auto"/>
                <w:spacing w:val="0"/>
                <w:sz w:val="24"/>
                <w:szCs w:val="24"/>
                <w:highlight w:val="none"/>
                <w:shd w:val="clear" w:fill="FFFFFF"/>
                <w:lang w:val="en-US" w:eastAsia="zh-CN"/>
              </w:rPr>
              <w:t>各排气筒风量汇总表</w:t>
            </w:r>
          </w:p>
          <w:tbl>
            <w:tblPr>
              <w:tblStyle w:val="35"/>
              <w:tblW w:w="83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7"/>
              <w:gridCol w:w="771"/>
              <w:gridCol w:w="598"/>
              <w:gridCol w:w="1297"/>
              <w:gridCol w:w="1136"/>
              <w:gridCol w:w="1010"/>
              <w:gridCol w:w="917"/>
              <w:gridCol w:w="875"/>
            </w:tblGrid>
            <w:tr w14:paraId="6C4B3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7" w:type="dxa"/>
                  <w:vMerge w:val="restart"/>
                  <w:vAlign w:val="center"/>
                </w:tcPr>
                <w:p w14:paraId="5778F093">
                  <w:pPr>
                    <w:pStyle w:val="4"/>
                    <w:keepNext w:val="0"/>
                    <w:keepLines w:val="0"/>
                    <w:pageBreakBefore w:val="0"/>
                    <w:widowControl w:val="0"/>
                    <w:numPr>
                      <w:ilvl w:val="0"/>
                      <w:numId w:val="0"/>
                    </w:numPr>
                    <w:kinsoku/>
                    <w:wordWrap/>
                    <w:overflowPunct/>
                    <w:topLinePunct w:val="0"/>
                    <w:autoSpaceDE/>
                    <w:autoSpaceDN/>
                    <w:bidi w:val="0"/>
                    <w:adjustRightInd/>
                    <w:snapToGrid/>
                    <w:spacing w:line="280" w:lineRule="atLeast"/>
                    <w:jc w:val="center"/>
                    <w:textAlignment w:val="auto"/>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pPr>
                  <w:r>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t>产污工序</w:t>
                  </w:r>
                </w:p>
              </w:tc>
              <w:tc>
                <w:tcPr>
                  <w:tcW w:w="1369" w:type="dxa"/>
                  <w:gridSpan w:val="2"/>
                  <w:vAlign w:val="center"/>
                </w:tcPr>
                <w:p w14:paraId="10A27A4A">
                  <w:pPr>
                    <w:pStyle w:val="4"/>
                    <w:keepNext w:val="0"/>
                    <w:keepLines w:val="0"/>
                    <w:pageBreakBefore w:val="0"/>
                    <w:widowControl w:val="0"/>
                    <w:numPr>
                      <w:ilvl w:val="0"/>
                      <w:numId w:val="0"/>
                    </w:numPr>
                    <w:kinsoku/>
                    <w:wordWrap/>
                    <w:overflowPunct/>
                    <w:topLinePunct w:val="0"/>
                    <w:autoSpaceDE/>
                    <w:autoSpaceDN/>
                    <w:bidi w:val="0"/>
                    <w:adjustRightInd/>
                    <w:snapToGrid/>
                    <w:spacing w:line="280" w:lineRule="atLeast"/>
                    <w:jc w:val="center"/>
                    <w:textAlignment w:val="auto"/>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pPr>
                  <w:r>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t>集气罩尺寸：m</w:t>
                  </w:r>
                </w:p>
              </w:tc>
              <w:tc>
                <w:tcPr>
                  <w:tcW w:w="1297" w:type="dxa"/>
                  <w:vMerge w:val="restart"/>
                  <w:vAlign w:val="center"/>
                </w:tcPr>
                <w:p w14:paraId="49CE8B23">
                  <w:pPr>
                    <w:pStyle w:val="4"/>
                    <w:keepNext w:val="0"/>
                    <w:keepLines w:val="0"/>
                    <w:pageBreakBefore w:val="0"/>
                    <w:widowControl w:val="0"/>
                    <w:numPr>
                      <w:ilvl w:val="0"/>
                      <w:numId w:val="0"/>
                    </w:numPr>
                    <w:kinsoku/>
                    <w:wordWrap/>
                    <w:overflowPunct/>
                    <w:topLinePunct w:val="0"/>
                    <w:autoSpaceDE/>
                    <w:autoSpaceDN/>
                    <w:bidi w:val="0"/>
                    <w:adjustRightInd/>
                    <w:snapToGrid/>
                    <w:spacing w:line="280" w:lineRule="atLeast"/>
                    <w:jc w:val="center"/>
                    <w:textAlignment w:val="auto"/>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pPr>
                  <w:r>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t>边缘控制点的控制风速：m/s</w:t>
                  </w:r>
                </w:p>
              </w:tc>
              <w:tc>
                <w:tcPr>
                  <w:tcW w:w="1136" w:type="dxa"/>
                  <w:vMerge w:val="restart"/>
                  <w:vAlign w:val="center"/>
                </w:tcPr>
                <w:p w14:paraId="74DE1F66">
                  <w:pPr>
                    <w:pStyle w:val="4"/>
                    <w:keepNext w:val="0"/>
                    <w:keepLines w:val="0"/>
                    <w:pageBreakBefore w:val="0"/>
                    <w:widowControl w:val="0"/>
                    <w:numPr>
                      <w:ilvl w:val="0"/>
                      <w:numId w:val="0"/>
                    </w:numPr>
                    <w:kinsoku/>
                    <w:wordWrap/>
                    <w:overflowPunct/>
                    <w:topLinePunct w:val="0"/>
                    <w:autoSpaceDE/>
                    <w:autoSpaceDN/>
                    <w:bidi w:val="0"/>
                    <w:adjustRightInd/>
                    <w:snapToGrid/>
                    <w:spacing w:line="280" w:lineRule="atLeast"/>
                    <w:jc w:val="center"/>
                    <w:textAlignment w:val="auto"/>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pPr>
                  <w:r>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t>单个集气罩风量：m</w:t>
                  </w:r>
                  <w:r>
                    <w:rPr>
                      <w:rFonts w:hint="default" w:ascii="Times New Roman" w:hAnsi="Times New Roman" w:eastAsia="宋体" w:cs="Times New Roman"/>
                      <w:b w:val="0"/>
                      <w:bCs w:val="0"/>
                      <w:i w:val="0"/>
                      <w:caps w:val="0"/>
                      <w:color w:val="auto"/>
                      <w:spacing w:val="0"/>
                      <w:sz w:val="21"/>
                      <w:szCs w:val="21"/>
                      <w:highlight w:val="none"/>
                      <w:shd w:val="clear" w:fill="FFFFFF"/>
                      <w:vertAlign w:val="superscript"/>
                      <w:lang w:val="en-US" w:eastAsia="zh-CN"/>
                    </w:rPr>
                    <w:t>3</w:t>
                  </w:r>
                  <w:r>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t>/h</w:t>
                  </w:r>
                </w:p>
              </w:tc>
              <w:tc>
                <w:tcPr>
                  <w:tcW w:w="1010" w:type="dxa"/>
                  <w:vMerge w:val="restart"/>
                  <w:vAlign w:val="center"/>
                </w:tcPr>
                <w:p w14:paraId="4009A63C">
                  <w:pPr>
                    <w:pStyle w:val="4"/>
                    <w:keepNext w:val="0"/>
                    <w:keepLines w:val="0"/>
                    <w:pageBreakBefore w:val="0"/>
                    <w:widowControl w:val="0"/>
                    <w:numPr>
                      <w:ilvl w:val="0"/>
                      <w:numId w:val="0"/>
                    </w:numPr>
                    <w:kinsoku/>
                    <w:wordWrap/>
                    <w:overflowPunct/>
                    <w:topLinePunct w:val="0"/>
                    <w:autoSpaceDE/>
                    <w:autoSpaceDN/>
                    <w:bidi w:val="0"/>
                    <w:adjustRightInd/>
                    <w:snapToGrid/>
                    <w:spacing w:line="280" w:lineRule="atLeast"/>
                    <w:jc w:val="center"/>
                    <w:textAlignment w:val="auto"/>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pPr>
                  <w:r>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t>集气罩数量：个</w:t>
                  </w:r>
                </w:p>
              </w:tc>
              <w:tc>
                <w:tcPr>
                  <w:tcW w:w="917" w:type="dxa"/>
                  <w:vMerge w:val="restart"/>
                  <w:vAlign w:val="center"/>
                </w:tcPr>
                <w:p w14:paraId="2B43A062">
                  <w:pPr>
                    <w:pStyle w:val="4"/>
                    <w:keepNext w:val="0"/>
                    <w:keepLines w:val="0"/>
                    <w:pageBreakBefore w:val="0"/>
                    <w:widowControl w:val="0"/>
                    <w:numPr>
                      <w:ilvl w:val="0"/>
                      <w:numId w:val="0"/>
                    </w:numPr>
                    <w:kinsoku/>
                    <w:wordWrap/>
                    <w:overflowPunct/>
                    <w:topLinePunct w:val="0"/>
                    <w:autoSpaceDE/>
                    <w:autoSpaceDN/>
                    <w:bidi w:val="0"/>
                    <w:adjustRightInd/>
                    <w:snapToGrid/>
                    <w:spacing w:line="280" w:lineRule="atLeast"/>
                    <w:jc w:val="center"/>
                    <w:textAlignment w:val="auto"/>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pPr>
                  <w:r>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t>排气筒风量：m</w:t>
                  </w:r>
                  <w:r>
                    <w:rPr>
                      <w:rFonts w:hint="default" w:ascii="Times New Roman" w:hAnsi="Times New Roman" w:eastAsia="宋体" w:cs="Times New Roman"/>
                      <w:b w:val="0"/>
                      <w:bCs w:val="0"/>
                      <w:i w:val="0"/>
                      <w:caps w:val="0"/>
                      <w:color w:val="auto"/>
                      <w:spacing w:val="0"/>
                      <w:sz w:val="21"/>
                      <w:szCs w:val="21"/>
                      <w:highlight w:val="none"/>
                      <w:shd w:val="clear" w:fill="FFFFFF"/>
                      <w:vertAlign w:val="superscript"/>
                      <w:lang w:val="en-US" w:eastAsia="zh-CN"/>
                    </w:rPr>
                    <w:t>3</w:t>
                  </w:r>
                  <w:r>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t>/h</w:t>
                  </w:r>
                </w:p>
              </w:tc>
              <w:tc>
                <w:tcPr>
                  <w:tcW w:w="875" w:type="dxa"/>
                  <w:vMerge w:val="restart"/>
                  <w:vAlign w:val="center"/>
                </w:tcPr>
                <w:p w14:paraId="066A97DE">
                  <w:pPr>
                    <w:pStyle w:val="4"/>
                    <w:keepNext w:val="0"/>
                    <w:keepLines w:val="0"/>
                    <w:pageBreakBefore w:val="0"/>
                    <w:widowControl w:val="0"/>
                    <w:numPr>
                      <w:ilvl w:val="0"/>
                      <w:numId w:val="0"/>
                    </w:numPr>
                    <w:kinsoku/>
                    <w:wordWrap/>
                    <w:overflowPunct/>
                    <w:topLinePunct w:val="0"/>
                    <w:autoSpaceDE/>
                    <w:autoSpaceDN/>
                    <w:bidi w:val="0"/>
                    <w:adjustRightInd/>
                    <w:snapToGrid/>
                    <w:spacing w:line="280" w:lineRule="atLeast"/>
                    <w:jc w:val="center"/>
                    <w:textAlignment w:val="auto"/>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pPr>
                  <w:r>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t>排气筒</w:t>
                  </w:r>
                </w:p>
              </w:tc>
            </w:tr>
            <w:tr w14:paraId="41806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7" w:type="dxa"/>
                  <w:vMerge w:val="continue"/>
                  <w:vAlign w:val="center"/>
                </w:tcPr>
                <w:p w14:paraId="3CAF38B5">
                  <w:pPr>
                    <w:pStyle w:val="4"/>
                    <w:keepNext w:val="0"/>
                    <w:keepLines w:val="0"/>
                    <w:pageBreakBefore w:val="0"/>
                    <w:widowControl w:val="0"/>
                    <w:numPr>
                      <w:ilvl w:val="0"/>
                      <w:numId w:val="0"/>
                    </w:numPr>
                    <w:kinsoku/>
                    <w:wordWrap/>
                    <w:overflowPunct/>
                    <w:topLinePunct w:val="0"/>
                    <w:autoSpaceDE/>
                    <w:autoSpaceDN/>
                    <w:bidi w:val="0"/>
                    <w:adjustRightInd/>
                    <w:snapToGrid/>
                    <w:spacing w:line="280" w:lineRule="atLeast"/>
                    <w:jc w:val="center"/>
                    <w:textAlignment w:val="auto"/>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pPr>
                </w:p>
              </w:tc>
              <w:tc>
                <w:tcPr>
                  <w:tcW w:w="771" w:type="dxa"/>
                  <w:vAlign w:val="center"/>
                </w:tcPr>
                <w:p w14:paraId="2F2E8816">
                  <w:pPr>
                    <w:pStyle w:val="4"/>
                    <w:keepNext w:val="0"/>
                    <w:keepLines w:val="0"/>
                    <w:pageBreakBefore w:val="0"/>
                    <w:widowControl w:val="0"/>
                    <w:numPr>
                      <w:ilvl w:val="0"/>
                      <w:numId w:val="0"/>
                    </w:numPr>
                    <w:kinsoku/>
                    <w:wordWrap/>
                    <w:overflowPunct/>
                    <w:topLinePunct w:val="0"/>
                    <w:autoSpaceDE/>
                    <w:autoSpaceDN/>
                    <w:bidi w:val="0"/>
                    <w:adjustRightInd/>
                    <w:snapToGrid/>
                    <w:spacing w:line="280" w:lineRule="atLeast"/>
                    <w:jc w:val="center"/>
                    <w:textAlignment w:val="auto"/>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pPr>
                  <w:r>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t>长</w:t>
                  </w:r>
                </w:p>
              </w:tc>
              <w:tc>
                <w:tcPr>
                  <w:tcW w:w="598" w:type="dxa"/>
                  <w:vAlign w:val="center"/>
                </w:tcPr>
                <w:p w14:paraId="5ACA3539">
                  <w:pPr>
                    <w:pStyle w:val="4"/>
                    <w:keepNext w:val="0"/>
                    <w:keepLines w:val="0"/>
                    <w:pageBreakBefore w:val="0"/>
                    <w:widowControl w:val="0"/>
                    <w:numPr>
                      <w:ilvl w:val="0"/>
                      <w:numId w:val="0"/>
                    </w:numPr>
                    <w:kinsoku/>
                    <w:wordWrap/>
                    <w:overflowPunct/>
                    <w:topLinePunct w:val="0"/>
                    <w:autoSpaceDE/>
                    <w:autoSpaceDN/>
                    <w:bidi w:val="0"/>
                    <w:adjustRightInd/>
                    <w:snapToGrid/>
                    <w:spacing w:line="280" w:lineRule="atLeast"/>
                    <w:jc w:val="center"/>
                    <w:textAlignment w:val="auto"/>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pPr>
                  <w:r>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t>宽</w:t>
                  </w:r>
                </w:p>
              </w:tc>
              <w:tc>
                <w:tcPr>
                  <w:tcW w:w="1297" w:type="dxa"/>
                  <w:vMerge w:val="continue"/>
                  <w:vAlign w:val="center"/>
                </w:tcPr>
                <w:p w14:paraId="34D6C3AC">
                  <w:pPr>
                    <w:pStyle w:val="4"/>
                    <w:keepNext w:val="0"/>
                    <w:keepLines w:val="0"/>
                    <w:pageBreakBefore w:val="0"/>
                    <w:widowControl w:val="0"/>
                    <w:numPr>
                      <w:ilvl w:val="0"/>
                      <w:numId w:val="0"/>
                    </w:numPr>
                    <w:kinsoku/>
                    <w:wordWrap/>
                    <w:overflowPunct/>
                    <w:topLinePunct w:val="0"/>
                    <w:autoSpaceDE/>
                    <w:autoSpaceDN/>
                    <w:bidi w:val="0"/>
                    <w:adjustRightInd/>
                    <w:snapToGrid/>
                    <w:spacing w:line="280" w:lineRule="atLeast"/>
                    <w:jc w:val="center"/>
                    <w:textAlignment w:val="auto"/>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pPr>
                </w:p>
              </w:tc>
              <w:tc>
                <w:tcPr>
                  <w:tcW w:w="1136" w:type="dxa"/>
                  <w:vMerge w:val="continue"/>
                  <w:vAlign w:val="center"/>
                </w:tcPr>
                <w:p w14:paraId="0B434318">
                  <w:pPr>
                    <w:pStyle w:val="4"/>
                    <w:keepNext w:val="0"/>
                    <w:keepLines w:val="0"/>
                    <w:pageBreakBefore w:val="0"/>
                    <w:widowControl w:val="0"/>
                    <w:numPr>
                      <w:ilvl w:val="0"/>
                      <w:numId w:val="0"/>
                    </w:numPr>
                    <w:kinsoku/>
                    <w:wordWrap/>
                    <w:overflowPunct/>
                    <w:topLinePunct w:val="0"/>
                    <w:autoSpaceDE/>
                    <w:autoSpaceDN/>
                    <w:bidi w:val="0"/>
                    <w:adjustRightInd/>
                    <w:snapToGrid/>
                    <w:spacing w:line="280" w:lineRule="atLeast"/>
                    <w:jc w:val="center"/>
                    <w:textAlignment w:val="auto"/>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pPr>
                </w:p>
              </w:tc>
              <w:tc>
                <w:tcPr>
                  <w:tcW w:w="1010" w:type="dxa"/>
                  <w:vMerge w:val="continue"/>
                  <w:vAlign w:val="center"/>
                </w:tcPr>
                <w:p w14:paraId="658FE24A">
                  <w:pPr>
                    <w:pStyle w:val="4"/>
                    <w:keepNext w:val="0"/>
                    <w:keepLines w:val="0"/>
                    <w:pageBreakBefore w:val="0"/>
                    <w:widowControl w:val="0"/>
                    <w:numPr>
                      <w:ilvl w:val="0"/>
                      <w:numId w:val="0"/>
                    </w:numPr>
                    <w:kinsoku/>
                    <w:wordWrap/>
                    <w:overflowPunct/>
                    <w:topLinePunct w:val="0"/>
                    <w:autoSpaceDE/>
                    <w:autoSpaceDN/>
                    <w:bidi w:val="0"/>
                    <w:adjustRightInd/>
                    <w:snapToGrid/>
                    <w:spacing w:line="280" w:lineRule="atLeast"/>
                    <w:jc w:val="center"/>
                    <w:textAlignment w:val="auto"/>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pPr>
                </w:p>
              </w:tc>
              <w:tc>
                <w:tcPr>
                  <w:tcW w:w="917" w:type="dxa"/>
                  <w:vMerge w:val="continue"/>
                  <w:vAlign w:val="center"/>
                </w:tcPr>
                <w:p w14:paraId="61EC500A">
                  <w:pPr>
                    <w:pStyle w:val="4"/>
                    <w:keepNext w:val="0"/>
                    <w:keepLines w:val="0"/>
                    <w:pageBreakBefore w:val="0"/>
                    <w:widowControl w:val="0"/>
                    <w:numPr>
                      <w:ilvl w:val="0"/>
                      <w:numId w:val="0"/>
                    </w:numPr>
                    <w:kinsoku/>
                    <w:wordWrap/>
                    <w:overflowPunct/>
                    <w:topLinePunct w:val="0"/>
                    <w:autoSpaceDE/>
                    <w:autoSpaceDN/>
                    <w:bidi w:val="0"/>
                    <w:adjustRightInd/>
                    <w:snapToGrid/>
                    <w:spacing w:line="280" w:lineRule="atLeast"/>
                    <w:jc w:val="center"/>
                    <w:textAlignment w:val="auto"/>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pPr>
                </w:p>
              </w:tc>
              <w:tc>
                <w:tcPr>
                  <w:tcW w:w="875" w:type="dxa"/>
                  <w:vMerge w:val="continue"/>
                  <w:vAlign w:val="center"/>
                </w:tcPr>
                <w:p w14:paraId="4D079C8B">
                  <w:pPr>
                    <w:pStyle w:val="4"/>
                    <w:keepNext w:val="0"/>
                    <w:keepLines w:val="0"/>
                    <w:pageBreakBefore w:val="0"/>
                    <w:widowControl w:val="0"/>
                    <w:numPr>
                      <w:ilvl w:val="0"/>
                      <w:numId w:val="0"/>
                    </w:numPr>
                    <w:kinsoku/>
                    <w:wordWrap/>
                    <w:overflowPunct/>
                    <w:topLinePunct w:val="0"/>
                    <w:autoSpaceDE/>
                    <w:autoSpaceDN/>
                    <w:bidi w:val="0"/>
                    <w:adjustRightInd/>
                    <w:snapToGrid/>
                    <w:spacing w:line="280" w:lineRule="atLeast"/>
                    <w:jc w:val="center"/>
                    <w:textAlignment w:val="auto"/>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pPr>
                </w:p>
              </w:tc>
            </w:tr>
            <w:tr w14:paraId="02149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7" w:type="dxa"/>
                  <w:vAlign w:val="center"/>
                </w:tcPr>
                <w:p w14:paraId="72C82C11">
                  <w:pPr>
                    <w:pStyle w:val="4"/>
                    <w:keepNext w:val="0"/>
                    <w:keepLines w:val="0"/>
                    <w:pageBreakBefore w:val="0"/>
                    <w:widowControl w:val="0"/>
                    <w:numPr>
                      <w:ilvl w:val="0"/>
                      <w:numId w:val="0"/>
                    </w:numPr>
                    <w:kinsoku/>
                    <w:wordWrap/>
                    <w:overflowPunct/>
                    <w:topLinePunct w:val="0"/>
                    <w:autoSpaceDE/>
                    <w:autoSpaceDN/>
                    <w:bidi w:val="0"/>
                    <w:adjustRightInd/>
                    <w:snapToGrid/>
                    <w:spacing w:line="280" w:lineRule="atLeast"/>
                    <w:jc w:val="center"/>
                    <w:textAlignment w:val="auto"/>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pPr>
                  <w:r>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t>注塑</w:t>
                  </w:r>
                </w:p>
              </w:tc>
              <w:tc>
                <w:tcPr>
                  <w:tcW w:w="771" w:type="dxa"/>
                  <w:vAlign w:val="center"/>
                </w:tcPr>
                <w:p w14:paraId="4FFE4624">
                  <w:pPr>
                    <w:pStyle w:val="4"/>
                    <w:keepNext w:val="0"/>
                    <w:keepLines w:val="0"/>
                    <w:pageBreakBefore w:val="0"/>
                    <w:widowControl w:val="0"/>
                    <w:numPr>
                      <w:ilvl w:val="0"/>
                      <w:numId w:val="0"/>
                    </w:numPr>
                    <w:kinsoku/>
                    <w:wordWrap/>
                    <w:overflowPunct/>
                    <w:topLinePunct w:val="0"/>
                    <w:autoSpaceDE/>
                    <w:autoSpaceDN/>
                    <w:bidi w:val="0"/>
                    <w:adjustRightInd/>
                    <w:snapToGrid/>
                    <w:spacing w:line="280" w:lineRule="atLeast"/>
                    <w:jc w:val="center"/>
                    <w:textAlignment w:val="auto"/>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pPr>
                  <w:r>
                    <w:rPr>
                      <w:rFonts w:hint="eastAsia" w:ascii="Times New Roman" w:hAnsi="Times New Roman" w:cs="Times New Roman"/>
                      <w:b w:val="0"/>
                      <w:bCs w:val="0"/>
                      <w:i w:val="0"/>
                      <w:caps w:val="0"/>
                      <w:color w:val="auto"/>
                      <w:spacing w:val="0"/>
                      <w:sz w:val="21"/>
                      <w:szCs w:val="21"/>
                      <w:highlight w:val="none"/>
                      <w:shd w:val="clear" w:fill="FFFFFF"/>
                      <w:lang w:val="en-US" w:eastAsia="zh-CN"/>
                    </w:rPr>
                    <w:t>0.3</w:t>
                  </w:r>
                </w:p>
              </w:tc>
              <w:tc>
                <w:tcPr>
                  <w:tcW w:w="598" w:type="dxa"/>
                  <w:vAlign w:val="center"/>
                </w:tcPr>
                <w:p w14:paraId="21619E1C">
                  <w:pPr>
                    <w:pStyle w:val="4"/>
                    <w:keepNext w:val="0"/>
                    <w:keepLines w:val="0"/>
                    <w:pageBreakBefore w:val="0"/>
                    <w:widowControl w:val="0"/>
                    <w:numPr>
                      <w:ilvl w:val="0"/>
                      <w:numId w:val="0"/>
                    </w:numPr>
                    <w:kinsoku/>
                    <w:wordWrap/>
                    <w:overflowPunct/>
                    <w:topLinePunct w:val="0"/>
                    <w:autoSpaceDE/>
                    <w:autoSpaceDN/>
                    <w:bidi w:val="0"/>
                    <w:adjustRightInd/>
                    <w:snapToGrid/>
                    <w:spacing w:line="280" w:lineRule="atLeast"/>
                    <w:jc w:val="center"/>
                    <w:textAlignment w:val="auto"/>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pPr>
                  <w:r>
                    <w:rPr>
                      <w:rFonts w:hint="eastAsia" w:ascii="Times New Roman" w:hAnsi="Times New Roman" w:cs="Times New Roman"/>
                      <w:b w:val="0"/>
                      <w:bCs w:val="0"/>
                      <w:i w:val="0"/>
                      <w:caps w:val="0"/>
                      <w:color w:val="auto"/>
                      <w:spacing w:val="0"/>
                      <w:sz w:val="21"/>
                      <w:szCs w:val="21"/>
                      <w:highlight w:val="none"/>
                      <w:shd w:val="clear" w:fill="FFFFFF"/>
                      <w:lang w:val="en-US" w:eastAsia="zh-CN"/>
                    </w:rPr>
                    <w:t>0.3</w:t>
                  </w:r>
                </w:p>
              </w:tc>
              <w:tc>
                <w:tcPr>
                  <w:tcW w:w="1297" w:type="dxa"/>
                  <w:vAlign w:val="center"/>
                </w:tcPr>
                <w:p w14:paraId="68A4BDFE">
                  <w:pPr>
                    <w:pStyle w:val="4"/>
                    <w:keepNext w:val="0"/>
                    <w:keepLines w:val="0"/>
                    <w:pageBreakBefore w:val="0"/>
                    <w:widowControl w:val="0"/>
                    <w:numPr>
                      <w:ilvl w:val="0"/>
                      <w:numId w:val="0"/>
                    </w:numPr>
                    <w:kinsoku/>
                    <w:wordWrap/>
                    <w:overflowPunct/>
                    <w:topLinePunct w:val="0"/>
                    <w:autoSpaceDE/>
                    <w:autoSpaceDN/>
                    <w:bidi w:val="0"/>
                    <w:adjustRightInd/>
                    <w:snapToGrid/>
                    <w:spacing w:line="280" w:lineRule="atLeast"/>
                    <w:jc w:val="center"/>
                    <w:textAlignment w:val="auto"/>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pPr>
                  <w:r>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t>0.3</w:t>
                  </w:r>
                </w:p>
              </w:tc>
              <w:tc>
                <w:tcPr>
                  <w:tcW w:w="1136" w:type="dxa"/>
                  <w:vAlign w:val="center"/>
                </w:tcPr>
                <w:p w14:paraId="44CC4786">
                  <w:pPr>
                    <w:pStyle w:val="4"/>
                    <w:keepNext w:val="0"/>
                    <w:keepLines w:val="0"/>
                    <w:pageBreakBefore w:val="0"/>
                    <w:widowControl w:val="0"/>
                    <w:numPr>
                      <w:ilvl w:val="0"/>
                      <w:numId w:val="0"/>
                    </w:numPr>
                    <w:kinsoku/>
                    <w:wordWrap/>
                    <w:overflowPunct/>
                    <w:topLinePunct w:val="0"/>
                    <w:autoSpaceDE/>
                    <w:autoSpaceDN/>
                    <w:bidi w:val="0"/>
                    <w:adjustRightInd/>
                    <w:snapToGrid/>
                    <w:spacing w:line="280" w:lineRule="atLeast"/>
                    <w:jc w:val="center"/>
                    <w:textAlignment w:val="auto"/>
                    <w:rPr>
                      <w:rFonts w:hint="default" w:ascii="Times New Roman" w:hAnsi="Times New Roman" w:eastAsia="宋体" w:cs="Times New Roman"/>
                      <w:b w:val="0"/>
                      <w:bCs w:val="0"/>
                      <w:i w:val="0"/>
                      <w:caps w:val="0"/>
                      <w:color w:val="000000" w:themeColor="text1"/>
                      <w:spacing w:val="0"/>
                      <w:sz w:val="21"/>
                      <w:szCs w:val="21"/>
                      <w:highlight w:val="none"/>
                      <w:shd w:val="clear" w:fill="FFFFFF"/>
                      <w:lang w:val="en-US" w:eastAsia="zh-CN"/>
                      <w14:textFill>
                        <w14:solidFill>
                          <w14:schemeClr w14:val="tx1"/>
                        </w14:solidFill>
                      </w14:textFill>
                    </w:rPr>
                  </w:pPr>
                  <w:r>
                    <w:rPr>
                      <w:rFonts w:hint="eastAsia" w:ascii="Times New Roman" w:hAnsi="Times New Roman" w:cs="Times New Roman"/>
                      <w:b w:val="0"/>
                      <w:bCs w:val="0"/>
                      <w:i w:val="0"/>
                      <w:caps w:val="0"/>
                      <w:color w:val="000000" w:themeColor="text1"/>
                      <w:spacing w:val="0"/>
                      <w:sz w:val="21"/>
                      <w:szCs w:val="21"/>
                      <w:highlight w:val="none"/>
                      <w:shd w:val="clear" w:fill="FFFFFF"/>
                      <w:lang w:val="en-US" w:eastAsia="zh-CN"/>
                      <w14:textFill>
                        <w14:solidFill>
                          <w14:schemeClr w14:val="tx1"/>
                        </w14:solidFill>
                      </w14:textFill>
                    </w:rPr>
                    <w:t>180</w:t>
                  </w:r>
                </w:p>
              </w:tc>
              <w:tc>
                <w:tcPr>
                  <w:tcW w:w="1010" w:type="dxa"/>
                  <w:vAlign w:val="center"/>
                </w:tcPr>
                <w:p w14:paraId="10ECCB48">
                  <w:pPr>
                    <w:pStyle w:val="4"/>
                    <w:keepNext w:val="0"/>
                    <w:keepLines w:val="0"/>
                    <w:pageBreakBefore w:val="0"/>
                    <w:widowControl w:val="0"/>
                    <w:numPr>
                      <w:ilvl w:val="0"/>
                      <w:numId w:val="0"/>
                    </w:numPr>
                    <w:kinsoku/>
                    <w:wordWrap/>
                    <w:overflowPunct/>
                    <w:topLinePunct w:val="0"/>
                    <w:autoSpaceDE/>
                    <w:autoSpaceDN/>
                    <w:bidi w:val="0"/>
                    <w:adjustRightInd/>
                    <w:snapToGrid/>
                    <w:spacing w:line="280" w:lineRule="atLeast"/>
                    <w:jc w:val="center"/>
                    <w:textAlignment w:val="auto"/>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pPr>
                  <w:r>
                    <w:rPr>
                      <w:rFonts w:hint="eastAsia" w:ascii="Times New Roman" w:hAnsi="Times New Roman" w:cs="Times New Roman"/>
                      <w:b w:val="0"/>
                      <w:bCs w:val="0"/>
                      <w:i w:val="0"/>
                      <w:caps w:val="0"/>
                      <w:color w:val="auto"/>
                      <w:spacing w:val="0"/>
                      <w:sz w:val="21"/>
                      <w:szCs w:val="21"/>
                      <w:highlight w:val="none"/>
                      <w:shd w:val="clear" w:fill="FFFFFF"/>
                      <w:lang w:val="en-US" w:eastAsia="zh-CN"/>
                    </w:rPr>
                    <w:t>56</w:t>
                  </w:r>
                </w:p>
              </w:tc>
              <w:tc>
                <w:tcPr>
                  <w:tcW w:w="917" w:type="dxa"/>
                  <w:vAlign w:val="center"/>
                </w:tcPr>
                <w:p w14:paraId="19BB361F">
                  <w:pPr>
                    <w:pStyle w:val="4"/>
                    <w:keepNext w:val="0"/>
                    <w:keepLines w:val="0"/>
                    <w:pageBreakBefore w:val="0"/>
                    <w:widowControl w:val="0"/>
                    <w:numPr>
                      <w:ilvl w:val="0"/>
                      <w:numId w:val="0"/>
                    </w:numPr>
                    <w:kinsoku/>
                    <w:wordWrap/>
                    <w:overflowPunct/>
                    <w:topLinePunct w:val="0"/>
                    <w:autoSpaceDE/>
                    <w:autoSpaceDN/>
                    <w:bidi w:val="0"/>
                    <w:adjustRightInd/>
                    <w:snapToGrid/>
                    <w:spacing w:line="280" w:lineRule="atLeast"/>
                    <w:jc w:val="center"/>
                    <w:textAlignment w:val="auto"/>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pPr>
                  <w:r>
                    <w:rPr>
                      <w:rFonts w:hint="eastAsia" w:ascii="Times New Roman" w:hAnsi="Times New Roman" w:cs="Times New Roman"/>
                      <w:b w:val="0"/>
                      <w:bCs w:val="0"/>
                      <w:i w:val="0"/>
                      <w:caps w:val="0"/>
                      <w:color w:val="auto"/>
                      <w:spacing w:val="0"/>
                      <w:sz w:val="21"/>
                      <w:szCs w:val="21"/>
                      <w:highlight w:val="none"/>
                      <w:shd w:val="clear" w:fill="FFFFFF"/>
                      <w:lang w:val="en-US" w:eastAsia="zh-CN"/>
                    </w:rPr>
                    <w:t>10080</w:t>
                  </w:r>
                </w:p>
              </w:tc>
              <w:tc>
                <w:tcPr>
                  <w:tcW w:w="875" w:type="dxa"/>
                  <w:vAlign w:val="center"/>
                </w:tcPr>
                <w:p w14:paraId="403FA4B8">
                  <w:pPr>
                    <w:pStyle w:val="4"/>
                    <w:keepNext w:val="0"/>
                    <w:keepLines w:val="0"/>
                    <w:pageBreakBefore w:val="0"/>
                    <w:widowControl w:val="0"/>
                    <w:numPr>
                      <w:ilvl w:val="0"/>
                      <w:numId w:val="0"/>
                    </w:numPr>
                    <w:kinsoku/>
                    <w:wordWrap/>
                    <w:overflowPunct/>
                    <w:topLinePunct w:val="0"/>
                    <w:autoSpaceDE/>
                    <w:autoSpaceDN/>
                    <w:bidi w:val="0"/>
                    <w:adjustRightInd/>
                    <w:snapToGrid/>
                    <w:spacing w:line="280" w:lineRule="atLeast"/>
                    <w:jc w:val="center"/>
                    <w:textAlignment w:val="auto"/>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pPr>
                  <w:r>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t>DA001</w:t>
                  </w:r>
                </w:p>
              </w:tc>
            </w:tr>
            <w:tr w14:paraId="12A19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7" w:type="dxa"/>
                  <w:vAlign w:val="center"/>
                </w:tcPr>
                <w:p w14:paraId="66160623">
                  <w:pPr>
                    <w:pStyle w:val="4"/>
                    <w:keepNext w:val="0"/>
                    <w:keepLines w:val="0"/>
                    <w:pageBreakBefore w:val="0"/>
                    <w:widowControl w:val="0"/>
                    <w:numPr>
                      <w:ilvl w:val="0"/>
                      <w:numId w:val="0"/>
                    </w:numPr>
                    <w:kinsoku/>
                    <w:wordWrap/>
                    <w:overflowPunct/>
                    <w:topLinePunct w:val="0"/>
                    <w:autoSpaceDE/>
                    <w:autoSpaceDN/>
                    <w:bidi w:val="0"/>
                    <w:adjustRightInd/>
                    <w:snapToGrid/>
                    <w:spacing w:line="280" w:lineRule="atLeast"/>
                    <w:jc w:val="center"/>
                    <w:textAlignment w:val="auto"/>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pPr>
                  <w:r>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t>粉碎</w:t>
                  </w:r>
                </w:p>
              </w:tc>
              <w:tc>
                <w:tcPr>
                  <w:tcW w:w="771" w:type="dxa"/>
                  <w:vAlign w:val="center"/>
                </w:tcPr>
                <w:p w14:paraId="600865E4">
                  <w:pPr>
                    <w:pStyle w:val="4"/>
                    <w:keepNext w:val="0"/>
                    <w:keepLines w:val="0"/>
                    <w:pageBreakBefore w:val="0"/>
                    <w:widowControl w:val="0"/>
                    <w:numPr>
                      <w:ilvl w:val="0"/>
                      <w:numId w:val="0"/>
                    </w:numPr>
                    <w:kinsoku/>
                    <w:wordWrap/>
                    <w:overflowPunct/>
                    <w:topLinePunct w:val="0"/>
                    <w:autoSpaceDE/>
                    <w:autoSpaceDN/>
                    <w:bidi w:val="0"/>
                    <w:adjustRightInd/>
                    <w:snapToGrid/>
                    <w:spacing w:line="280" w:lineRule="atLeast"/>
                    <w:ind w:left="0" w:leftChars="0" w:firstLine="0" w:firstLineChars="0"/>
                    <w:jc w:val="center"/>
                    <w:textAlignment w:val="auto"/>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pPr>
                  <w:r>
                    <w:rPr>
                      <w:rFonts w:hint="eastAsia" w:ascii="Times New Roman" w:hAnsi="Times New Roman" w:cs="Times New Roman"/>
                      <w:b w:val="0"/>
                      <w:bCs w:val="0"/>
                      <w:i w:val="0"/>
                      <w:caps w:val="0"/>
                      <w:color w:val="auto"/>
                      <w:spacing w:val="0"/>
                      <w:sz w:val="21"/>
                      <w:szCs w:val="21"/>
                      <w:highlight w:val="none"/>
                      <w:shd w:val="clear" w:fill="FFFFFF"/>
                      <w:lang w:val="en-US" w:eastAsia="zh-CN"/>
                    </w:rPr>
                    <w:t>0.3</w:t>
                  </w:r>
                </w:p>
              </w:tc>
              <w:tc>
                <w:tcPr>
                  <w:tcW w:w="598" w:type="dxa"/>
                  <w:vAlign w:val="center"/>
                </w:tcPr>
                <w:p w14:paraId="2D667591">
                  <w:pPr>
                    <w:pStyle w:val="4"/>
                    <w:keepNext w:val="0"/>
                    <w:keepLines w:val="0"/>
                    <w:pageBreakBefore w:val="0"/>
                    <w:widowControl w:val="0"/>
                    <w:numPr>
                      <w:ilvl w:val="0"/>
                      <w:numId w:val="0"/>
                    </w:numPr>
                    <w:kinsoku/>
                    <w:wordWrap/>
                    <w:overflowPunct/>
                    <w:topLinePunct w:val="0"/>
                    <w:autoSpaceDE/>
                    <w:autoSpaceDN/>
                    <w:bidi w:val="0"/>
                    <w:adjustRightInd/>
                    <w:snapToGrid/>
                    <w:spacing w:line="280" w:lineRule="atLeast"/>
                    <w:ind w:left="0" w:leftChars="0" w:firstLine="0" w:firstLineChars="0"/>
                    <w:jc w:val="center"/>
                    <w:textAlignment w:val="auto"/>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pPr>
                  <w:r>
                    <w:rPr>
                      <w:rFonts w:hint="eastAsia" w:ascii="Times New Roman" w:hAnsi="Times New Roman" w:cs="Times New Roman"/>
                      <w:b w:val="0"/>
                      <w:bCs w:val="0"/>
                      <w:i w:val="0"/>
                      <w:caps w:val="0"/>
                      <w:color w:val="auto"/>
                      <w:spacing w:val="0"/>
                      <w:sz w:val="21"/>
                      <w:szCs w:val="21"/>
                      <w:highlight w:val="none"/>
                      <w:shd w:val="clear" w:fill="FFFFFF"/>
                      <w:lang w:val="en-US" w:eastAsia="zh-CN"/>
                    </w:rPr>
                    <w:t>0.3</w:t>
                  </w:r>
                </w:p>
              </w:tc>
              <w:tc>
                <w:tcPr>
                  <w:tcW w:w="1297" w:type="dxa"/>
                  <w:vAlign w:val="center"/>
                </w:tcPr>
                <w:p w14:paraId="2F780D34">
                  <w:pPr>
                    <w:pStyle w:val="4"/>
                    <w:keepNext w:val="0"/>
                    <w:keepLines w:val="0"/>
                    <w:pageBreakBefore w:val="0"/>
                    <w:widowControl w:val="0"/>
                    <w:numPr>
                      <w:ilvl w:val="0"/>
                      <w:numId w:val="0"/>
                    </w:numPr>
                    <w:kinsoku/>
                    <w:wordWrap/>
                    <w:overflowPunct/>
                    <w:topLinePunct w:val="0"/>
                    <w:autoSpaceDE/>
                    <w:autoSpaceDN/>
                    <w:bidi w:val="0"/>
                    <w:adjustRightInd/>
                    <w:snapToGrid/>
                    <w:spacing w:line="280" w:lineRule="atLeast"/>
                    <w:jc w:val="center"/>
                    <w:textAlignment w:val="auto"/>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pPr>
                  <w:r>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t>0.3</w:t>
                  </w:r>
                </w:p>
              </w:tc>
              <w:tc>
                <w:tcPr>
                  <w:tcW w:w="1136" w:type="dxa"/>
                  <w:vAlign w:val="center"/>
                </w:tcPr>
                <w:p w14:paraId="1C8DF8B9">
                  <w:pPr>
                    <w:pStyle w:val="4"/>
                    <w:keepNext w:val="0"/>
                    <w:keepLines w:val="0"/>
                    <w:pageBreakBefore w:val="0"/>
                    <w:widowControl w:val="0"/>
                    <w:numPr>
                      <w:ilvl w:val="0"/>
                      <w:numId w:val="0"/>
                    </w:numPr>
                    <w:kinsoku/>
                    <w:wordWrap/>
                    <w:overflowPunct/>
                    <w:topLinePunct w:val="0"/>
                    <w:autoSpaceDE/>
                    <w:autoSpaceDN/>
                    <w:bidi w:val="0"/>
                    <w:adjustRightInd/>
                    <w:snapToGrid/>
                    <w:spacing w:line="280" w:lineRule="atLeast"/>
                    <w:jc w:val="center"/>
                    <w:textAlignment w:val="auto"/>
                    <w:rPr>
                      <w:rFonts w:hint="default" w:ascii="Times New Roman" w:hAnsi="Times New Roman" w:eastAsia="宋体" w:cs="Times New Roman"/>
                      <w:b w:val="0"/>
                      <w:bCs w:val="0"/>
                      <w:i w:val="0"/>
                      <w:caps w:val="0"/>
                      <w:color w:val="000000" w:themeColor="text1"/>
                      <w:spacing w:val="0"/>
                      <w:sz w:val="21"/>
                      <w:szCs w:val="21"/>
                      <w:highlight w:val="none"/>
                      <w:shd w:val="clear" w:fill="FFFFFF"/>
                      <w:lang w:val="en-US" w:eastAsia="zh-CN"/>
                      <w14:textFill>
                        <w14:solidFill>
                          <w14:schemeClr w14:val="tx1"/>
                        </w14:solidFill>
                      </w14:textFill>
                    </w:rPr>
                  </w:pPr>
                  <w:r>
                    <w:rPr>
                      <w:rFonts w:hint="eastAsia" w:ascii="Times New Roman" w:hAnsi="Times New Roman" w:cs="Times New Roman"/>
                      <w:b w:val="0"/>
                      <w:bCs w:val="0"/>
                      <w:i w:val="0"/>
                      <w:caps w:val="0"/>
                      <w:color w:val="000000" w:themeColor="text1"/>
                      <w:spacing w:val="0"/>
                      <w:sz w:val="21"/>
                      <w:szCs w:val="21"/>
                      <w:highlight w:val="none"/>
                      <w:shd w:val="clear" w:fill="FFFFFF"/>
                      <w:lang w:val="en-US" w:eastAsia="zh-CN"/>
                      <w14:textFill>
                        <w14:solidFill>
                          <w14:schemeClr w14:val="tx1"/>
                        </w14:solidFill>
                      </w14:textFill>
                    </w:rPr>
                    <w:t>180</w:t>
                  </w:r>
                </w:p>
              </w:tc>
              <w:tc>
                <w:tcPr>
                  <w:tcW w:w="1010" w:type="dxa"/>
                  <w:vAlign w:val="center"/>
                </w:tcPr>
                <w:p w14:paraId="760D3DC1">
                  <w:pPr>
                    <w:pStyle w:val="4"/>
                    <w:keepNext w:val="0"/>
                    <w:keepLines w:val="0"/>
                    <w:pageBreakBefore w:val="0"/>
                    <w:widowControl w:val="0"/>
                    <w:numPr>
                      <w:ilvl w:val="0"/>
                      <w:numId w:val="0"/>
                    </w:numPr>
                    <w:kinsoku/>
                    <w:wordWrap/>
                    <w:overflowPunct/>
                    <w:topLinePunct w:val="0"/>
                    <w:autoSpaceDE/>
                    <w:autoSpaceDN/>
                    <w:bidi w:val="0"/>
                    <w:adjustRightInd/>
                    <w:snapToGrid/>
                    <w:spacing w:line="280" w:lineRule="atLeast"/>
                    <w:jc w:val="center"/>
                    <w:textAlignment w:val="auto"/>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pPr>
                  <w:r>
                    <w:rPr>
                      <w:rFonts w:hint="eastAsia" w:ascii="Times New Roman" w:hAnsi="Times New Roman" w:cs="Times New Roman"/>
                      <w:b w:val="0"/>
                      <w:bCs w:val="0"/>
                      <w:i w:val="0"/>
                      <w:caps w:val="0"/>
                      <w:color w:val="auto"/>
                      <w:spacing w:val="0"/>
                      <w:sz w:val="21"/>
                      <w:szCs w:val="21"/>
                      <w:highlight w:val="none"/>
                      <w:shd w:val="clear" w:fill="FFFFFF"/>
                      <w:lang w:val="en-US" w:eastAsia="zh-CN"/>
                    </w:rPr>
                    <w:t>10</w:t>
                  </w:r>
                </w:p>
              </w:tc>
              <w:tc>
                <w:tcPr>
                  <w:tcW w:w="917" w:type="dxa"/>
                  <w:vAlign w:val="center"/>
                </w:tcPr>
                <w:p w14:paraId="262F9679">
                  <w:pPr>
                    <w:pStyle w:val="4"/>
                    <w:keepNext w:val="0"/>
                    <w:keepLines w:val="0"/>
                    <w:pageBreakBefore w:val="0"/>
                    <w:widowControl w:val="0"/>
                    <w:numPr>
                      <w:ilvl w:val="0"/>
                      <w:numId w:val="0"/>
                    </w:numPr>
                    <w:kinsoku/>
                    <w:wordWrap/>
                    <w:overflowPunct/>
                    <w:topLinePunct w:val="0"/>
                    <w:autoSpaceDE/>
                    <w:autoSpaceDN/>
                    <w:bidi w:val="0"/>
                    <w:adjustRightInd/>
                    <w:snapToGrid/>
                    <w:spacing w:line="280" w:lineRule="atLeast"/>
                    <w:jc w:val="center"/>
                    <w:textAlignment w:val="auto"/>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pPr>
                  <w:r>
                    <w:rPr>
                      <w:rFonts w:hint="eastAsia" w:ascii="Times New Roman" w:hAnsi="Times New Roman" w:cs="Times New Roman"/>
                      <w:b w:val="0"/>
                      <w:bCs w:val="0"/>
                      <w:i w:val="0"/>
                      <w:caps w:val="0"/>
                      <w:color w:val="auto"/>
                      <w:spacing w:val="0"/>
                      <w:sz w:val="21"/>
                      <w:szCs w:val="21"/>
                      <w:highlight w:val="none"/>
                      <w:shd w:val="clear" w:fill="FFFFFF"/>
                      <w:lang w:val="en-US" w:eastAsia="zh-CN"/>
                    </w:rPr>
                    <w:t>1800</w:t>
                  </w:r>
                </w:p>
              </w:tc>
              <w:tc>
                <w:tcPr>
                  <w:tcW w:w="875" w:type="dxa"/>
                  <w:vAlign w:val="center"/>
                </w:tcPr>
                <w:p w14:paraId="3CB88425">
                  <w:pPr>
                    <w:pStyle w:val="4"/>
                    <w:keepNext w:val="0"/>
                    <w:keepLines w:val="0"/>
                    <w:pageBreakBefore w:val="0"/>
                    <w:widowControl w:val="0"/>
                    <w:numPr>
                      <w:ilvl w:val="0"/>
                      <w:numId w:val="0"/>
                    </w:numPr>
                    <w:kinsoku/>
                    <w:wordWrap/>
                    <w:overflowPunct/>
                    <w:topLinePunct w:val="0"/>
                    <w:autoSpaceDE/>
                    <w:autoSpaceDN/>
                    <w:bidi w:val="0"/>
                    <w:adjustRightInd/>
                    <w:snapToGrid/>
                    <w:spacing w:line="280" w:lineRule="atLeast"/>
                    <w:jc w:val="center"/>
                    <w:textAlignment w:val="auto"/>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pPr>
                  <w:r>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t>DA002</w:t>
                  </w:r>
                </w:p>
              </w:tc>
            </w:tr>
            <w:tr w14:paraId="17822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71" w:type="dxa"/>
                  <w:gridSpan w:val="8"/>
                  <w:vAlign w:val="center"/>
                </w:tcPr>
                <w:p w14:paraId="6DA2C5C7">
                  <w:pPr>
                    <w:pStyle w:val="4"/>
                    <w:keepNext w:val="0"/>
                    <w:keepLines w:val="0"/>
                    <w:pageBreakBefore w:val="0"/>
                    <w:widowControl w:val="0"/>
                    <w:numPr>
                      <w:ilvl w:val="0"/>
                      <w:numId w:val="0"/>
                    </w:numPr>
                    <w:kinsoku/>
                    <w:wordWrap/>
                    <w:overflowPunct/>
                    <w:topLinePunct w:val="0"/>
                    <w:autoSpaceDE/>
                    <w:autoSpaceDN/>
                    <w:bidi w:val="0"/>
                    <w:adjustRightInd/>
                    <w:snapToGrid/>
                    <w:spacing w:line="280" w:lineRule="atLeast"/>
                    <w:jc w:val="center"/>
                    <w:textAlignment w:val="auto"/>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pPr>
                  <w:r>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t>风损：0.</w:t>
                  </w:r>
                  <w:r>
                    <w:rPr>
                      <w:rFonts w:hint="eastAsia" w:ascii="Times New Roman" w:hAnsi="Times New Roman" w:cs="Times New Roman"/>
                      <w:b w:val="0"/>
                      <w:bCs w:val="0"/>
                      <w:i w:val="0"/>
                      <w:caps w:val="0"/>
                      <w:color w:val="auto"/>
                      <w:spacing w:val="0"/>
                      <w:sz w:val="21"/>
                      <w:szCs w:val="21"/>
                      <w:highlight w:val="none"/>
                      <w:shd w:val="clear" w:fill="FFFFFF"/>
                      <w:lang w:val="en-US" w:eastAsia="zh-CN"/>
                    </w:rPr>
                    <w:t>1</w:t>
                  </w:r>
                </w:p>
              </w:tc>
            </w:tr>
          </w:tbl>
          <w:p w14:paraId="0559AA8B">
            <w:pPr>
              <w:pStyle w:val="15"/>
              <w:spacing w:line="500" w:lineRule="exact"/>
              <w:ind w:firstLine="480" w:firstLineChars="200"/>
              <w:rPr>
                <w:rFonts w:hint="default" w:ascii="Times New Roman" w:hAnsi="Times New Roman" w:eastAsia="宋体" w:cs="Times New Roman"/>
                <w:b w:val="0"/>
                <w:bCs w:val="0"/>
                <w:color w:val="auto"/>
                <w:sz w:val="24"/>
                <w:szCs w:val="24"/>
                <w:highlight w:val="none"/>
                <w:lang w:eastAsia="zh-CN"/>
              </w:rPr>
            </w:pPr>
            <w:r>
              <w:rPr>
                <w:rFonts w:hint="default" w:ascii="Times New Roman" w:hAnsi="Times New Roman" w:eastAsia="宋体" w:cs="Times New Roman"/>
                <w:b w:val="0"/>
                <w:bCs w:val="0"/>
                <w:color w:val="auto"/>
                <w:sz w:val="24"/>
                <w:szCs w:val="24"/>
                <w:highlight w:val="none"/>
                <w:lang w:val="en-US" w:eastAsia="zh-CN"/>
              </w:rPr>
              <w:t>本项目</w:t>
            </w:r>
            <w:r>
              <w:rPr>
                <w:rFonts w:hint="default" w:ascii="Times New Roman" w:hAnsi="Times New Roman" w:eastAsia="宋体" w:cs="Times New Roman"/>
                <w:bCs/>
                <w:color w:val="auto"/>
                <w:sz w:val="24"/>
                <w:highlight w:val="none"/>
                <w:lang w:val="en-US" w:eastAsia="zh-CN"/>
              </w:rPr>
              <w:t>注塑</w:t>
            </w:r>
            <w:r>
              <w:rPr>
                <w:rFonts w:hint="default" w:ascii="Times New Roman" w:hAnsi="Times New Roman" w:eastAsia="宋体" w:cs="Times New Roman"/>
                <w:bCs/>
                <w:color w:val="auto"/>
                <w:sz w:val="24"/>
                <w:highlight w:val="none"/>
                <w:lang w:eastAsia="zh-CN"/>
              </w:rPr>
              <w:t>工序产生的有机废气，</w:t>
            </w:r>
            <w:r>
              <w:rPr>
                <w:rFonts w:hint="default" w:ascii="Times New Roman" w:hAnsi="Times New Roman" w:eastAsia="宋体" w:cs="Times New Roman"/>
                <w:b w:val="0"/>
                <w:bCs w:val="0"/>
                <w:color w:val="auto"/>
                <w:sz w:val="24"/>
                <w:szCs w:val="24"/>
                <w:highlight w:val="none"/>
                <w:lang w:eastAsia="zh-CN"/>
              </w:rPr>
              <w:t>废气处理设备最小处理风量为</w:t>
            </w:r>
            <w:r>
              <w:rPr>
                <w:rFonts w:hint="eastAsia" w:ascii="Times New Roman" w:hAnsi="Times New Roman" w:cs="Times New Roman"/>
                <w:b w:val="0"/>
                <w:bCs w:val="0"/>
                <w:color w:val="auto"/>
                <w:sz w:val="24"/>
                <w:szCs w:val="24"/>
                <w:highlight w:val="none"/>
                <w:lang w:val="en-US" w:eastAsia="zh-CN"/>
              </w:rPr>
              <w:t>9540</w:t>
            </w:r>
            <w:r>
              <w:rPr>
                <w:rFonts w:hint="default" w:ascii="Times New Roman" w:hAnsi="Times New Roman" w:eastAsia="宋体" w:cs="Times New Roman"/>
                <w:b w:val="0"/>
                <w:bCs w:val="0"/>
                <w:color w:val="auto"/>
                <w:sz w:val="24"/>
                <w:szCs w:val="24"/>
                <w:highlight w:val="none"/>
                <w:lang w:val="en-US" w:eastAsia="zh-CN"/>
              </w:rPr>
              <w:t>m</w:t>
            </w:r>
            <w:r>
              <w:rPr>
                <w:rFonts w:hint="default" w:ascii="Times New Roman" w:hAnsi="Times New Roman" w:eastAsia="宋体" w:cs="Times New Roman"/>
                <w:b w:val="0"/>
                <w:bCs w:val="0"/>
                <w:color w:val="auto"/>
                <w:sz w:val="24"/>
                <w:szCs w:val="24"/>
                <w:highlight w:val="none"/>
                <w:vertAlign w:val="superscript"/>
                <w:lang w:val="en-US" w:eastAsia="zh-CN"/>
              </w:rPr>
              <w:t>3</w:t>
            </w:r>
            <w:r>
              <w:rPr>
                <w:rFonts w:hint="default" w:ascii="Times New Roman" w:hAnsi="Times New Roman" w:eastAsia="宋体" w:cs="Times New Roman"/>
                <w:b w:val="0"/>
                <w:bCs w:val="0"/>
                <w:color w:val="auto"/>
                <w:sz w:val="24"/>
                <w:szCs w:val="24"/>
                <w:highlight w:val="none"/>
                <w:lang w:val="en-US" w:eastAsia="zh-CN"/>
              </w:rPr>
              <w:t>/h，本项目采用设计风量为</w:t>
            </w:r>
            <w:r>
              <w:rPr>
                <w:rFonts w:hint="eastAsia" w:ascii="Times New Roman" w:hAnsi="Times New Roman" w:cs="Times New Roman"/>
                <w:b w:val="0"/>
                <w:bCs w:val="0"/>
                <w:color w:val="auto"/>
                <w:sz w:val="24"/>
                <w:szCs w:val="24"/>
                <w:highlight w:val="none"/>
                <w:lang w:val="en-US" w:eastAsia="zh-CN"/>
              </w:rPr>
              <w:t>15000</w:t>
            </w:r>
            <w:r>
              <w:rPr>
                <w:rFonts w:hint="default" w:ascii="Times New Roman" w:hAnsi="Times New Roman" w:eastAsia="宋体" w:cs="Times New Roman"/>
                <w:b w:val="0"/>
                <w:bCs w:val="0"/>
                <w:color w:val="auto"/>
                <w:sz w:val="24"/>
                <w:szCs w:val="24"/>
                <w:highlight w:val="none"/>
                <w:lang w:val="en-US" w:eastAsia="zh-CN"/>
              </w:rPr>
              <w:t>m</w:t>
            </w:r>
            <w:r>
              <w:rPr>
                <w:rFonts w:hint="default" w:ascii="Times New Roman" w:hAnsi="Times New Roman" w:eastAsia="宋体" w:cs="Times New Roman"/>
                <w:b w:val="0"/>
                <w:bCs w:val="0"/>
                <w:color w:val="auto"/>
                <w:sz w:val="24"/>
                <w:szCs w:val="24"/>
                <w:highlight w:val="none"/>
                <w:vertAlign w:val="superscript"/>
                <w:lang w:val="en-US" w:eastAsia="zh-CN"/>
              </w:rPr>
              <w:t>3</w:t>
            </w:r>
            <w:r>
              <w:rPr>
                <w:rFonts w:hint="default" w:ascii="Times New Roman" w:hAnsi="Times New Roman" w:eastAsia="宋体" w:cs="Times New Roman"/>
                <w:b w:val="0"/>
                <w:bCs w:val="0"/>
                <w:color w:val="auto"/>
                <w:sz w:val="24"/>
                <w:szCs w:val="24"/>
                <w:highlight w:val="none"/>
                <w:lang w:val="en-US" w:eastAsia="zh-CN"/>
              </w:rPr>
              <w:t>/h的</w:t>
            </w:r>
            <w:r>
              <w:rPr>
                <w:rFonts w:hint="eastAsia" w:ascii="Times New Roman" w:hAnsi="Times New Roman" w:cs="Times New Roman"/>
                <w:bCs/>
                <w:color w:val="auto"/>
                <w:sz w:val="24"/>
                <w:highlight w:val="none"/>
                <w:lang w:eastAsia="zh-CN"/>
              </w:rPr>
              <w:t>二级活性炭装置</w:t>
            </w:r>
            <w:r>
              <w:rPr>
                <w:rFonts w:hint="default" w:ascii="Times New Roman" w:hAnsi="Times New Roman" w:eastAsia="宋体" w:cs="Times New Roman"/>
                <w:bCs/>
                <w:color w:val="auto"/>
                <w:sz w:val="24"/>
                <w:highlight w:val="none"/>
                <w:lang w:eastAsia="zh-CN"/>
              </w:rPr>
              <w:t>，可满足本项目</w:t>
            </w:r>
            <w:r>
              <w:rPr>
                <w:rFonts w:hint="default" w:ascii="Times New Roman" w:hAnsi="Times New Roman" w:eastAsia="宋体" w:cs="Times New Roman"/>
                <w:bCs/>
                <w:color w:val="auto"/>
                <w:sz w:val="24"/>
                <w:highlight w:val="none"/>
                <w:lang w:val="en-US" w:eastAsia="zh-CN"/>
              </w:rPr>
              <w:t>注塑</w:t>
            </w:r>
            <w:r>
              <w:rPr>
                <w:rFonts w:hint="default" w:ascii="Times New Roman" w:hAnsi="Times New Roman" w:eastAsia="宋体" w:cs="Times New Roman"/>
                <w:bCs/>
                <w:color w:val="auto"/>
                <w:sz w:val="24"/>
                <w:highlight w:val="none"/>
                <w:lang w:eastAsia="zh-CN"/>
              </w:rPr>
              <w:t>工序产生的有机废气处理要求；</w:t>
            </w:r>
          </w:p>
          <w:p w14:paraId="48174C4B">
            <w:pPr>
              <w:pStyle w:val="15"/>
              <w:spacing w:line="500" w:lineRule="exact"/>
              <w:ind w:firstLine="480" w:firstLineChars="200"/>
              <w:rPr>
                <w:rFonts w:hint="default" w:ascii="Times New Roman" w:hAnsi="Times New Roman" w:eastAsia="宋体" w:cs="Times New Roman"/>
                <w:b w:val="0"/>
                <w:bCs w:val="0"/>
                <w:color w:val="auto"/>
                <w:sz w:val="24"/>
                <w:szCs w:val="24"/>
                <w:highlight w:val="none"/>
                <w:lang w:eastAsia="zh-CN"/>
              </w:rPr>
            </w:pPr>
            <w:r>
              <w:rPr>
                <w:rFonts w:hint="default" w:ascii="Times New Roman" w:hAnsi="Times New Roman" w:eastAsia="宋体" w:cs="Times New Roman"/>
                <w:b w:val="0"/>
                <w:bCs w:val="0"/>
                <w:color w:val="auto"/>
                <w:sz w:val="24"/>
                <w:szCs w:val="24"/>
                <w:highlight w:val="none"/>
                <w:lang w:val="en-US" w:eastAsia="zh-CN"/>
              </w:rPr>
              <w:t>本项目粉碎产生的废气，</w:t>
            </w:r>
            <w:r>
              <w:rPr>
                <w:rFonts w:hint="default" w:ascii="Times New Roman" w:hAnsi="Times New Roman" w:eastAsia="宋体" w:cs="Times New Roman"/>
                <w:b w:val="0"/>
                <w:bCs w:val="0"/>
                <w:color w:val="auto"/>
                <w:sz w:val="24"/>
                <w:szCs w:val="24"/>
                <w:highlight w:val="none"/>
                <w:lang w:eastAsia="zh-CN"/>
              </w:rPr>
              <w:t>废气处理设备最小处理风量为</w:t>
            </w:r>
            <w:r>
              <w:rPr>
                <w:rFonts w:hint="eastAsia" w:ascii="Times New Roman" w:hAnsi="Times New Roman" w:cs="Times New Roman"/>
                <w:b w:val="0"/>
                <w:bCs w:val="0"/>
                <w:color w:val="auto"/>
                <w:sz w:val="24"/>
                <w:szCs w:val="24"/>
                <w:highlight w:val="none"/>
                <w:lang w:val="en-US" w:eastAsia="zh-CN"/>
              </w:rPr>
              <w:t>1800</w:t>
            </w:r>
            <w:r>
              <w:rPr>
                <w:rFonts w:hint="default" w:ascii="Times New Roman" w:hAnsi="Times New Roman" w:eastAsia="宋体" w:cs="Times New Roman"/>
                <w:b w:val="0"/>
                <w:bCs w:val="0"/>
                <w:color w:val="auto"/>
                <w:sz w:val="24"/>
                <w:szCs w:val="24"/>
                <w:highlight w:val="none"/>
                <w:lang w:val="en-US" w:eastAsia="zh-CN"/>
              </w:rPr>
              <w:t>m</w:t>
            </w:r>
            <w:r>
              <w:rPr>
                <w:rFonts w:hint="default" w:ascii="Times New Roman" w:hAnsi="Times New Roman" w:eastAsia="宋体" w:cs="Times New Roman"/>
                <w:b w:val="0"/>
                <w:bCs w:val="0"/>
                <w:color w:val="auto"/>
                <w:sz w:val="24"/>
                <w:szCs w:val="24"/>
                <w:highlight w:val="none"/>
                <w:vertAlign w:val="superscript"/>
                <w:lang w:val="en-US" w:eastAsia="zh-CN"/>
              </w:rPr>
              <w:t>3</w:t>
            </w:r>
            <w:r>
              <w:rPr>
                <w:rFonts w:hint="default" w:ascii="Times New Roman" w:hAnsi="Times New Roman" w:eastAsia="宋体" w:cs="Times New Roman"/>
                <w:b w:val="0"/>
                <w:bCs w:val="0"/>
                <w:color w:val="auto"/>
                <w:sz w:val="24"/>
                <w:szCs w:val="24"/>
                <w:highlight w:val="none"/>
                <w:lang w:val="en-US" w:eastAsia="zh-CN"/>
              </w:rPr>
              <w:t>/h，本项目采用设计风量为</w:t>
            </w:r>
            <w:r>
              <w:rPr>
                <w:rFonts w:hint="eastAsia" w:ascii="Times New Roman" w:hAnsi="Times New Roman" w:cs="Times New Roman"/>
                <w:b w:val="0"/>
                <w:bCs w:val="0"/>
                <w:color w:val="auto"/>
                <w:sz w:val="24"/>
                <w:szCs w:val="24"/>
                <w:highlight w:val="none"/>
                <w:lang w:val="en-US" w:eastAsia="zh-CN"/>
              </w:rPr>
              <w:t>5000</w:t>
            </w:r>
            <w:r>
              <w:rPr>
                <w:rFonts w:hint="default" w:ascii="Times New Roman" w:hAnsi="Times New Roman" w:eastAsia="宋体" w:cs="Times New Roman"/>
                <w:b w:val="0"/>
                <w:bCs w:val="0"/>
                <w:color w:val="auto"/>
                <w:sz w:val="24"/>
                <w:szCs w:val="24"/>
                <w:highlight w:val="none"/>
                <w:lang w:val="en-US" w:eastAsia="zh-CN"/>
              </w:rPr>
              <w:t>m</w:t>
            </w:r>
            <w:r>
              <w:rPr>
                <w:rFonts w:hint="default" w:ascii="Times New Roman" w:hAnsi="Times New Roman" w:eastAsia="宋体" w:cs="Times New Roman"/>
                <w:b w:val="0"/>
                <w:bCs w:val="0"/>
                <w:color w:val="auto"/>
                <w:sz w:val="24"/>
                <w:szCs w:val="24"/>
                <w:highlight w:val="none"/>
                <w:vertAlign w:val="superscript"/>
                <w:lang w:val="en-US" w:eastAsia="zh-CN"/>
              </w:rPr>
              <w:t>3</w:t>
            </w:r>
            <w:r>
              <w:rPr>
                <w:rFonts w:hint="default" w:ascii="Times New Roman" w:hAnsi="Times New Roman" w:eastAsia="宋体" w:cs="Times New Roman"/>
                <w:b w:val="0"/>
                <w:bCs w:val="0"/>
                <w:color w:val="auto"/>
                <w:sz w:val="24"/>
                <w:szCs w:val="24"/>
                <w:highlight w:val="none"/>
                <w:lang w:val="en-US" w:eastAsia="zh-CN"/>
              </w:rPr>
              <w:t>/h的</w:t>
            </w:r>
            <w:r>
              <w:rPr>
                <w:rFonts w:hint="default" w:ascii="Times New Roman" w:hAnsi="Times New Roman" w:eastAsia="宋体" w:cs="Times New Roman"/>
                <w:bCs/>
                <w:color w:val="auto"/>
                <w:sz w:val="24"/>
                <w:highlight w:val="none"/>
                <w:lang w:eastAsia="zh-CN"/>
              </w:rPr>
              <w:t>布袋除尘设备</w:t>
            </w:r>
            <w:r>
              <w:rPr>
                <w:rFonts w:hint="default" w:ascii="Times New Roman" w:hAnsi="Times New Roman" w:cs="Times New Roman"/>
                <w:bCs/>
                <w:color w:val="auto"/>
                <w:sz w:val="24"/>
                <w:highlight w:val="none"/>
                <w:lang w:eastAsia="zh-CN"/>
              </w:rPr>
              <w:t>，</w:t>
            </w:r>
            <w:r>
              <w:rPr>
                <w:rFonts w:hint="default" w:ascii="Times New Roman" w:hAnsi="Times New Roman" w:eastAsia="宋体" w:cs="Times New Roman"/>
                <w:bCs/>
                <w:color w:val="auto"/>
                <w:sz w:val="24"/>
                <w:highlight w:val="none"/>
                <w:lang w:eastAsia="zh-CN"/>
              </w:rPr>
              <w:t>可满足</w:t>
            </w:r>
            <w:r>
              <w:rPr>
                <w:rFonts w:hint="default" w:ascii="Times New Roman" w:hAnsi="Times New Roman" w:eastAsia="宋体" w:cs="Times New Roman"/>
                <w:b w:val="0"/>
                <w:bCs w:val="0"/>
                <w:color w:val="auto"/>
                <w:sz w:val="24"/>
                <w:szCs w:val="24"/>
                <w:highlight w:val="none"/>
                <w:lang w:eastAsia="zh-CN"/>
              </w:rPr>
              <w:t>产生的粉尘</w:t>
            </w:r>
            <w:r>
              <w:rPr>
                <w:rFonts w:hint="default" w:ascii="Times New Roman" w:hAnsi="Times New Roman" w:eastAsia="宋体" w:cs="Times New Roman"/>
                <w:b w:val="0"/>
                <w:bCs w:val="0"/>
                <w:color w:val="auto"/>
                <w:sz w:val="24"/>
                <w:szCs w:val="24"/>
                <w:highlight w:val="none"/>
              </w:rPr>
              <w:t>废气</w:t>
            </w:r>
            <w:r>
              <w:rPr>
                <w:rFonts w:hint="default" w:ascii="Times New Roman" w:hAnsi="Times New Roman" w:eastAsia="宋体" w:cs="Times New Roman"/>
                <w:b w:val="0"/>
                <w:bCs w:val="0"/>
                <w:color w:val="auto"/>
                <w:sz w:val="24"/>
                <w:szCs w:val="24"/>
                <w:highlight w:val="none"/>
                <w:lang w:eastAsia="zh-CN"/>
              </w:rPr>
              <w:t>处理要求。</w:t>
            </w:r>
          </w:p>
          <w:p w14:paraId="30A6359E">
            <w:pPr>
              <w:pStyle w:val="1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tLeast"/>
              <w:ind w:left="0" w:leftChars="0" w:right="0" w:rightChars="0" w:firstLine="482" w:firstLineChars="200"/>
              <w:jc w:val="left"/>
              <w:textAlignment w:val="auto"/>
              <w:rPr>
                <w:rFonts w:hint="eastAsia" w:ascii="Times New Roman" w:hAnsi="Times New Roman" w:cs="Times New Roman"/>
                <w:b/>
                <w:bCs/>
                <w:sz w:val="24"/>
                <w:szCs w:val="24"/>
                <w:highlight w:val="none"/>
                <w:lang w:val="en-US" w:eastAsia="zh-CN"/>
              </w:rPr>
            </w:pPr>
            <w:r>
              <w:rPr>
                <w:rFonts w:hint="eastAsia" w:ascii="Times New Roman" w:hAnsi="Times New Roman" w:cs="Times New Roman"/>
                <w:b/>
                <w:bCs/>
                <w:sz w:val="24"/>
                <w:szCs w:val="24"/>
                <w:highlight w:val="none"/>
                <w:lang w:val="en-US" w:eastAsia="zh-CN"/>
              </w:rPr>
              <w:t>注塑工序</w:t>
            </w:r>
            <w:r>
              <w:rPr>
                <w:rFonts w:hint="eastAsia" w:ascii="Times New Roman" w:hAnsi="Times New Roman" w:eastAsia="宋体" w:cs="Times New Roman"/>
                <w:b/>
                <w:bCs/>
                <w:sz w:val="24"/>
                <w:szCs w:val="24"/>
                <w:highlight w:val="none"/>
                <w:lang w:val="en-US" w:eastAsia="zh-CN"/>
              </w:rPr>
              <w:t>废气非甲烷总烃</w:t>
            </w:r>
          </w:p>
          <w:p w14:paraId="2D31E241">
            <w:pPr>
              <w:keepNext w:val="0"/>
              <w:keepLines w:val="0"/>
              <w:pageBreakBefore w:val="0"/>
              <w:widowControl/>
              <w:suppressLineNumbers w:val="0"/>
              <w:kinsoku/>
              <w:wordWrap/>
              <w:overflowPunct/>
              <w:topLinePunct w:val="0"/>
              <w:autoSpaceDE/>
              <w:autoSpaceDN/>
              <w:bidi w:val="0"/>
              <w:adjustRightInd/>
              <w:snapToGrid/>
              <w:spacing w:line="480" w:lineRule="exact"/>
              <w:ind w:firstLine="482" w:firstLineChars="200"/>
              <w:jc w:val="left"/>
              <w:textAlignment w:val="auto"/>
              <w:rPr>
                <w:rFonts w:hint="eastAsia" w:ascii="Times New Roman" w:hAnsi="Times New Roman" w:eastAsia="宋体" w:cs="Times New Roman"/>
                <w:snapToGrid w:val="0"/>
                <w:sz w:val="24"/>
                <w:szCs w:val="24"/>
                <w:highlight w:val="none"/>
                <w:lang w:val="en-US" w:eastAsia="zh-CN" w:bidi="ar-SA"/>
              </w:rPr>
            </w:pPr>
            <w:r>
              <w:rPr>
                <w:rFonts w:hint="eastAsia" w:ascii="Times New Roman" w:hAnsi="Times New Roman" w:eastAsia="宋体" w:cs="Times New Roman"/>
                <w:b/>
                <w:bCs/>
                <w:snapToGrid w:val="0"/>
                <w:sz w:val="24"/>
                <w:szCs w:val="24"/>
                <w:highlight w:val="none"/>
                <w:lang w:val="en-US" w:eastAsia="zh-CN" w:bidi="ar-SA"/>
              </w:rPr>
              <w:t>注塑：</w:t>
            </w:r>
            <w:r>
              <w:rPr>
                <w:rFonts w:hint="eastAsia" w:ascii="Times New Roman" w:hAnsi="Times New Roman" w:eastAsia="宋体" w:cs="Times New Roman"/>
                <w:snapToGrid w:val="0"/>
                <w:sz w:val="24"/>
                <w:szCs w:val="24"/>
                <w:highlight w:val="none"/>
                <w:lang w:val="en-US" w:eastAsia="zh-CN" w:bidi="ar-SA"/>
              </w:rPr>
              <w:t>注塑工序加热时会产生少量有机废气，废气经集气罩+</w:t>
            </w:r>
            <w:r>
              <w:rPr>
                <w:rFonts w:hint="eastAsia" w:ascii="Times New Roman" w:hAnsi="Times New Roman" w:cs="Times New Roman"/>
                <w:snapToGrid w:val="0"/>
                <w:sz w:val="24"/>
                <w:szCs w:val="24"/>
                <w:highlight w:val="none"/>
                <w:lang w:val="en-US" w:eastAsia="zh-CN" w:bidi="ar-SA"/>
              </w:rPr>
              <w:t>二级活性炭装置</w:t>
            </w:r>
            <w:r>
              <w:rPr>
                <w:rFonts w:hint="eastAsia" w:ascii="Times New Roman" w:hAnsi="Times New Roman" w:eastAsia="宋体" w:cs="Times New Roman"/>
                <w:snapToGrid w:val="0"/>
                <w:sz w:val="24"/>
                <w:szCs w:val="24"/>
                <w:highlight w:val="none"/>
                <w:lang w:val="en-US" w:eastAsia="zh-CN" w:bidi="ar-SA"/>
              </w:rPr>
              <w:t>+15m排气筒DA001排放</w:t>
            </w:r>
            <w:r>
              <w:rPr>
                <w:rFonts w:hint="default" w:ascii="Times New Roman" w:hAnsi="Times New Roman" w:eastAsia="宋体" w:cs="Times New Roman"/>
                <w:snapToGrid w:val="0"/>
                <w:sz w:val="24"/>
                <w:szCs w:val="24"/>
                <w:highlight w:val="none"/>
                <w:lang w:val="en-US" w:eastAsia="zh-CN" w:bidi="ar-SA"/>
              </w:rPr>
              <w:t>。</w:t>
            </w:r>
            <w:r>
              <w:rPr>
                <w:rFonts w:hint="eastAsia" w:ascii="Times New Roman" w:hAnsi="Times New Roman" w:eastAsia="宋体" w:cs="Times New Roman"/>
                <w:snapToGrid w:val="0"/>
                <w:sz w:val="24"/>
                <w:szCs w:val="24"/>
                <w:highlight w:val="none"/>
                <w:lang w:val="en-US" w:eastAsia="zh-CN" w:bidi="ar-SA"/>
              </w:rPr>
              <w:t>该工序产污系数参照</w:t>
            </w:r>
            <w:r>
              <w:rPr>
                <w:rFonts w:hint="default" w:ascii="Times New Roman" w:hAnsi="Times New Roman" w:eastAsia="宋体" w:cs="Times New Roman"/>
                <w:snapToGrid w:val="0"/>
                <w:sz w:val="24"/>
                <w:szCs w:val="24"/>
                <w:highlight w:val="none"/>
                <w:lang w:val="en-US" w:eastAsia="zh-CN" w:bidi="ar-SA"/>
              </w:rPr>
              <w:t>《排放源统计调查产排污核算方法和系数手册》中292塑料制品</w:t>
            </w:r>
            <w:r>
              <w:rPr>
                <w:rFonts w:hint="default" w:ascii="Times New Roman" w:hAnsi="Times New Roman" w:eastAsia="宋体" w:cs="Times New Roman"/>
                <w:snapToGrid w:val="0"/>
                <w:color w:val="000000" w:themeColor="text1"/>
                <w:sz w:val="24"/>
                <w:szCs w:val="24"/>
                <w:highlight w:val="none"/>
                <w:lang w:val="en-US" w:eastAsia="zh-CN" w:bidi="ar-SA"/>
                <w14:textFill>
                  <w14:solidFill>
                    <w14:schemeClr w14:val="tx1"/>
                  </w14:solidFill>
                </w14:textFill>
              </w:rPr>
              <w:t>业系数手册</w:t>
            </w:r>
            <w:r>
              <w:rPr>
                <w:rFonts w:hint="eastAsia" w:ascii="Times New Roman" w:hAnsi="Times New Roman" w:eastAsia="宋体" w:cs="Times New Roman"/>
                <w:snapToGrid w:val="0"/>
                <w:color w:val="000000" w:themeColor="text1"/>
                <w:sz w:val="24"/>
                <w:szCs w:val="24"/>
                <w:highlight w:val="none"/>
                <w:lang w:val="en-US" w:eastAsia="zh-CN" w:bidi="ar-SA"/>
                <w14:textFill>
                  <w14:solidFill>
                    <w14:schemeClr w14:val="tx1"/>
                  </w14:solidFill>
                </w14:textFill>
              </w:rPr>
              <w:t>—</w:t>
            </w:r>
            <w:r>
              <w:rPr>
                <w:rFonts w:hint="eastAsia" w:ascii="Times New Roman" w:hAnsi="Times New Roman" w:cs="Times New Roman"/>
                <w:snapToGrid w:val="0"/>
                <w:color w:val="000000" w:themeColor="text1"/>
                <w:sz w:val="24"/>
                <w:szCs w:val="24"/>
                <w:highlight w:val="none"/>
                <w:lang w:val="en-US" w:eastAsia="zh-CN" w:bidi="ar-SA"/>
                <w14:textFill>
                  <w14:solidFill>
                    <w14:schemeClr w14:val="tx1"/>
                  </w14:solidFill>
                </w14:textFill>
              </w:rPr>
              <w:t>2927 日用塑料制品制造行业系数表</w:t>
            </w:r>
            <w:r>
              <w:rPr>
                <w:rFonts w:hint="default" w:ascii="Times New Roman" w:hAnsi="Times New Roman" w:eastAsia="宋体" w:cs="Times New Roman"/>
                <w:snapToGrid w:val="0"/>
                <w:color w:val="000000" w:themeColor="text1"/>
                <w:sz w:val="24"/>
                <w:szCs w:val="24"/>
                <w:highlight w:val="none"/>
                <w:lang w:val="en-US" w:eastAsia="zh-CN" w:bidi="ar-SA"/>
                <w14:textFill>
                  <w14:solidFill>
                    <w14:schemeClr w14:val="tx1"/>
                  </w14:solidFill>
                </w14:textFill>
              </w:rPr>
              <w:t>，</w:t>
            </w:r>
            <w:r>
              <w:rPr>
                <w:rFonts w:hint="eastAsia" w:ascii="Times New Roman" w:hAnsi="Times New Roman" w:eastAsia="宋体" w:cs="Times New Roman"/>
                <w:snapToGrid w:val="0"/>
                <w:color w:val="000000" w:themeColor="text1"/>
                <w:sz w:val="24"/>
                <w:szCs w:val="24"/>
                <w:highlight w:val="none"/>
                <w:lang w:val="en-US" w:eastAsia="zh-CN" w:bidi="ar-SA"/>
                <w14:textFill>
                  <w14:solidFill>
                    <w14:schemeClr w14:val="tx1"/>
                  </w14:solidFill>
                </w14:textFill>
              </w:rPr>
              <w:t>非甲烷总烃</w:t>
            </w:r>
            <w:r>
              <w:rPr>
                <w:rFonts w:hint="default" w:ascii="Times New Roman" w:hAnsi="Times New Roman" w:eastAsia="宋体" w:cs="Times New Roman"/>
                <w:snapToGrid w:val="0"/>
                <w:color w:val="000000" w:themeColor="text1"/>
                <w:sz w:val="24"/>
                <w:szCs w:val="24"/>
                <w:highlight w:val="none"/>
                <w:lang w:val="en-US" w:eastAsia="zh-CN" w:bidi="ar-SA"/>
                <w14:textFill>
                  <w14:solidFill>
                    <w14:schemeClr w14:val="tx1"/>
                  </w14:solidFill>
                </w14:textFill>
              </w:rPr>
              <w:t>产污系数为</w:t>
            </w:r>
            <w:r>
              <w:rPr>
                <w:rFonts w:hint="eastAsia" w:ascii="Times New Roman" w:hAnsi="Times New Roman" w:eastAsia="宋体" w:cs="Times New Roman"/>
                <w:snapToGrid w:val="0"/>
                <w:color w:val="000000" w:themeColor="text1"/>
                <w:sz w:val="24"/>
                <w:szCs w:val="24"/>
                <w:highlight w:val="none"/>
                <w:lang w:val="en-US" w:eastAsia="zh-CN" w:bidi="ar-SA"/>
                <w14:textFill>
                  <w14:solidFill>
                    <w14:schemeClr w14:val="tx1"/>
                  </w14:solidFill>
                </w14:textFill>
              </w:rPr>
              <w:t>2.70</w:t>
            </w:r>
            <w:r>
              <w:rPr>
                <w:rFonts w:hint="default" w:ascii="Times New Roman" w:hAnsi="Times New Roman" w:eastAsia="宋体" w:cs="Times New Roman"/>
                <w:snapToGrid w:val="0"/>
                <w:color w:val="000000" w:themeColor="text1"/>
                <w:sz w:val="24"/>
                <w:szCs w:val="24"/>
                <w:highlight w:val="none"/>
                <w:lang w:val="en-US" w:eastAsia="zh-CN" w:bidi="ar-SA"/>
                <w14:textFill>
                  <w14:solidFill>
                    <w14:schemeClr w14:val="tx1"/>
                  </w14:solidFill>
                </w14:textFill>
              </w:rPr>
              <w:t>kg/t</w:t>
            </w:r>
            <w:r>
              <w:rPr>
                <w:rFonts w:hint="eastAsia" w:ascii="Times New Roman" w:hAnsi="Times New Roman" w:eastAsia="宋体" w:cs="Times New Roman"/>
                <w:snapToGrid w:val="0"/>
                <w:color w:val="000000" w:themeColor="text1"/>
                <w:sz w:val="24"/>
                <w:szCs w:val="24"/>
                <w:highlight w:val="none"/>
                <w:lang w:val="en-US" w:eastAsia="zh-CN" w:bidi="ar-SA"/>
                <w14:textFill>
                  <w14:solidFill>
                    <w14:schemeClr w14:val="tx1"/>
                  </w14:solidFill>
                </w14:textFill>
              </w:rPr>
              <w:t>产品</w:t>
            </w:r>
            <w:r>
              <w:rPr>
                <w:rFonts w:hint="default" w:ascii="Times New Roman" w:hAnsi="Times New Roman" w:eastAsia="宋体" w:cs="Times New Roman"/>
                <w:snapToGrid w:val="0"/>
                <w:color w:val="000000" w:themeColor="text1"/>
                <w:sz w:val="24"/>
                <w:szCs w:val="24"/>
                <w:highlight w:val="none"/>
                <w:lang w:val="en-US" w:eastAsia="zh-CN" w:bidi="ar-SA"/>
                <w14:textFill>
                  <w14:solidFill>
                    <w14:schemeClr w14:val="tx1"/>
                  </w14:solidFill>
                </w14:textFill>
              </w:rPr>
              <w:t>，</w:t>
            </w:r>
            <w:r>
              <w:rPr>
                <w:rFonts w:hint="eastAsia" w:ascii="Times New Roman" w:hAnsi="Times New Roman" w:eastAsia="宋体" w:cs="Times New Roman"/>
                <w:snapToGrid w:val="0"/>
                <w:color w:val="000000" w:themeColor="text1"/>
                <w:sz w:val="24"/>
                <w:szCs w:val="24"/>
                <w:highlight w:val="none"/>
                <w:lang w:val="en-US" w:eastAsia="zh-CN" w:bidi="ar-SA"/>
                <w14:textFill>
                  <w14:solidFill>
                    <w14:schemeClr w14:val="tx1"/>
                  </w14:solidFill>
                </w14:textFill>
              </w:rPr>
              <w:t>本项目</w:t>
            </w:r>
            <w:r>
              <w:rPr>
                <w:rFonts w:hint="eastAsia" w:ascii="Times New Roman" w:hAnsi="Times New Roman" w:cs="Times New Roman"/>
                <w:snapToGrid w:val="0"/>
                <w:color w:val="000000" w:themeColor="text1"/>
                <w:sz w:val="24"/>
                <w:szCs w:val="24"/>
                <w:highlight w:val="none"/>
                <w:lang w:val="en-US" w:eastAsia="zh-CN" w:bidi="ar-SA"/>
                <w14:textFill>
                  <w14:solidFill>
                    <w14:schemeClr w14:val="tx1"/>
                  </w14:solidFill>
                </w14:textFill>
              </w:rPr>
              <w:t>生产置物架200万套（500t/a）</w:t>
            </w:r>
            <w:r>
              <w:rPr>
                <w:rFonts w:hint="eastAsia" w:ascii="Times New Roman" w:hAnsi="Times New Roman" w:eastAsia="宋体" w:cs="Times New Roman"/>
                <w:snapToGrid w:val="0"/>
                <w:color w:val="000000" w:themeColor="text1"/>
                <w:sz w:val="24"/>
                <w:szCs w:val="24"/>
                <w:highlight w:val="none"/>
                <w:lang w:val="en-US" w:eastAsia="zh-CN" w:bidi="ar-SA"/>
                <w14:textFill>
                  <w14:solidFill>
                    <w14:schemeClr w14:val="tx1"/>
                  </w14:solidFill>
                </w14:textFill>
              </w:rPr>
              <w:t>，则注塑工序非甲烷总烃</w:t>
            </w:r>
            <w:r>
              <w:rPr>
                <w:rFonts w:hint="default" w:ascii="Times New Roman" w:hAnsi="Times New Roman" w:eastAsia="宋体" w:cs="Times New Roman"/>
                <w:snapToGrid w:val="0"/>
                <w:color w:val="000000" w:themeColor="text1"/>
                <w:sz w:val="24"/>
                <w:szCs w:val="24"/>
                <w:highlight w:val="none"/>
                <w:lang w:val="en-US" w:eastAsia="zh-CN" w:bidi="ar-SA"/>
                <w14:textFill>
                  <w14:solidFill>
                    <w14:schemeClr w14:val="tx1"/>
                  </w14:solidFill>
                </w14:textFill>
              </w:rPr>
              <w:t>产生量约为</w:t>
            </w:r>
            <w:r>
              <w:rPr>
                <w:rFonts w:hint="eastAsia" w:ascii="Times New Roman" w:hAnsi="Times New Roman" w:cs="Times New Roman"/>
                <w:snapToGrid w:val="0"/>
                <w:color w:val="000000" w:themeColor="text1"/>
                <w:sz w:val="24"/>
                <w:szCs w:val="24"/>
                <w:highlight w:val="none"/>
                <w:lang w:val="en-US" w:eastAsia="zh-CN" w:bidi="ar-SA"/>
                <w14:textFill>
                  <w14:solidFill>
                    <w14:schemeClr w14:val="tx1"/>
                  </w14:solidFill>
                </w14:textFill>
              </w:rPr>
              <w:t>1.35</w:t>
            </w:r>
            <w:r>
              <w:rPr>
                <w:rFonts w:hint="default" w:ascii="Times New Roman" w:hAnsi="Times New Roman" w:eastAsia="宋体" w:cs="Times New Roman"/>
                <w:snapToGrid w:val="0"/>
                <w:color w:val="000000" w:themeColor="text1"/>
                <w:sz w:val="24"/>
                <w:szCs w:val="24"/>
                <w:highlight w:val="none"/>
                <w:lang w:val="en-US" w:eastAsia="zh-CN" w:bidi="ar-SA"/>
                <w14:textFill>
                  <w14:solidFill>
                    <w14:schemeClr w14:val="tx1"/>
                  </w14:solidFill>
                </w14:textFill>
              </w:rPr>
              <w:t>t/a</w:t>
            </w:r>
            <w:r>
              <w:rPr>
                <w:rFonts w:hint="eastAsia" w:ascii="Times New Roman" w:hAnsi="Times New Roman" w:eastAsia="宋体" w:cs="Times New Roman"/>
                <w:snapToGrid w:val="0"/>
                <w:color w:val="000000" w:themeColor="text1"/>
                <w:sz w:val="24"/>
                <w:szCs w:val="24"/>
                <w:highlight w:val="none"/>
                <w:lang w:val="en-US" w:eastAsia="zh-CN" w:bidi="ar-SA"/>
                <w14:textFill>
                  <w14:solidFill>
                    <w14:schemeClr w14:val="tx1"/>
                  </w14:solidFill>
                </w14:textFill>
              </w:rPr>
              <w:t>。</w:t>
            </w:r>
          </w:p>
          <w:p w14:paraId="46F5899B">
            <w:pPr>
              <w:pStyle w:val="1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tLeast"/>
              <w:ind w:left="0" w:leftChars="0" w:right="0" w:rightChars="0" w:firstLine="482" w:firstLineChars="200"/>
              <w:jc w:val="both"/>
              <w:textAlignment w:val="auto"/>
              <w:rPr>
                <w:rFonts w:hint="default" w:ascii="Times New Roman" w:hAnsi="Times New Roman" w:cs="Times New Roman"/>
                <w:b/>
                <w:bCs/>
                <w:sz w:val="24"/>
                <w:szCs w:val="24"/>
                <w:highlight w:val="none"/>
                <w:lang w:val="en-US" w:eastAsia="zh-CN"/>
              </w:rPr>
            </w:pPr>
            <w:r>
              <w:rPr>
                <w:rFonts w:hint="eastAsia" w:ascii="Times New Roman" w:hAnsi="Times New Roman" w:cs="Times New Roman"/>
                <w:b/>
                <w:bCs/>
                <w:sz w:val="24"/>
                <w:szCs w:val="24"/>
                <w:highlight w:val="none"/>
                <w:lang w:val="en-US" w:eastAsia="zh-CN"/>
              </w:rPr>
              <w:t>DA001非甲烷总烃</w:t>
            </w:r>
          </w:p>
          <w:p w14:paraId="55124D02">
            <w:pPr>
              <w:pStyle w:val="1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tLeast"/>
              <w:ind w:left="0" w:leftChars="0" w:right="0" w:rightChars="0"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cs="Times New Roman"/>
                <w:sz w:val="24"/>
                <w:szCs w:val="24"/>
                <w:highlight w:val="none"/>
                <w:lang w:val="en-US" w:eastAsia="zh-CN"/>
              </w:rPr>
              <w:t>本项目</w:t>
            </w:r>
            <w:r>
              <w:rPr>
                <w:rFonts w:hint="eastAsia" w:ascii="Times New Roman" w:hAnsi="Times New Roman" w:cs="Times New Roman"/>
                <w:b w:val="0"/>
                <w:bCs w:val="0"/>
                <w:sz w:val="24"/>
                <w:szCs w:val="24"/>
                <w:highlight w:val="none"/>
                <w:lang w:val="en-US" w:eastAsia="zh-CN"/>
              </w:rPr>
              <w:t>注塑</w:t>
            </w:r>
            <w:r>
              <w:rPr>
                <w:rFonts w:hint="eastAsia" w:ascii="Times New Roman" w:hAnsi="Times New Roman" w:eastAsia="宋体" w:cs="Times New Roman"/>
                <w:b w:val="0"/>
                <w:bCs w:val="0"/>
                <w:color w:val="auto"/>
                <w:sz w:val="24"/>
                <w:szCs w:val="24"/>
                <w:highlight w:val="none"/>
                <w:lang w:val="en-US" w:eastAsia="zh-CN"/>
              </w:rPr>
              <w:t>产生的废气经</w:t>
            </w:r>
            <w:r>
              <w:rPr>
                <w:rFonts w:hint="default" w:ascii="Times New Roman" w:hAnsi="Times New Roman" w:eastAsia="宋体" w:cs="Times New Roman"/>
                <w:color w:val="auto"/>
                <w:sz w:val="24"/>
                <w:szCs w:val="24"/>
                <w:lang w:val="en-US" w:eastAsia="zh-CN"/>
              </w:rPr>
              <w:t>集气罩+</w:t>
            </w:r>
            <w:r>
              <w:rPr>
                <w:rFonts w:hint="eastAsia" w:ascii="Times New Roman" w:hAnsi="Times New Roman" w:cs="Times New Roman"/>
                <w:color w:val="auto"/>
                <w:sz w:val="24"/>
                <w:szCs w:val="24"/>
                <w:lang w:val="en-US" w:eastAsia="zh-CN"/>
              </w:rPr>
              <w:t>二级活性炭装置</w:t>
            </w:r>
            <w:r>
              <w:rPr>
                <w:rFonts w:hint="default" w:ascii="Times New Roman" w:hAnsi="Times New Roman" w:eastAsia="宋体" w:cs="Times New Roman"/>
                <w:color w:val="auto"/>
                <w:sz w:val="24"/>
                <w:szCs w:val="24"/>
                <w:lang w:val="en-US" w:eastAsia="zh-CN"/>
              </w:rPr>
              <w:t>+15m排气筒DA001排放</w:t>
            </w:r>
            <w:r>
              <w:rPr>
                <w:rFonts w:hint="eastAsia" w:ascii="Times New Roman" w:hAnsi="Times New Roman" w:eastAsia="宋体" w:cs="Times New Roman"/>
                <w:color w:val="auto"/>
                <w:sz w:val="24"/>
                <w:szCs w:val="24"/>
                <w:lang w:val="en-US" w:eastAsia="zh-CN"/>
              </w:rPr>
              <w:t>，由上可知非甲烷总烃产生量为</w:t>
            </w:r>
            <w:r>
              <w:rPr>
                <w:rFonts w:hint="eastAsia" w:ascii="Times New Roman" w:hAnsi="Times New Roman" w:cs="Times New Roman"/>
                <w:color w:val="auto"/>
                <w:sz w:val="24"/>
                <w:szCs w:val="24"/>
                <w:lang w:val="en-US" w:eastAsia="zh-CN"/>
              </w:rPr>
              <w:t>1.35</w:t>
            </w:r>
            <w:r>
              <w:rPr>
                <w:rFonts w:hint="eastAsia" w:ascii="Times New Roman" w:hAnsi="Times New Roman" w:eastAsia="宋体" w:cs="Times New Roman"/>
                <w:color w:val="auto"/>
                <w:sz w:val="24"/>
                <w:szCs w:val="24"/>
                <w:lang w:val="en-US" w:eastAsia="zh-CN"/>
              </w:rPr>
              <w:t>t/a</w:t>
            </w:r>
            <w:r>
              <w:rPr>
                <w:rFonts w:hint="eastAsia" w:ascii="Times New Roman" w:hAnsi="Times New Roman" w:cs="Times New Roman"/>
                <w:color w:val="auto"/>
                <w:sz w:val="24"/>
                <w:szCs w:val="24"/>
                <w:lang w:val="en-US" w:eastAsia="zh-CN"/>
              </w:rPr>
              <w:t>，产生速率为0.56kg/h，产生浓度37.5mg/m³</w:t>
            </w:r>
            <w:r>
              <w:rPr>
                <w:rFonts w:hint="eastAsia" w:ascii="Times New Roman" w:hAnsi="Times New Roman" w:eastAsia="宋体" w:cs="Times New Roman"/>
                <w:color w:val="auto"/>
                <w:sz w:val="24"/>
                <w:szCs w:val="24"/>
                <w:lang w:val="en-US" w:eastAsia="zh-CN"/>
              </w:rPr>
              <w:t>。本项目年工作时间为2400h，环保设备风量为</w:t>
            </w:r>
            <w:r>
              <w:rPr>
                <w:rFonts w:hint="eastAsia" w:ascii="Times New Roman" w:hAnsi="Times New Roman" w:cs="Times New Roman"/>
                <w:color w:val="auto"/>
                <w:sz w:val="24"/>
                <w:szCs w:val="24"/>
                <w:lang w:val="en-US" w:eastAsia="zh-CN"/>
              </w:rPr>
              <w:t>15000</w:t>
            </w:r>
            <w:r>
              <w:rPr>
                <w:rFonts w:hint="eastAsia" w:ascii="Times New Roman" w:hAnsi="Times New Roman" w:eastAsia="宋体" w:cs="Times New Roman"/>
                <w:color w:val="auto"/>
                <w:sz w:val="24"/>
                <w:szCs w:val="24"/>
                <w:lang w:val="en-US" w:eastAsia="zh-CN"/>
              </w:rPr>
              <w:t>m</w:t>
            </w:r>
            <w:r>
              <w:rPr>
                <w:rFonts w:hint="eastAsia" w:ascii="Times New Roman" w:hAnsi="Times New Roman" w:eastAsia="宋体" w:cs="Times New Roman"/>
                <w:color w:val="auto"/>
                <w:sz w:val="24"/>
                <w:szCs w:val="24"/>
                <w:vertAlign w:val="superscript"/>
                <w:lang w:val="en-US" w:eastAsia="zh-CN"/>
              </w:rPr>
              <w:t>3</w:t>
            </w:r>
            <w:r>
              <w:rPr>
                <w:rFonts w:hint="eastAsia" w:ascii="Times New Roman" w:hAnsi="Times New Roman" w:eastAsia="宋体" w:cs="Times New Roman"/>
                <w:color w:val="auto"/>
                <w:sz w:val="24"/>
                <w:szCs w:val="24"/>
                <w:lang w:val="en-US" w:eastAsia="zh-CN"/>
              </w:rPr>
              <w:t>/h，收集效率为</w:t>
            </w:r>
            <w:r>
              <w:rPr>
                <w:rFonts w:hint="eastAsia" w:ascii="Times New Roman" w:hAnsi="Times New Roman" w:cs="Times New Roman"/>
                <w:color w:val="auto"/>
                <w:sz w:val="24"/>
                <w:szCs w:val="24"/>
                <w:lang w:val="en-US" w:eastAsia="zh-CN"/>
              </w:rPr>
              <w:t>7</w:t>
            </w:r>
            <w:r>
              <w:rPr>
                <w:rFonts w:hint="eastAsia" w:ascii="Times New Roman" w:hAnsi="Times New Roman" w:eastAsia="宋体" w:cs="Times New Roman"/>
                <w:color w:val="auto"/>
                <w:sz w:val="24"/>
                <w:szCs w:val="24"/>
                <w:lang w:val="en-US" w:eastAsia="zh-CN"/>
              </w:rPr>
              <w:t>0%，</w:t>
            </w:r>
            <w:r>
              <w:rPr>
                <w:rFonts w:hint="default" w:ascii="Times New Roman" w:hAnsi="Times New Roman" w:eastAsia="宋体" w:cs="Times New Roman"/>
                <w:snapToGrid w:val="0"/>
                <w:kern w:val="0"/>
                <w:sz w:val="24"/>
                <w:szCs w:val="28"/>
                <w:lang w:val="en-US" w:eastAsia="zh-CN" w:bidi="ar-SA"/>
              </w:rPr>
              <w:t>参考“北京市《挥发性有机物排污费征收细则》”活性炭吸附对VOC去除效率30%-90%，本次取70%，二级活性炭吸附设备处理效率达到[1-(1-70%)*(1-70%)]=91%</w:t>
            </w:r>
            <w:r>
              <w:rPr>
                <w:rFonts w:hint="eastAsia" w:ascii="Times New Roman" w:hAnsi="Times New Roman" w:eastAsia="宋体" w:cs="Times New Roman"/>
                <w:color w:val="auto"/>
                <w:sz w:val="24"/>
                <w:szCs w:val="24"/>
                <w:lang w:val="en-US" w:eastAsia="zh-CN"/>
              </w:rPr>
              <w:t>。非甲烷总烃排放量为</w:t>
            </w:r>
            <w:r>
              <w:rPr>
                <w:rFonts w:hint="eastAsia" w:ascii="Times New Roman" w:hAnsi="Times New Roman" w:cs="Times New Roman"/>
                <w:color w:val="auto"/>
                <w:sz w:val="24"/>
                <w:szCs w:val="24"/>
                <w:lang w:val="en-US" w:eastAsia="zh-CN"/>
              </w:rPr>
              <w:t>0.09</w:t>
            </w:r>
            <w:r>
              <w:rPr>
                <w:rFonts w:hint="eastAsia" w:ascii="Times New Roman" w:hAnsi="Times New Roman" w:eastAsia="宋体" w:cs="Times New Roman"/>
                <w:color w:val="auto"/>
                <w:sz w:val="24"/>
                <w:szCs w:val="24"/>
                <w:lang w:val="en-US" w:eastAsia="zh-CN"/>
              </w:rPr>
              <w:t>t/a，排放速率为</w:t>
            </w:r>
            <w:r>
              <w:rPr>
                <w:rFonts w:hint="eastAsia" w:ascii="Times New Roman" w:hAnsi="Times New Roman" w:cs="Times New Roman"/>
                <w:color w:val="auto"/>
                <w:sz w:val="24"/>
                <w:szCs w:val="24"/>
                <w:lang w:val="en-US" w:eastAsia="zh-CN"/>
              </w:rPr>
              <w:t>0.04</w:t>
            </w:r>
            <w:r>
              <w:rPr>
                <w:rFonts w:hint="eastAsia" w:ascii="Times New Roman" w:hAnsi="Times New Roman" w:eastAsia="宋体" w:cs="Times New Roman"/>
                <w:color w:val="auto"/>
                <w:sz w:val="24"/>
                <w:szCs w:val="24"/>
                <w:lang w:val="en-US" w:eastAsia="zh-CN"/>
              </w:rPr>
              <w:t>kg/h，排放浓度为</w:t>
            </w:r>
            <w:r>
              <w:rPr>
                <w:rFonts w:hint="eastAsia" w:ascii="Times New Roman" w:hAnsi="Times New Roman" w:cs="Times New Roman"/>
                <w:color w:val="auto"/>
                <w:sz w:val="24"/>
                <w:szCs w:val="24"/>
                <w:lang w:val="en-US" w:eastAsia="zh-CN"/>
              </w:rPr>
              <w:t>2.5</w:t>
            </w:r>
            <w:r>
              <w:rPr>
                <w:rFonts w:hint="eastAsia" w:ascii="Times New Roman" w:hAnsi="Times New Roman" w:eastAsia="宋体" w:cs="Times New Roman"/>
                <w:color w:val="auto"/>
                <w:sz w:val="24"/>
                <w:szCs w:val="24"/>
                <w:lang w:val="en-US" w:eastAsia="zh-CN"/>
              </w:rPr>
              <w:t>mg/m</w:t>
            </w:r>
            <w:r>
              <w:rPr>
                <w:rFonts w:hint="eastAsia"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lang w:val="en-US" w:eastAsia="zh-CN"/>
              </w:rPr>
              <w:t>满足</w:t>
            </w:r>
            <w:r>
              <w:rPr>
                <w:rFonts w:hint="default" w:ascii="Times New Roman" w:hAnsi="Times New Roman" w:eastAsia="宋体" w:cs="Times New Roman"/>
                <w:color w:val="auto"/>
                <w:sz w:val="24"/>
                <w:szCs w:val="24"/>
                <w:lang w:val="en-US" w:eastAsia="zh-CN"/>
              </w:rPr>
              <w:t>《合成树脂工业污染物排放</w:t>
            </w:r>
            <w:r>
              <w:rPr>
                <w:rFonts w:hint="default" w:ascii="Times New Roman" w:hAnsi="Times New Roman" w:eastAsia="宋体" w:cs="Times New Roman"/>
                <w:sz w:val="24"/>
                <w:szCs w:val="24"/>
                <w:highlight w:val="none"/>
                <w:lang w:val="en-US" w:eastAsia="zh-CN"/>
              </w:rPr>
              <w:t>标准》（GB31572-2015）</w:t>
            </w:r>
            <w:r>
              <w:rPr>
                <w:rFonts w:hint="eastAsia" w:ascii="Times New Roman" w:hAnsi="Times New Roman" w:eastAsia="宋体" w:cs="Times New Roman"/>
                <w:sz w:val="24"/>
                <w:szCs w:val="24"/>
                <w:highlight w:val="none"/>
                <w:lang w:val="en-US" w:eastAsia="zh-CN"/>
              </w:rPr>
              <w:t>及修改单</w:t>
            </w:r>
            <w:r>
              <w:rPr>
                <w:rFonts w:hint="default" w:ascii="Times New Roman" w:hAnsi="Times New Roman" w:eastAsia="宋体" w:cs="Times New Roman"/>
                <w:sz w:val="24"/>
                <w:szCs w:val="24"/>
                <w:highlight w:val="none"/>
                <w:lang w:val="en-US" w:eastAsia="zh-CN"/>
              </w:rPr>
              <w:t>表5大气污染物特别排放限值、《工业企业挥发性有机物排放控制标准》（DB13/2322-2016）表1有机化工行业标准要求</w:t>
            </w:r>
            <w:r>
              <w:rPr>
                <w:rFonts w:hint="eastAsia" w:ascii="Times New Roman" w:hAnsi="Times New Roman" w:eastAsia="宋体" w:cs="Times New Roman"/>
                <w:sz w:val="24"/>
                <w:szCs w:val="24"/>
                <w:highlight w:val="none"/>
                <w:lang w:val="en-US" w:eastAsia="zh-CN"/>
              </w:rPr>
              <w:t>。</w:t>
            </w:r>
          </w:p>
          <w:p w14:paraId="277A7DC7">
            <w:pPr>
              <w:pStyle w:val="1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tLeast"/>
              <w:ind w:left="0" w:leftChars="0" w:right="0" w:rightChars="0" w:firstLine="480" w:firstLineChars="200"/>
              <w:jc w:val="both"/>
              <w:textAlignment w:val="auto"/>
              <w:rPr>
                <w:rFonts w:hint="eastAsia" w:ascii="Times New Roman" w:hAnsi="Times New Roman" w:cs="Times New Roman"/>
                <w:b/>
                <w:bCs/>
                <w:sz w:val="24"/>
                <w:szCs w:val="24"/>
                <w:highlight w:val="none"/>
                <w:lang w:val="en-US" w:eastAsia="zh-CN"/>
              </w:rPr>
            </w:pPr>
            <w:r>
              <w:rPr>
                <w:rFonts w:hint="default" w:ascii="Times New Roman" w:hAnsi="Times New Roman" w:eastAsia="宋体" w:cs="Times New Roman"/>
                <w:sz w:val="24"/>
                <w:szCs w:val="24"/>
                <w:highlight w:val="none"/>
                <w:lang w:val="en-US" w:eastAsia="zh-CN"/>
              </w:rPr>
              <w:t>未被收集的非甲烷总烃</w:t>
            </w:r>
            <w:r>
              <w:rPr>
                <w:rFonts w:hint="eastAsia" w:ascii="Times New Roman" w:hAnsi="Times New Roman" w:eastAsia="宋体" w:cs="Times New Roman"/>
                <w:sz w:val="24"/>
                <w:szCs w:val="24"/>
                <w:highlight w:val="none"/>
                <w:lang w:val="en-US" w:eastAsia="zh-CN"/>
              </w:rPr>
              <w:t>在车间散逸</w:t>
            </w:r>
            <w:r>
              <w:rPr>
                <w:rFonts w:hint="default" w:ascii="Times New Roman" w:hAnsi="Times New Roman" w:eastAsia="宋体" w:cs="Times New Roman"/>
                <w:sz w:val="24"/>
                <w:szCs w:val="24"/>
                <w:highlight w:val="none"/>
                <w:lang w:val="en-US" w:eastAsia="zh-CN"/>
              </w:rPr>
              <w:t>排放量为</w:t>
            </w:r>
            <w:r>
              <w:rPr>
                <w:rFonts w:hint="eastAsia" w:ascii="Times New Roman" w:hAnsi="Times New Roman" w:cs="Times New Roman"/>
                <w:sz w:val="24"/>
                <w:szCs w:val="24"/>
                <w:highlight w:val="none"/>
                <w:lang w:val="en-US" w:eastAsia="zh-CN"/>
              </w:rPr>
              <w:t>0.405</w:t>
            </w:r>
            <w:r>
              <w:rPr>
                <w:rFonts w:hint="default" w:ascii="Times New Roman" w:hAnsi="Times New Roman" w:eastAsia="宋体" w:cs="Times New Roman"/>
                <w:sz w:val="24"/>
                <w:szCs w:val="24"/>
                <w:highlight w:val="none"/>
                <w:lang w:val="en-US" w:eastAsia="zh-CN"/>
              </w:rPr>
              <w:t>/a</w:t>
            </w:r>
            <w:r>
              <w:rPr>
                <w:rFonts w:hint="eastAsia" w:ascii="Times New Roman" w:hAnsi="Times New Roman" w:eastAsia="宋体" w:cs="Times New Roman"/>
                <w:sz w:val="24"/>
                <w:szCs w:val="24"/>
                <w:highlight w:val="none"/>
                <w:lang w:val="en-US" w:eastAsia="zh-CN"/>
              </w:rPr>
              <w:t>，排放速率</w:t>
            </w:r>
            <w:r>
              <w:rPr>
                <w:rFonts w:hint="eastAsia" w:ascii="Times New Roman" w:hAnsi="Times New Roman" w:cs="Times New Roman"/>
                <w:sz w:val="24"/>
                <w:szCs w:val="24"/>
                <w:highlight w:val="none"/>
                <w:lang w:val="en-US" w:eastAsia="zh-CN"/>
              </w:rPr>
              <w:t>0.17</w:t>
            </w:r>
            <w:r>
              <w:rPr>
                <w:rFonts w:hint="default" w:ascii="Times New Roman" w:hAnsi="Times New Roman" w:eastAsia="宋体" w:cs="Times New Roman"/>
                <w:sz w:val="24"/>
                <w:szCs w:val="24"/>
                <w:highlight w:val="none"/>
                <w:lang w:val="en-US" w:eastAsia="zh-CN"/>
              </w:rPr>
              <w:t>kg/h。</w:t>
            </w:r>
            <w:r>
              <w:rPr>
                <w:rFonts w:hint="eastAsia" w:ascii="Times New Roman" w:hAnsi="Times New Roman" w:eastAsia="宋体" w:cs="Times New Roman"/>
                <w:sz w:val="24"/>
                <w:szCs w:val="24"/>
                <w:highlight w:val="none"/>
                <w:lang w:val="en-US" w:eastAsia="zh-CN"/>
              </w:rPr>
              <w:t>经预测厂界无组织排放满足</w:t>
            </w:r>
            <w:r>
              <w:rPr>
                <w:rFonts w:hint="default" w:ascii="Times New Roman" w:hAnsi="Times New Roman" w:eastAsia="宋体" w:cs="Times New Roman"/>
                <w:sz w:val="24"/>
                <w:szCs w:val="24"/>
                <w:highlight w:val="none"/>
                <w:lang w:val="en-US" w:eastAsia="zh-CN"/>
              </w:rPr>
              <w:t>《工业企业挥发性有机物排放控制标准》（DB13/2322-2016）表2其他企业标准限值</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《挥发性有机物无组织排放控制标准》（GB37822-2019）附录A.1</w:t>
            </w:r>
            <w:r>
              <w:rPr>
                <w:rFonts w:hint="eastAsia" w:ascii="Times New Roman" w:hAnsi="Times New Roman" w:eastAsia="宋体" w:cs="Times New Roman"/>
                <w:sz w:val="24"/>
                <w:szCs w:val="24"/>
                <w:highlight w:val="none"/>
                <w:lang w:val="en-US" w:eastAsia="zh-CN"/>
              </w:rPr>
              <w:t>标准限值。</w:t>
            </w:r>
          </w:p>
          <w:p w14:paraId="5BEDD3B6">
            <w:pPr>
              <w:pStyle w:val="1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tLeast"/>
              <w:ind w:left="0" w:leftChars="0" w:right="0" w:rightChars="0" w:firstLine="482" w:firstLineChars="200"/>
              <w:jc w:val="left"/>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cs="Times New Roman"/>
                <w:b/>
                <w:bCs/>
                <w:sz w:val="24"/>
                <w:szCs w:val="24"/>
                <w:highlight w:val="none"/>
                <w:lang w:val="en-US" w:eastAsia="zh-CN"/>
              </w:rPr>
              <w:t>注塑</w:t>
            </w:r>
            <w:r>
              <w:rPr>
                <w:rFonts w:hint="eastAsia" w:ascii="Times New Roman" w:hAnsi="Times New Roman" w:eastAsia="宋体" w:cs="Times New Roman"/>
                <w:b/>
                <w:bCs/>
                <w:sz w:val="24"/>
                <w:szCs w:val="24"/>
                <w:highlight w:val="none"/>
                <w:lang w:val="en-US" w:eastAsia="zh-CN"/>
              </w:rPr>
              <w:t>废气臭气浓度</w:t>
            </w:r>
          </w:p>
          <w:p w14:paraId="1AB4D752">
            <w:pPr>
              <w:pStyle w:val="30"/>
              <w:keepNext w:val="0"/>
              <w:keepLines w:val="0"/>
              <w:pageBreakBefore w:val="0"/>
              <w:widowControl w:val="0"/>
              <w:suppressLineNumbers w:val="0"/>
              <w:kinsoku/>
              <w:wordWrap/>
              <w:overflowPunct/>
              <w:topLinePunct w:val="0"/>
              <w:bidi w:val="0"/>
              <w:snapToGrid/>
              <w:spacing w:before="0" w:beforeAutospacing="0" w:after="0" w:afterAutospacing="0" w:line="480" w:lineRule="exact"/>
              <w:ind w:left="0" w:leftChars="0" w:right="0" w:firstLine="480" w:firstLineChars="200"/>
              <w:jc w:val="both"/>
              <w:textAlignment w:val="auto"/>
              <w:rPr>
                <w:rFonts w:hint="eastAsia" w:ascii="Times New Roman"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在注塑工序中除了有机废气外，相应的会伴有明显的异味以臭气浓度计，参考论文《臭气强度与臭气浓度的定量关系研究》(耿秋，韩萌，王亘翟增秀,鲁富蕾臭气强度与臭气浓度间的定量关系,城市环境与城市生态，2010,27[4]: 27-30)，臭气强度可采用日本的6级强度测试法，将人对气体嗅觉感觉划分为 0-5 级，并根据论文中的样品检测统计结果，列明臭气强度与臭气浓度区间关系。臭气强度与臭气浓度区间关系详见下表</w:t>
            </w:r>
            <w:r>
              <w:rPr>
                <w:rFonts w:hint="eastAsia" w:ascii="Times New Roman" w:cs="Times New Roman"/>
                <w:sz w:val="24"/>
                <w:szCs w:val="24"/>
                <w:highlight w:val="none"/>
                <w:lang w:val="en-US" w:eastAsia="zh-CN"/>
              </w:rPr>
              <w:t>：</w:t>
            </w:r>
          </w:p>
          <w:p w14:paraId="2898464F">
            <w:pPr>
              <w:pStyle w:val="30"/>
              <w:keepNext w:val="0"/>
              <w:keepLines w:val="0"/>
              <w:pageBreakBefore w:val="0"/>
              <w:widowControl w:val="0"/>
              <w:suppressLineNumbers w:val="0"/>
              <w:kinsoku/>
              <w:wordWrap/>
              <w:overflowPunct/>
              <w:topLinePunct w:val="0"/>
              <w:bidi w:val="0"/>
              <w:snapToGrid/>
              <w:spacing w:before="0" w:beforeAutospacing="0" w:after="0" w:afterAutospacing="0" w:line="480" w:lineRule="exact"/>
              <w:ind w:left="0" w:leftChars="0" w:right="0" w:firstLine="482" w:firstLineChars="200"/>
              <w:jc w:val="center"/>
              <w:textAlignment w:val="auto"/>
              <w:rPr>
                <w:rFonts w:hint="default" w:ascii="Times New Roman" w:hAnsi="Times New Roman" w:eastAsia="宋体" w:cs="Times New Roman"/>
                <w:b/>
                <w:snapToGrid w:val="0"/>
                <w:color w:val="auto"/>
                <w:sz w:val="24"/>
                <w:szCs w:val="24"/>
                <w:lang w:val="en-US" w:eastAsia="zh-CN" w:bidi="ar-SA"/>
              </w:rPr>
            </w:pPr>
            <w:r>
              <w:rPr>
                <w:rFonts w:hint="eastAsia" w:ascii="Times New Roman" w:hAnsi="Times New Roman" w:eastAsia="宋体" w:cs="Times New Roman"/>
                <w:b/>
                <w:snapToGrid w:val="0"/>
                <w:color w:val="auto"/>
                <w:sz w:val="24"/>
                <w:szCs w:val="24"/>
                <w:lang w:val="en-US" w:eastAsia="zh-CN" w:bidi="ar-SA"/>
              </w:rPr>
              <w:t>表1</w:t>
            </w:r>
            <w:r>
              <w:rPr>
                <w:rFonts w:hint="eastAsia" w:ascii="Times New Roman" w:cs="Times New Roman"/>
                <w:b/>
                <w:snapToGrid w:val="0"/>
                <w:color w:val="auto"/>
                <w:sz w:val="24"/>
                <w:szCs w:val="24"/>
                <w:lang w:val="en-US" w:eastAsia="zh-CN" w:bidi="ar-SA"/>
              </w:rPr>
              <w:t>9</w:t>
            </w:r>
            <w:r>
              <w:rPr>
                <w:rFonts w:hint="eastAsia" w:ascii="Times New Roman" w:hAnsi="Times New Roman" w:eastAsia="宋体" w:cs="Times New Roman"/>
                <w:b/>
                <w:snapToGrid w:val="0"/>
                <w:color w:val="auto"/>
                <w:sz w:val="24"/>
                <w:szCs w:val="24"/>
                <w:lang w:val="en-US" w:eastAsia="zh-CN" w:bidi="ar-SA"/>
              </w:rPr>
              <w:t xml:space="preserve"> 臭气强度6级表示法</w:t>
            </w:r>
          </w:p>
          <w:tbl>
            <w:tblPr>
              <w:tblStyle w:val="35"/>
              <w:tblW w:w="83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7"/>
              <w:gridCol w:w="5085"/>
              <w:gridCol w:w="2094"/>
            </w:tblGrid>
            <w:tr w14:paraId="5A5A2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197" w:type="dxa"/>
                  <w:vAlign w:val="center"/>
                </w:tcPr>
                <w:p w14:paraId="55D13B79">
                  <w:pPr>
                    <w:pStyle w:val="30"/>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right="0"/>
                    <w:jc w:val="center"/>
                    <w:textAlignment w:val="auto"/>
                    <w:rPr>
                      <w:rFonts w:hint="default" w:ascii="Times New Roman" w:hAnsi="Times New Roman" w:eastAsia="宋体" w:cs="Times New Roman"/>
                      <w:b/>
                      <w:bCs/>
                      <w:sz w:val="24"/>
                      <w:szCs w:val="24"/>
                      <w:highlight w:val="none"/>
                      <w:vertAlign w:val="baseline"/>
                      <w:lang w:val="en-US" w:eastAsia="zh-CN"/>
                    </w:rPr>
                  </w:pPr>
                  <w:r>
                    <w:rPr>
                      <w:rFonts w:hint="default" w:ascii="Times New Roman" w:hAnsi="Times New Roman" w:eastAsia="宋体" w:cs="Times New Roman"/>
                      <w:b/>
                      <w:bCs/>
                      <w:sz w:val="24"/>
                      <w:szCs w:val="24"/>
                      <w:highlight w:val="none"/>
                      <w:vertAlign w:val="baseline"/>
                      <w:lang w:val="en-US" w:eastAsia="zh-CN"/>
                    </w:rPr>
                    <w:t>级别</w:t>
                  </w:r>
                </w:p>
              </w:tc>
              <w:tc>
                <w:tcPr>
                  <w:tcW w:w="5085" w:type="dxa"/>
                  <w:vAlign w:val="center"/>
                </w:tcPr>
                <w:p w14:paraId="4ACCE11D">
                  <w:pPr>
                    <w:pStyle w:val="30"/>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right="0"/>
                    <w:jc w:val="center"/>
                    <w:textAlignment w:val="auto"/>
                    <w:rPr>
                      <w:rFonts w:hint="default" w:ascii="Times New Roman" w:hAnsi="Times New Roman" w:eastAsia="宋体" w:cs="Times New Roman"/>
                      <w:b/>
                      <w:bCs/>
                      <w:sz w:val="24"/>
                      <w:szCs w:val="24"/>
                      <w:highlight w:val="none"/>
                      <w:vertAlign w:val="baseline"/>
                      <w:lang w:val="en-US" w:eastAsia="zh-CN"/>
                    </w:rPr>
                  </w:pPr>
                  <w:r>
                    <w:rPr>
                      <w:rFonts w:hint="default" w:ascii="Times New Roman" w:hAnsi="Times New Roman" w:eastAsia="宋体" w:cs="Times New Roman"/>
                      <w:b/>
                      <w:bCs/>
                      <w:sz w:val="24"/>
                      <w:szCs w:val="24"/>
                      <w:highlight w:val="none"/>
                      <w:vertAlign w:val="baseline"/>
                      <w:lang w:val="en-US" w:eastAsia="zh-CN"/>
                    </w:rPr>
                    <w:t>嗅觉感觉</w:t>
                  </w:r>
                </w:p>
              </w:tc>
              <w:tc>
                <w:tcPr>
                  <w:tcW w:w="2094" w:type="dxa"/>
                  <w:vAlign w:val="center"/>
                </w:tcPr>
                <w:p w14:paraId="00895AFA">
                  <w:pPr>
                    <w:pStyle w:val="30"/>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right="0"/>
                    <w:jc w:val="center"/>
                    <w:textAlignment w:val="auto"/>
                    <w:rPr>
                      <w:rFonts w:hint="default" w:ascii="Times New Roman" w:hAnsi="Times New Roman" w:eastAsia="宋体" w:cs="Times New Roman"/>
                      <w:b/>
                      <w:bCs/>
                      <w:sz w:val="24"/>
                      <w:szCs w:val="24"/>
                      <w:highlight w:val="none"/>
                      <w:vertAlign w:val="baseline"/>
                      <w:lang w:val="en-US" w:eastAsia="zh-CN"/>
                    </w:rPr>
                  </w:pPr>
                  <w:r>
                    <w:rPr>
                      <w:rFonts w:hint="default" w:ascii="Times New Roman" w:hAnsi="Times New Roman" w:eastAsia="宋体" w:cs="Times New Roman"/>
                      <w:b/>
                      <w:bCs/>
                      <w:sz w:val="24"/>
                      <w:szCs w:val="24"/>
                      <w:highlight w:val="none"/>
                      <w:vertAlign w:val="baseline"/>
                      <w:lang w:val="en-US" w:eastAsia="zh-CN"/>
                    </w:rPr>
                    <w:t>臭气浓度(无量纲)</w:t>
                  </w:r>
                </w:p>
              </w:tc>
            </w:tr>
            <w:tr w14:paraId="20B45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7" w:type="dxa"/>
                  <w:vAlign w:val="center"/>
                </w:tcPr>
                <w:p w14:paraId="6C534960">
                  <w:pPr>
                    <w:pStyle w:val="30"/>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right="0"/>
                    <w:jc w:val="center"/>
                    <w:textAlignment w:val="auto"/>
                    <w:rPr>
                      <w:rFonts w:hint="default" w:ascii="Times New Roman" w:hAnsi="Times New Roman" w:eastAsia="宋体" w:cs="Times New Roman"/>
                      <w:sz w:val="24"/>
                      <w:szCs w:val="24"/>
                      <w:highlight w:val="none"/>
                      <w:vertAlign w:val="baseline"/>
                      <w:lang w:val="en-US" w:eastAsia="zh-CN"/>
                    </w:rPr>
                  </w:pPr>
                  <w:r>
                    <w:rPr>
                      <w:rFonts w:hint="default" w:ascii="Times New Roman" w:hAnsi="Times New Roman" w:eastAsia="宋体" w:cs="Times New Roman"/>
                      <w:sz w:val="24"/>
                      <w:szCs w:val="24"/>
                      <w:highlight w:val="none"/>
                      <w:vertAlign w:val="baseline"/>
                      <w:lang w:val="en-US" w:eastAsia="zh-CN"/>
                    </w:rPr>
                    <w:t>0</w:t>
                  </w:r>
                </w:p>
              </w:tc>
              <w:tc>
                <w:tcPr>
                  <w:tcW w:w="5085" w:type="dxa"/>
                  <w:vAlign w:val="center"/>
                </w:tcPr>
                <w:p w14:paraId="523D8B6A">
                  <w:pPr>
                    <w:pStyle w:val="30"/>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right="0"/>
                    <w:jc w:val="center"/>
                    <w:textAlignment w:val="auto"/>
                    <w:rPr>
                      <w:rFonts w:hint="default" w:ascii="Times New Roman" w:hAnsi="Times New Roman" w:eastAsia="宋体" w:cs="Times New Roman"/>
                      <w:sz w:val="24"/>
                      <w:szCs w:val="24"/>
                      <w:highlight w:val="none"/>
                      <w:vertAlign w:val="baseline"/>
                      <w:lang w:val="en-US" w:eastAsia="zh-CN"/>
                    </w:rPr>
                  </w:pPr>
                  <w:r>
                    <w:rPr>
                      <w:rFonts w:hint="default" w:ascii="Times New Roman" w:hAnsi="Times New Roman" w:eastAsia="宋体" w:cs="Times New Roman"/>
                      <w:sz w:val="24"/>
                      <w:szCs w:val="24"/>
                      <w:highlight w:val="none"/>
                      <w:vertAlign w:val="baseline"/>
                      <w:lang w:val="en-US" w:eastAsia="zh-CN"/>
                    </w:rPr>
                    <w:t>无臭</w:t>
                  </w:r>
                </w:p>
              </w:tc>
              <w:tc>
                <w:tcPr>
                  <w:tcW w:w="2094" w:type="dxa"/>
                  <w:vAlign w:val="center"/>
                </w:tcPr>
                <w:p w14:paraId="4078D858">
                  <w:pPr>
                    <w:pStyle w:val="30"/>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right="0"/>
                    <w:jc w:val="center"/>
                    <w:textAlignment w:val="auto"/>
                    <w:rPr>
                      <w:rFonts w:hint="default" w:ascii="Times New Roman" w:hAnsi="Times New Roman" w:eastAsia="宋体" w:cs="Times New Roman"/>
                      <w:sz w:val="24"/>
                      <w:szCs w:val="24"/>
                      <w:highlight w:val="none"/>
                      <w:vertAlign w:val="baseline"/>
                      <w:lang w:val="en-US" w:eastAsia="zh-CN"/>
                    </w:rPr>
                  </w:pPr>
                  <w:r>
                    <w:rPr>
                      <w:rFonts w:hint="default" w:ascii="Times New Roman" w:hAnsi="Times New Roman" w:eastAsia="宋体" w:cs="Times New Roman"/>
                      <w:sz w:val="24"/>
                      <w:szCs w:val="24"/>
                      <w:highlight w:val="none"/>
                      <w:vertAlign w:val="baseline"/>
                      <w:lang w:val="en-US" w:eastAsia="zh-CN"/>
                    </w:rPr>
                    <w:t>&lt;10</w:t>
                  </w:r>
                </w:p>
              </w:tc>
            </w:tr>
            <w:tr w14:paraId="2F411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7" w:type="dxa"/>
                  <w:vAlign w:val="center"/>
                </w:tcPr>
                <w:p w14:paraId="0A256345">
                  <w:pPr>
                    <w:pStyle w:val="30"/>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right="0"/>
                    <w:jc w:val="center"/>
                    <w:textAlignment w:val="auto"/>
                    <w:rPr>
                      <w:rFonts w:hint="default" w:ascii="Times New Roman" w:hAnsi="Times New Roman" w:eastAsia="宋体" w:cs="Times New Roman"/>
                      <w:sz w:val="24"/>
                      <w:szCs w:val="24"/>
                      <w:highlight w:val="none"/>
                      <w:vertAlign w:val="baseline"/>
                      <w:lang w:val="en-US" w:eastAsia="zh-CN"/>
                    </w:rPr>
                  </w:pPr>
                  <w:r>
                    <w:rPr>
                      <w:rFonts w:hint="default" w:ascii="Times New Roman" w:hAnsi="Times New Roman" w:eastAsia="宋体" w:cs="Times New Roman"/>
                      <w:sz w:val="24"/>
                      <w:szCs w:val="24"/>
                      <w:highlight w:val="none"/>
                      <w:vertAlign w:val="baseline"/>
                      <w:lang w:val="en-US" w:eastAsia="zh-CN"/>
                    </w:rPr>
                    <w:t>1</w:t>
                  </w:r>
                </w:p>
              </w:tc>
              <w:tc>
                <w:tcPr>
                  <w:tcW w:w="5085" w:type="dxa"/>
                  <w:vAlign w:val="center"/>
                </w:tcPr>
                <w:p w14:paraId="1C1B9527">
                  <w:pPr>
                    <w:pStyle w:val="30"/>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right="0"/>
                    <w:jc w:val="center"/>
                    <w:textAlignment w:val="auto"/>
                    <w:rPr>
                      <w:rFonts w:hint="default" w:ascii="Times New Roman" w:hAnsi="Times New Roman" w:eastAsia="宋体" w:cs="Times New Roman"/>
                      <w:sz w:val="24"/>
                      <w:szCs w:val="24"/>
                      <w:highlight w:val="none"/>
                      <w:vertAlign w:val="baseline"/>
                      <w:lang w:val="en-US" w:eastAsia="zh-CN"/>
                    </w:rPr>
                  </w:pPr>
                  <w:r>
                    <w:rPr>
                      <w:rFonts w:hint="default" w:ascii="Times New Roman" w:hAnsi="Times New Roman" w:eastAsia="宋体" w:cs="Times New Roman"/>
                      <w:sz w:val="24"/>
                      <w:szCs w:val="24"/>
                      <w:highlight w:val="none"/>
                      <w:vertAlign w:val="baseline"/>
                      <w:lang w:val="en-US" w:eastAsia="zh-CN"/>
                    </w:rPr>
                    <w:t>能稍微感觉出极微弱的臭味，对应</w:t>
                  </w:r>
                  <w:r>
                    <w:rPr>
                      <w:rFonts w:hint="eastAsia" w:ascii="Times New Roman" w:hAnsi="Times New Roman" w:eastAsia="宋体" w:cs="Times New Roman"/>
                      <w:sz w:val="24"/>
                      <w:szCs w:val="24"/>
                      <w:highlight w:val="none"/>
                      <w:vertAlign w:val="baseline"/>
                      <w:lang w:val="en-US" w:eastAsia="zh-CN"/>
                    </w:rPr>
                    <w:t>检测</w:t>
                  </w:r>
                  <w:r>
                    <w:rPr>
                      <w:rFonts w:hint="default" w:ascii="Times New Roman" w:hAnsi="Times New Roman" w:eastAsia="宋体" w:cs="Times New Roman"/>
                      <w:sz w:val="24"/>
                      <w:szCs w:val="24"/>
                      <w:highlight w:val="none"/>
                      <w:vertAlign w:val="baseline"/>
                      <w:lang w:val="en-US" w:eastAsia="zh-CN"/>
                    </w:rPr>
                    <w:t>阈值的浓度范围</w:t>
                  </w:r>
                </w:p>
              </w:tc>
              <w:tc>
                <w:tcPr>
                  <w:tcW w:w="2094" w:type="dxa"/>
                  <w:vAlign w:val="center"/>
                </w:tcPr>
                <w:p w14:paraId="0C34CF49">
                  <w:pPr>
                    <w:pStyle w:val="30"/>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right="0"/>
                    <w:jc w:val="center"/>
                    <w:textAlignment w:val="auto"/>
                    <w:rPr>
                      <w:rFonts w:hint="default" w:ascii="Times New Roman" w:hAnsi="Times New Roman" w:eastAsia="宋体" w:cs="Times New Roman"/>
                      <w:sz w:val="24"/>
                      <w:szCs w:val="24"/>
                      <w:highlight w:val="none"/>
                      <w:vertAlign w:val="baseline"/>
                      <w:lang w:val="en-US" w:eastAsia="zh-CN"/>
                    </w:rPr>
                  </w:pPr>
                  <w:r>
                    <w:rPr>
                      <w:rFonts w:hint="default" w:ascii="Times New Roman" w:hAnsi="Times New Roman" w:eastAsia="宋体" w:cs="Times New Roman"/>
                      <w:sz w:val="24"/>
                      <w:szCs w:val="24"/>
                      <w:highlight w:val="none"/>
                      <w:vertAlign w:val="baseline"/>
                      <w:lang w:val="en-US" w:eastAsia="zh-CN"/>
                    </w:rPr>
                    <w:t>&lt;49</w:t>
                  </w:r>
                </w:p>
              </w:tc>
            </w:tr>
            <w:tr w14:paraId="727D72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7" w:type="dxa"/>
                  <w:vAlign w:val="center"/>
                </w:tcPr>
                <w:p w14:paraId="71D8D0B2">
                  <w:pPr>
                    <w:pStyle w:val="30"/>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right="0"/>
                    <w:jc w:val="center"/>
                    <w:textAlignment w:val="auto"/>
                    <w:rPr>
                      <w:rFonts w:hint="default" w:ascii="Times New Roman" w:hAnsi="Times New Roman" w:eastAsia="宋体" w:cs="Times New Roman"/>
                      <w:sz w:val="24"/>
                      <w:szCs w:val="24"/>
                      <w:highlight w:val="none"/>
                      <w:vertAlign w:val="baseline"/>
                      <w:lang w:val="en-US" w:eastAsia="zh-CN"/>
                    </w:rPr>
                  </w:pPr>
                  <w:r>
                    <w:rPr>
                      <w:rFonts w:hint="default" w:ascii="Times New Roman" w:hAnsi="Times New Roman" w:eastAsia="宋体" w:cs="Times New Roman"/>
                      <w:sz w:val="24"/>
                      <w:szCs w:val="24"/>
                      <w:highlight w:val="none"/>
                      <w:vertAlign w:val="baseline"/>
                      <w:lang w:val="en-US" w:eastAsia="zh-CN"/>
                    </w:rPr>
                    <w:t>2</w:t>
                  </w:r>
                </w:p>
              </w:tc>
              <w:tc>
                <w:tcPr>
                  <w:tcW w:w="5085" w:type="dxa"/>
                  <w:vAlign w:val="center"/>
                </w:tcPr>
                <w:p w14:paraId="2FA828A3">
                  <w:pPr>
                    <w:pStyle w:val="30"/>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right="0"/>
                    <w:jc w:val="center"/>
                    <w:textAlignment w:val="auto"/>
                    <w:rPr>
                      <w:rFonts w:hint="default" w:ascii="Times New Roman" w:hAnsi="Times New Roman" w:eastAsia="宋体" w:cs="Times New Roman"/>
                      <w:sz w:val="24"/>
                      <w:szCs w:val="24"/>
                      <w:highlight w:val="none"/>
                      <w:vertAlign w:val="baseline"/>
                      <w:lang w:val="en-US" w:eastAsia="zh-CN"/>
                    </w:rPr>
                  </w:pPr>
                  <w:r>
                    <w:rPr>
                      <w:rFonts w:hint="default" w:ascii="Times New Roman" w:hAnsi="Times New Roman" w:eastAsia="宋体" w:cs="Times New Roman"/>
                      <w:sz w:val="24"/>
                      <w:szCs w:val="24"/>
                      <w:highlight w:val="none"/>
                      <w:vertAlign w:val="baseline"/>
                      <w:lang w:val="en-US" w:eastAsia="zh-CN"/>
                    </w:rPr>
                    <w:t>能勉强辨别出臭味的品质，对应确认阈值的浓度范围</w:t>
                  </w:r>
                </w:p>
              </w:tc>
              <w:tc>
                <w:tcPr>
                  <w:tcW w:w="2094" w:type="dxa"/>
                  <w:vAlign w:val="center"/>
                </w:tcPr>
                <w:p w14:paraId="605958AD">
                  <w:pPr>
                    <w:pStyle w:val="30"/>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right="0"/>
                    <w:jc w:val="center"/>
                    <w:textAlignment w:val="auto"/>
                    <w:rPr>
                      <w:rFonts w:hint="default" w:ascii="Times New Roman" w:hAnsi="Times New Roman" w:eastAsia="宋体" w:cs="Times New Roman"/>
                      <w:sz w:val="24"/>
                      <w:szCs w:val="24"/>
                      <w:highlight w:val="none"/>
                      <w:vertAlign w:val="baseline"/>
                      <w:lang w:val="en-US" w:eastAsia="zh-CN"/>
                    </w:rPr>
                  </w:pPr>
                  <w:r>
                    <w:rPr>
                      <w:rFonts w:hint="default" w:ascii="Times New Roman" w:hAnsi="Times New Roman" w:eastAsia="宋体" w:cs="Times New Roman"/>
                      <w:sz w:val="24"/>
                      <w:szCs w:val="24"/>
                      <w:highlight w:val="none"/>
                      <w:vertAlign w:val="baseline"/>
                      <w:lang w:val="en-US" w:eastAsia="zh-CN"/>
                    </w:rPr>
                    <w:t>49-234</w:t>
                  </w:r>
                </w:p>
              </w:tc>
            </w:tr>
            <w:tr w14:paraId="12213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7" w:type="dxa"/>
                  <w:vAlign w:val="center"/>
                </w:tcPr>
                <w:p w14:paraId="0F169144">
                  <w:pPr>
                    <w:pStyle w:val="30"/>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right="0"/>
                    <w:jc w:val="center"/>
                    <w:textAlignment w:val="auto"/>
                    <w:rPr>
                      <w:rFonts w:hint="default" w:ascii="Times New Roman" w:hAnsi="Times New Roman" w:eastAsia="宋体" w:cs="Times New Roman"/>
                      <w:sz w:val="24"/>
                      <w:szCs w:val="24"/>
                      <w:highlight w:val="none"/>
                      <w:vertAlign w:val="baseline"/>
                      <w:lang w:val="en-US" w:eastAsia="zh-CN"/>
                    </w:rPr>
                  </w:pPr>
                  <w:r>
                    <w:rPr>
                      <w:rFonts w:hint="default" w:ascii="Times New Roman" w:hAnsi="Times New Roman" w:eastAsia="宋体" w:cs="Times New Roman"/>
                      <w:sz w:val="24"/>
                      <w:szCs w:val="24"/>
                      <w:highlight w:val="none"/>
                      <w:vertAlign w:val="baseline"/>
                      <w:lang w:val="en-US" w:eastAsia="zh-CN"/>
                    </w:rPr>
                    <w:t>3</w:t>
                  </w:r>
                </w:p>
              </w:tc>
              <w:tc>
                <w:tcPr>
                  <w:tcW w:w="5085" w:type="dxa"/>
                  <w:vAlign w:val="center"/>
                </w:tcPr>
                <w:p w14:paraId="41FC16B0">
                  <w:pPr>
                    <w:pStyle w:val="30"/>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right="0"/>
                    <w:jc w:val="center"/>
                    <w:textAlignment w:val="auto"/>
                    <w:rPr>
                      <w:rFonts w:hint="default" w:ascii="Times New Roman" w:hAnsi="Times New Roman" w:eastAsia="宋体" w:cs="Times New Roman"/>
                      <w:sz w:val="24"/>
                      <w:szCs w:val="24"/>
                      <w:highlight w:val="none"/>
                      <w:vertAlign w:val="baseline"/>
                      <w:lang w:val="en-US" w:eastAsia="zh-CN"/>
                    </w:rPr>
                  </w:pPr>
                  <w:r>
                    <w:rPr>
                      <w:rFonts w:hint="default" w:ascii="Times New Roman" w:hAnsi="Times New Roman" w:eastAsia="宋体" w:cs="Times New Roman"/>
                      <w:sz w:val="24"/>
                      <w:szCs w:val="24"/>
                      <w:highlight w:val="none"/>
                      <w:vertAlign w:val="baseline"/>
                      <w:lang w:val="en-US" w:eastAsia="zh-CN"/>
                    </w:rPr>
                    <w:t>可明显感觉到有臭味</w:t>
                  </w:r>
                </w:p>
              </w:tc>
              <w:tc>
                <w:tcPr>
                  <w:tcW w:w="2094" w:type="dxa"/>
                  <w:vAlign w:val="center"/>
                </w:tcPr>
                <w:p w14:paraId="457A6A02">
                  <w:pPr>
                    <w:pStyle w:val="30"/>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right="0"/>
                    <w:jc w:val="center"/>
                    <w:textAlignment w:val="auto"/>
                    <w:rPr>
                      <w:rFonts w:hint="default" w:ascii="Times New Roman" w:hAnsi="Times New Roman" w:eastAsia="宋体" w:cs="Times New Roman"/>
                      <w:sz w:val="24"/>
                      <w:szCs w:val="24"/>
                      <w:highlight w:val="none"/>
                      <w:vertAlign w:val="baseline"/>
                      <w:lang w:val="en-US" w:eastAsia="zh-CN"/>
                    </w:rPr>
                  </w:pPr>
                  <w:r>
                    <w:rPr>
                      <w:rFonts w:hint="default" w:ascii="Times New Roman" w:hAnsi="Times New Roman" w:eastAsia="宋体" w:cs="Times New Roman"/>
                      <w:sz w:val="24"/>
                      <w:szCs w:val="24"/>
                      <w:highlight w:val="none"/>
                      <w:vertAlign w:val="baseline"/>
                      <w:lang w:val="en-US" w:eastAsia="zh-CN"/>
                    </w:rPr>
                    <w:t>234-1318</w:t>
                  </w:r>
                </w:p>
              </w:tc>
            </w:tr>
            <w:tr w14:paraId="3C956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7" w:type="dxa"/>
                  <w:vAlign w:val="center"/>
                </w:tcPr>
                <w:p w14:paraId="677BD59C">
                  <w:pPr>
                    <w:pStyle w:val="30"/>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right="0"/>
                    <w:jc w:val="center"/>
                    <w:textAlignment w:val="auto"/>
                    <w:rPr>
                      <w:rFonts w:hint="default" w:ascii="Times New Roman" w:hAnsi="Times New Roman" w:eastAsia="宋体" w:cs="Times New Roman"/>
                      <w:sz w:val="24"/>
                      <w:szCs w:val="24"/>
                      <w:highlight w:val="none"/>
                      <w:vertAlign w:val="baseline"/>
                      <w:lang w:val="en-US" w:eastAsia="zh-CN"/>
                    </w:rPr>
                  </w:pPr>
                  <w:r>
                    <w:rPr>
                      <w:rFonts w:hint="default" w:ascii="Times New Roman" w:hAnsi="Times New Roman" w:eastAsia="宋体" w:cs="Times New Roman"/>
                      <w:sz w:val="24"/>
                      <w:szCs w:val="24"/>
                      <w:highlight w:val="none"/>
                      <w:vertAlign w:val="baseline"/>
                      <w:lang w:val="en-US" w:eastAsia="zh-CN"/>
                    </w:rPr>
                    <w:t>4</w:t>
                  </w:r>
                </w:p>
              </w:tc>
              <w:tc>
                <w:tcPr>
                  <w:tcW w:w="5085" w:type="dxa"/>
                  <w:vAlign w:val="center"/>
                </w:tcPr>
                <w:p w14:paraId="1BE666C3">
                  <w:pPr>
                    <w:pStyle w:val="30"/>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right="0"/>
                    <w:jc w:val="center"/>
                    <w:textAlignment w:val="auto"/>
                    <w:rPr>
                      <w:rFonts w:hint="default" w:ascii="Times New Roman" w:hAnsi="Times New Roman" w:eastAsia="宋体" w:cs="Times New Roman"/>
                      <w:sz w:val="24"/>
                      <w:szCs w:val="24"/>
                      <w:highlight w:val="none"/>
                      <w:vertAlign w:val="baseline"/>
                      <w:lang w:val="en-US" w:eastAsia="zh-CN"/>
                    </w:rPr>
                  </w:pPr>
                  <w:r>
                    <w:rPr>
                      <w:rFonts w:hint="default" w:ascii="Times New Roman" w:hAnsi="Times New Roman" w:eastAsia="宋体" w:cs="Times New Roman"/>
                      <w:sz w:val="24"/>
                      <w:szCs w:val="24"/>
                      <w:highlight w:val="none"/>
                      <w:vertAlign w:val="baseline"/>
                      <w:lang w:val="en-US" w:eastAsia="zh-CN"/>
                    </w:rPr>
                    <w:t>强烈臭味</w:t>
                  </w:r>
                </w:p>
              </w:tc>
              <w:tc>
                <w:tcPr>
                  <w:tcW w:w="2094" w:type="dxa"/>
                  <w:vAlign w:val="center"/>
                </w:tcPr>
                <w:p w14:paraId="411FE730">
                  <w:pPr>
                    <w:pStyle w:val="30"/>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right="0"/>
                    <w:jc w:val="center"/>
                    <w:textAlignment w:val="auto"/>
                    <w:rPr>
                      <w:rFonts w:hint="default" w:ascii="Times New Roman" w:hAnsi="Times New Roman" w:eastAsia="宋体" w:cs="Times New Roman"/>
                      <w:sz w:val="24"/>
                      <w:szCs w:val="24"/>
                      <w:highlight w:val="none"/>
                      <w:vertAlign w:val="baseline"/>
                      <w:lang w:val="en-US" w:eastAsia="zh-CN"/>
                    </w:rPr>
                  </w:pPr>
                  <w:r>
                    <w:rPr>
                      <w:rFonts w:hint="default" w:ascii="Times New Roman" w:hAnsi="Times New Roman" w:eastAsia="宋体" w:cs="Times New Roman"/>
                      <w:sz w:val="24"/>
                      <w:szCs w:val="24"/>
                      <w:highlight w:val="none"/>
                      <w:vertAlign w:val="baseline"/>
                      <w:lang w:val="en-US" w:eastAsia="zh-CN"/>
                    </w:rPr>
                    <w:t>1318-7413</w:t>
                  </w:r>
                </w:p>
              </w:tc>
            </w:tr>
            <w:tr w14:paraId="53E3A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7" w:type="dxa"/>
                  <w:vAlign w:val="center"/>
                </w:tcPr>
                <w:p w14:paraId="41FB5D40">
                  <w:pPr>
                    <w:pStyle w:val="30"/>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right="0"/>
                    <w:jc w:val="center"/>
                    <w:textAlignment w:val="auto"/>
                    <w:rPr>
                      <w:rFonts w:hint="default" w:ascii="Times New Roman" w:hAnsi="Times New Roman" w:eastAsia="宋体" w:cs="Times New Roman"/>
                      <w:sz w:val="24"/>
                      <w:szCs w:val="24"/>
                      <w:highlight w:val="none"/>
                      <w:vertAlign w:val="baseline"/>
                      <w:lang w:val="en-US" w:eastAsia="zh-CN"/>
                    </w:rPr>
                  </w:pPr>
                  <w:r>
                    <w:rPr>
                      <w:rFonts w:hint="default" w:ascii="Times New Roman" w:hAnsi="Times New Roman" w:eastAsia="宋体" w:cs="Times New Roman"/>
                      <w:sz w:val="24"/>
                      <w:szCs w:val="24"/>
                      <w:highlight w:val="none"/>
                      <w:vertAlign w:val="baseline"/>
                      <w:lang w:val="en-US" w:eastAsia="zh-CN"/>
                    </w:rPr>
                    <w:t>5</w:t>
                  </w:r>
                </w:p>
              </w:tc>
              <w:tc>
                <w:tcPr>
                  <w:tcW w:w="5085" w:type="dxa"/>
                  <w:vAlign w:val="center"/>
                </w:tcPr>
                <w:p w14:paraId="0B837C84">
                  <w:pPr>
                    <w:pStyle w:val="30"/>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right="0"/>
                    <w:jc w:val="center"/>
                    <w:textAlignment w:val="auto"/>
                    <w:rPr>
                      <w:rFonts w:hint="default" w:ascii="Times New Roman" w:hAnsi="Times New Roman" w:eastAsia="宋体" w:cs="Times New Roman"/>
                      <w:sz w:val="24"/>
                      <w:szCs w:val="24"/>
                      <w:highlight w:val="none"/>
                      <w:vertAlign w:val="baseline"/>
                      <w:lang w:val="en-US" w:eastAsia="zh-CN"/>
                    </w:rPr>
                  </w:pPr>
                  <w:r>
                    <w:rPr>
                      <w:rFonts w:hint="default" w:ascii="Times New Roman" w:hAnsi="Times New Roman" w:eastAsia="宋体" w:cs="Times New Roman"/>
                      <w:sz w:val="24"/>
                      <w:szCs w:val="24"/>
                      <w:highlight w:val="none"/>
                      <w:vertAlign w:val="baseline"/>
                      <w:lang w:val="en-US" w:eastAsia="zh-CN"/>
                    </w:rPr>
                    <w:t>让人无法忍受的强烈臭味</w:t>
                  </w:r>
                </w:p>
              </w:tc>
              <w:tc>
                <w:tcPr>
                  <w:tcW w:w="2094" w:type="dxa"/>
                  <w:vAlign w:val="center"/>
                </w:tcPr>
                <w:p w14:paraId="07A83022">
                  <w:pPr>
                    <w:pStyle w:val="30"/>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right="0"/>
                    <w:jc w:val="center"/>
                    <w:textAlignment w:val="auto"/>
                    <w:rPr>
                      <w:rFonts w:hint="default" w:ascii="Times New Roman" w:hAnsi="Times New Roman" w:eastAsia="宋体" w:cs="Times New Roman"/>
                      <w:sz w:val="24"/>
                      <w:szCs w:val="24"/>
                      <w:highlight w:val="none"/>
                      <w:vertAlign w:val="baseline"/>
                      <w:lang w:val="en-US" w:eastAsia="zh-CN"/>
                    </w:rPr>
                  </w:pPr>
                  <w:r>
                    <w:rPr>
                      <w:rFonts w:hint="default" w:ascii="Times New Roman" w:hAnsi="Times New Roman" w:eastAsia="宋体" w:cs="Times New Roman"/>
                      <w:sz w:val="24"/>
                      <w:szCs w:val="24"/>
                      <w:highlight w:val="none"/>
                      <w:vertAlign w:val="baseline"/>
                      <w:lang w:val="en-US" w:eastAsia="zh-CN"/>
                    </w:rPr>
                    <w:t>＞7413</w:t>
                  </w:r>
                </w:p>
              </w:tc>
            </w:tr>
          </w:tbl>
          <w:p w14:paraId="1684EBA7">
            <w:pPr>
              <w:pStyle w:val="30"/>
              <w:keepNext w:val="0"/>
              <w:keepLines w:val="0"/>
              <w:pageBreakBefore w:val="0"/>
              <w:widowControl w:val="0"/>
              <w:suppressLineNumbers w:val="0"/>
              <w:kinsoku/>
              <w:wordWrap/>
              <w:overflowPunct/>
              <w:topLinePunct w:val="0"/>
              <w:bidi w:val="0"/>
              <w:snapToGrid/>
              <w:spacing w:before="0" w:beforeAutospacing="0" w:after="0" w:afterAutospacing="0" w:line="480" w:lineRule="exact"/>
              <w:ind w:left="0" w:leftChars="0" w:right="0" w:firstLine="480" w:firstLineChars="200"/>
              <w:jc w:val="both"/>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 xml:space="preserve">根据同类型项目现场嗅辨，该类项目臭气强度为3级左右其对应的臭气浓度为 234-1318(无量纲)，本次评价取最大值计算，即注塑工序臭气浓度为 1318(无量纲)，有组织排放臭气浓度为 </w:t>
            </w:r>
            <w:r>
              <w:rPr>
                <w:rFonts w:hint="eastAsia" w:ascii="Times New Roman" w:cs="Times New Roman"/>
                <w:sz w:val="24"/>
                <w:szCs w:val="24"/>
                <w:highlight w:val="none"/>
                <w:lang w:val="en-US" w:eastAsia="zh-CN"/>
              </w:rPr>
              <w:t>83.03</w:t>
            </w:r>
            <w:r>
              <w:rPr>
                <w:rFonts w:hint="default" w:ascii="Times New Roman" w:hAnsi="Times New Roman" w:eastAsia="宋体" w:cs="Times New Roman"/>
                <w:sz w:val="24"/>
                <w:szCs w:val="24"/>
                <w:highlight w:val="none"/>
                <w:lang w:val="en-US" w:eastAsia="zh-CN"/>
              </w:rPr>
              <w:t>(无量纲)臭气浓度满足《恶臭污染物排放标准》(GB 14554-93)表2恶臭污染物排放标准值。经预测，无组织臭气浓度&lt;10(无量纲)，臭气浓度满足《恶臭污染物排放标准》(GB 14554-93)表1恶臭污染物厂界二级(新扩改建)标准值。</w:t>
            </w:r>
          </w:p>
          <w:p w14:paraId="7ECD6CBB">
            <w:pPr>
              <w:pStyle w:val="30"/>
              <w:keepNext w:val="0"/>
              <w:keepLines w:val="0"/>
              <w:pageBreakBefore w:val="0"/>
              <w:widowControl w:val="0"/>
              <w:suppressLineNumbers w:val="0"/>
              <w:kinsoku/>
              <w:wordWrap/>
              <w:overflowPunct/>
              <w:topLinePunct w:val="0"/>
              <w:bidi w:val="0"/>
              <w:snapToGrid/>
              <w:spacing w:before="0" w:beforeAutospacing="0" w:after="0" w:afterAutospacing="0" w:line="480" w:lineRule="exact"/>
              <w:ind w:right="0" w:firstLine="482" w:firstLineChars="200"/>
              <w:jc w:val="both"/>
              <w:textAlignment w:val="auto"/>
              <w:rPr>
                <w:rFonts w:hint="eastAsia" w:ascii="Times New Roman" w:hAnsi="Times New Roman" w:eastAsia="宋体" w:cs="Times New Roman"/>
                <w:b/>
                <w:bCs/>
                <w:sz w:val="24"/>
                <w:szCs w:val="24"/>
                <w:highlight w:val="none"/>
                <w:lang w:val="en-US" w:eastAsia="zh-CN"/>
              </w:rPr>
            </w:pPr>
            <w:r>
              <w:rPr>
                <w:rFonts w:hint="eastAsia" w:ascii="Times New Roman" w:hAnsi="Times New Roman" w:eastAsia="宋体" w:cs="Times New Roman"/>
                <w:b/>
                <w:bCs/>
                <w:sz w:val="24"/>
                <w:szCs w:val="24"/>
                <w:highlight w:val="none"/>
                <w:lang w:val="en-US" w:eastAsia="zh-CN"/>
              </w:rPr>
              <w:t>粉碎工序废气颗粒物</w:t>
            </w:r>
            <w:r>
              <w:rPr>
                <w:rFonts w:hint="eastAsia" w:ascii="Times New Roman" w:eastAsia="宋体" w:cs="Times New Roman"/>
                <w:b/>
                <w:bCs/>
                <w:sz w:val="24"/>
                <w:szCs w:val="24"/>
                <w:highlight w:val="none"/>
                <w:lang w:val="en-US" w:eastAsia="zh-CN"/>
              </w:rPr>
              <w:t>（DA002颗粒物）</w:t>
            </w:r>
          </w:p>
          <w:p w14:paraId="1E44C157">
            <w:pPr>
              <w:pStyle w:val="32"/>
              <w:keepNext w:val="0"/>
              <w:keepLines w:val="0"/>
              <w:pageBreakBefore w:val="0"/>
              <w:widowControl w:val="0"/>
              <w:suppressLineNumbers w:val="0"/>
              <w:kinsoku/>
              <w:wordWrap/>
              <w:overflowPunct/>
              <w:topLinePunct w:val="0"/>
              <w:bidi w:val="0"/>
              <w:snapToGrid/>
              <w:spacing w:before="0" w:beforeAutospacing="0" w:after="0" w:afterAutospacing="0" w:line="480" w:lineRule="exact"/>
              <w:ind w:left="0" w:leftChars="0" w:right="0" w:firstLine="480" w:firstLineChars="200"/>
              <w:textAlignment w:val="auto"/>
              <w:rPr>
                <w:rFonts w:hint="default"/>
                <w:sz w:val="24"/>
                <w:szCs w:val="24"/>
                <w:lang w:val="en-US" w:eastAsia="zh-CN"/>
              </w:rPr>
            </w:pPr>
            <w:r>
              <w:rPr>
                <w:rFonts w:hint="eastAsia"/>
                <w:sz w:val="24"/>
                <w:szCs w:val="24"/>
                <w:lang w:val="en-US" w:eastAsia="zh-CN"/>
              </w:rPr>
              <w:t>粉碎工序会产生少量粉尘废气颗粒物，经集气罩收集后，经通风管道经布袋除尘器处理后+1根15米高排气筒排放（DA002），该工序产尘系数参照《排放源统计调查产排污核算方法和技术手册》中42废弃资源综合利用行业系数手册-4220非金属废料和碎屑加工处理行业系数表，颗粒物产污系数为375g/t原料，根据建设单位提供资料，塑料边角料和塑料不合格产品产生量为产品的</w:t>
            </w:r>
            <w:r>
              <w:rPr>
                <w:rFonts w:hint="default" w:ascii="Times New Roman" w:hAnsi="Times New Roman" w:cs="Times New Roman"/>
                <w:sz w:val="24"/>
                <w:szCs w:val="24"/>
                <w:lang w:val="en-US" w:eastAsia="zh-CN"/>
              </w:rPr>
              <w:t>1％</w:t>
            </w:r>
            <w:r>
              <w:rPr>
                <w:rFonts w:hint="eastAsia"/>
                <w:sz w:val="24"/>
                <w:szCs w:val="24"/>
                <w:lang w:val="en-US" w:eastAsia="zh-CN"/>
              </w:rPr>
              <w:t>，约为5t/a，则粉碎工序颗粒物产生量为0.002t/a。</w:t>
            </w:r>
          </w:p>
          <w:p w14:paraId="481BD90F">
            <w:pPr>
              <w:pStyle w:val="1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tLeast"/>
              <w:ind w:left="0" w:leftChars="0" w:right="0" w:rightChars="0" w:firstLine="480" w:firstLineChars="200"/>
              <w:jc w:val="both"/>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sz w:val="24"/>
                <w:szCs w:val="24"/>
                <w:highlight w:val="none"/>
                <w:lang w:val="en-US" w:eastAsia="zh-CN"/>
              </w:rPr>
              <w:t>粉碎工序颗粒物产生量</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为0.002t/a，产生速率为0.005kg/h，产生浓度为1mg/m³。</w:t>
            </w:r>
            <w:r>
              <w:rPr>
                <w:rFonts w:hint="default" w:ascii="Times New Roman" w:hAnsi="Times New Roman" w:cs="Times New Roman"/>
                <w:color w:val="000000" w:themeColor="text1"/>
                <w:sz w:val="24"/>
                <w:szCs w:val="24"/>
                <w:lang w:val="en-US" w:eastAsia="zh-CN"/>
                <w14:textFill>
                  <w14:solidFill>
                    <w14:schemeClr w14:val="tx1"/>
                  </w14:solidFill>
                </w14:textFill>
              </w:rPr>
              <w:t>每日工作时间</w:t>
            </w:r>
            <w:r>
              <w:rPr>
                <w:rFonts w:hint="eastAsia" w:ascii="Times New Roman" w:hAnsi="Times New Roman" w:cs="Times New Roman"/>
                <w:color w:val="000000" w:themeColor="text1"/>
                <w:sz w:val="24"/>
                <w:szCs w:val="24"/>
                <w:lang w:val="en-US" w:eastAsia="zh-CN"/>
                <w14:textFill>
                  <w14:solidFill>
                    <w14:schemeClr w14:val="tx1"/>
                  </w14:solidFill>
                </w14:textFill>
              </w:rPr>
              <w:t>4</w:t>
            </w:r>
            <w:r>
              <w:rPr>
                <w:rFonts w:hint="default" w:ascii="Times New Roman" w:hAnsi="Times New Roman" w:cs="Times New Roman"/>
                <w:color w:val="000000" w:themeColor="text1"/>
                <w:sz w:val="24"/>
                <w:szCs w:val="24"/>
                <w:lang w:val="en-US" w:eastAsia="zh-CN"/>
                <w14:textFill>
                  <w14:solidFill>
                    <w14:schemeClr w14:val="tx1"/>
                  </w14:solidFill>
                </w14:textFill>
              </w:rPr>
              <w:t>小时，年工作</w:t>
            </w:r>
            <w:r>
              <w:rPr>
                <w:rFonts w:hint="eastAsia" w:ascii="Times New Roman" w:hAnsi="Times New Roman" w:cs="Times New Roman"/>
                <w:color w:val="000000" w:themeColor="text1"/>
                <w:sz w:val="24"/>
                <w:szCs w:val="24"/>
                <w:lang w:val="en-US" w:eastAsia="zh-CN"/>
                <w14:textFill>
                  <w14:solidFill>
                    <w14:schemeClr w14:val="tx1"/>
                  </w14:solidFill>
                </w14:textFill>
              </w:rPr>
              <w:t>100</w:t>
            </w:r>
            <w:r>
              <w:rPr>
                <w:rFonts w:hint="default" w:ascii="Times New Roman" w:hAnsi="Times New Roman" w:cs="Times New Roman"/>
                <w:color w:val="000000" w:themeColor="text1"/>
                <w:sz w:val="24"/>
                <w:szCs w:val="24"/>
                <w:lang w:val="en-US" w:eastAsia="zh-CN"/>
                <w14:textFill>
                  <w14:solidFill>
                    <w14:schemeClr w14:val="tx1"/>
                  </w14:solidFill>
                </w14:textFill>
              </w:rPr>
              <w:t>天，</w:t>
            </w:r>
            <w:r>
              <w:rPr>
                <w:rFonts w:hint="eastAsia" w:ascii="Times New Roman" w:hAnsi="Times New Roman" w:cs="Times New Roman"/>
                <w:color w:val="000000" w:themeColor="text1"/>
                <w:sz w:val="24"/>
                <w:szCs w:val="24"/>
                <w:vertAlign w:val="baseline"/>
                <w:lang w:val="en-US" w:eastAsia="zh-CN"/>
                <w14:textFill>
                  <w14:solidFill>
                    <w14:schemeClr w14:val="tx1"/>
                  </w14:solidFill>
                </w14:textFill>
              </w:rPr>
              <w:t>环保</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设备风机风量为5000</w:t>
            </w:r>
            <w:r>
              <w:rPr>
                <w:rFonts w:hint="default" w:ascii="Times New Roman" w:hAnsi="Times New Roman" w:eastAsia="宋体" w:cs="Times New Roman"/>
                <w:color w:val="000000" w:themeColor="text1"/>
                <w:sz w:val="24"/>
                <w:szCs w:val="24"/>
                <w14:textFill>
                  <w14:solidFill>
                    <w14:schemeClr w14:val="tx1"/>
                  </w14:solidFill>
                </w14:textFill>
              </w:rPr>
              <w:t>m</w:t>
            </w:r>
            <w:r>
              <w:rPr>
                <w:rFonts w:hint="default" w:ascii="Times New Roman" w:hAnsi="Times New Roman" w:eastAsia="宋体" w:cs="Times New Roman"/>
                <w:color w:val="000000" w:themeColor="text1"/>
                <w:sz w:val="24"/>
                <w:szCs w:val="24"/>
                <w:vertAlign w:val="superscript"/>
                <w14:textFill>
                  <w14:solidFill>
                    <w14:schemeClr w14:val="tx1"/>
                  </w14:solidFill>
                </w14:textFill>
              </w:rPr>
              <w:t>3</w:t>
            </w:r>
            <w:r>
              <w:rPr>
                <w:rFonts w:hint="default" w:ascii="Times New Roman" w:hAnsi="Times New Roman" w:eastAsia="宋体" w:cs="Times New Roman"/>
                <w:color w:val="000000" w:themeColor="text1"/>
                <w:sz w:val="24"/>
                <w:szCs w:val="24"/>
                <w14:textFill>
                  <w14:solidFill>
                    <w14:schemeClr w14:val="tx1"/>
                  </w14:solidFill>
                </w14:textFill>
              </w:rPr>
              <w:t>/h</w:t>
            </w:r>
            <w:r>
              <w:rPr>
                <w:rFonts w:hint="eastAsia" w:ascii="Times New Roman" w:hAnsi="Times New Roman" w:cs="Times New Roman"/>
                <w:color w:val="000000" w:themeColor="text1"/>
                <w:sz w:val="24"/>
                <w:szCs w:val="24"/>
                <w:lang w:eastAsia="zh-CN"/>
                <w14:textFill>
                  <w14:solidFill>
                    <w14:schemeClr w14:val="tx1"/>
                  </w14:solidFill>
                </w14:textFill>
              </w:rPr>
              <w:t>，集气</w:t>
            </w:r>
            <w:r>
              <w:rPr>
                <w:rFonts w:hint="eastAsia" w:ascii="Times New Roman" w:hAnsi="Times New Roman" w:cs="Times New Roman"/>
                <w:sz w:val="24"/>
                <w:szCs w:val="24"/>
                <w:lang w:eastAsia="zh-CN"/>
              </w:rPr>
              <w:t>罩收集效率</w:t>
            </w:r>
            <w:r>
              <w:rPr>
                <w:rFonts w:hint="eastAsia" w:ascii="Times New Roman" w:hAnsi="Times New Roman" w:cs="Times New Roman"/>
                <w:sz w:val="24"/>
                <w:szCs w:val="24"/>
                <w:lang w:val="en-US" w:eastAsia="zh-CN"/>
              </w:rPr>
              <w:t>70％</w:t>
            </w:r>
            <w:r>
              <w:rPr>
                <w:rFonts w:hint="default" w:ascii="Times New Roman" w:hAnsi="Times New Roman" w:eastAsia="宋体" w:cs="Times New Roman"/>
                <w:sz w:val="24"/>
                <w:szCs w:val="24"/>
              </w:rPr>
              <w:t>。</w:t>
            </w:r>
            <w:r>
              <w:rPr>
                <w:rFonts w:hint="eastAsia" w:ascii="Times New Roman" w:hAnsi="Times New Roman" w:cs="Times New Roman"/>
                <w:sz w:val="24"/>
                <w:szCs w:val="24"/>
                <w:highlight w:val="none"/>
                <w:lang w:val="en-US" w:eastAsia="zh-CN"/>
              </w:rPr>
              <w:t>布袋除尘器处理效率为95％</w:t>
            </w:r>
            <w:r>
              <w:rPr>
                <w:rFonts w:hint="default" w:ascii="Times New Roman" w:hAnsi="Times New Roman" w:cs="Times New Roman"/>
                <w:color w:val="auto"/>
                <w:sz w:val="24"/>
                <w:szCs w:val="24"/>
                <w:lang w:val="en-US" w:eastAsia="zh-CN"/>
              </w:rPr>
              <w:t>，则</w:t>
            </w:r>
            <w:r>
              <w:rPr>
                <w:rFonts w:hint="eastAsia" w:ascii="Times New Roman" w:hAnsi="Times New Roman" w:cs="Times New Roman"/>
                <w:sz w:val="24"/>
                <w:szCs w:val="24"/>
                <w:lang w:val="en-US" w:eastAsia="zh-CN"/>
              </w:rPr>
              <w:t>颗粒物</w:t>
            </w:r>
            <w:r>
              <w:rPr>
                <w:rFonts w:hint="default" w:ascii="Times New Roman" w:hAnsi="Times New Roman" w:cs="Times New Roman"/>
                <w:color w:val="auto"/>
                <w:sz w:val="24"/>
                <w:szCs w:val="24"/>
                <w:lang w:val="en-US" w:eastAsia="zh-CN"/>
              </w:rPr>
              <w:t>排放量</w:t>
            </w:r>
            <w:r>
              <w:rPr>
                <w:rFonts w:hint="eastAsia" w:ascii="Times New Roman" w:hAnsi="Times New Roman" w:cs="Times New Roman"/>
                <w:color w:val="auto"/>
                <w:sz w:val="24"/>
                <w:szCs w:val="24"/>
                <w:lang w:val="en-US" w:eastAsia="zh-CN"/>
              </w:rPr>
              <w:t>0.00007</w:t>
            </w:r>
            <w:r>
              <w:rPr>
                <w:rFonts w:hint="default" w:ascii="Times New Roman" w:hAnsi="Times New Roman" w:cs="Times New Roman"/>
                <w:color w:val="auto"/>
                <w:sz w:val="24"/>
                <w:szCs w:val="24"/>
                <w:lang w:val="en-US" w:eastAsia="zh-CN"/>
              </w:rPr>
              <w:t>t/a</w:t>
            </w:r>
            <w:r>
              <w:rPr>
                <w:rFonts w:hint="eastAsia" w:ascii="Times New Roman" w:hAnsi="Times New Roman" w:cs="Times New Roman"/>
                <w:color w:val="auto"/>
                <w:sz w:val="24"/>
                <w:szCs w:val="24"/>
                <w:lang w:val="en-US" w:eastAsia="zh-CN"/>
              </w:rPr>
              <w:t>，</w:t>
            </w:r>
            <w:r>
              <w:rPr>
                <w:rFonts w:hint="default" w:ascii="Times New Roman" w:hAnsi="Times New Roman" w:cs="Times New Roman"/>
                <w:color w:val="auto"/>
                <w:sz w:val="24"/>
                <w:szCs w:val="24"/>
                <w:lang w:val="en-US" w:eastAsia="zh-CN"/>
              </w:rPr>
              <w:t>排放速率</w:t>
            </w:r>
            <w:r>
              <w:rPr>
                <w:rFonts w:hint="eastAsia" w:ascii="Times New Roman" w:hAnsi="Times New Roman" w:cs="Times New Roman"/>
                <w:color w:val="auto"/>
                <w:sz w:val="24"/>
                <w:szCs w:val="24"/>
                <w:lang w:val="en-US" w:eastAsia="zh-CN"/>
              </w:rPr>
              <w:t>0.0002</w:t>
            </w:r>
            <w:r>
              <w:rPr>
                <w:rFonts w:hint="default" w:ascii="Times New Roman" w:hAnsi="Times New Roman" w:cs="Times New Roman"/>
                <w:color w:val="auto"/>
                <w:sz w:val="24"/>
                <w:szCs w:val="24"/>
                <w:lang w:val="en-US" w:eastAsia="zh-CN"/>
              </w:rPr>
              <w:t>kg/h，排放浓度</w:t>
            </w:r>
            <w:r>
              <w:rPr>
                <w:rFonts w:hint="eastAsia" w:ascii="Times New Roman" w:hAnsi="Times New Roman" w:cs="Times New Roman"/>
                <w:color w:val="auto"/>
                <w:sz w:val="24"/>
                <w:szCs w:val="24"/>
                <w:lang w:val="en-US" w:eastAsia="zh-CN"/>
              </w:rPr>
              <w:t>0.04</w:t>
            </w:r>
            <w:r>
              <w:rPr>
                <w:rFonts w:hint="default" w:ascii="Times New Roman" w:hAnsi="Times New Roman" w:cs="Times New Roman"/>
                <w:color w:val="auto"/>
                <w:sz w:val="24"/>
                <w:szCs w:val="24"/>
                <w:lang w:val="en-US" w:eastAsia="zh-CN"/>
              </w:rPr>
              <w:t>mg/m</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lang w:val="en-US" w:eastAsia="zh-CN"/>
              </w:rPr>
              <w:t>。</w:t>
            </w:r>
            <w:r>
              <w:rPr>
                <w:rFonts w:hint="default" w:ascii="Times New Roman" w:hAnsi="Times New Roman" w:eastAsia="宋体" w:cs="Times New Roman"/>
                <w:sz w:val="24"/>
                <w:szCs w:val="24"/>
                <w:highlight w:val="none"/>
                <w:lang w:val="en-US" w:eastAsia="zh-CN"/>
              </w:rPr>
              <w:t>排放</w:t>
            </w:r>
            <w:r>
              <w:rPr>
                <w:rFonts w:hint="eastAsia" w:ascii="Times New Roman" w:hAnsi="Times New Roman" w:cs="Times New Roman"/>
                <w:sz w:val="24"/>
                <w:szCs w:val="24"/>
                <w:highlight w:val="none"/>
                <w:lang w:val="en-US" w:eastAsia="zh-CN"/>
              </w:rPr>
              <w:t>浓度</w:t>
            </w:r>
            <w:r>
              <w:rPr>
                <w:rFonts w:hint="default" w:ascii="Times New Roman" w:hAnsi="Times New Roman" w:eastAsia="宋体" w:cs="Times New Roman"/>
                <w:sz w:val="24"/>
                <w:szCs w:val="24"/>
                <w:highlight w:val="none"/>
                <w:lang w:val="en-US" w:eastAsia="zh-CN"/>
              </w:rPr>
              <w:t>满足</w:t>
            </w:r>
            <w:r>
              <w:rPr>
                <w:rFonts w:hint="eastAsia" w:ascii="Times New Roman" w:hAnsi="Times New Roman" w:cs="Times New Roman"/>
                <w:bCs/>
                <w:color w:val="auto"/>
                <w:sz w:val="24"/>
                <w:szCs w:val="24"/>
                <w:lang w:eastAsia="zh-CN"/>
              </w:rPr>
              <w:t>《合成树脂工业污染物排放标准》(GB31572-2015)及修改单</w:t>
            </w:r>
            <w:r>
              <w:rPr>
                <w:rFonts w:hint="default" w:ascii="Times New Roman" w:hAnsi="Times New Roman" w:cs="Times New Roman"/>
                <w:bCs/>
                <w:color w:val="auto"/>
                <w:sz w:val="24"/>
                <w:szCs w:val="24"/>
              </w:rPr>
              <w:t>表5大气污染物特别排放限值</w:t>
            </w:r>
            <w:r>
              <w:rPr>
                <w:rFonts w:hint="eastAsia" w:ascii="Times New Roman" w:hAnsi="Times New Roman" w:cs="Times New Roman"/>
                <w:color w:val="auto"/>
                <w:sz w:val="24"/>
                <w:szCs w:val="24"/>
                <w:lang w:val="en-US" w:eastAsia="zh-CN"/>
              </w:rPr>
              <w:t>。</w:t>
            </w:r>
          </w:p>
          <w:p w14:paraId="3725C06F">
            <w:pPr>
              <w:pStyle w:val="32"/>
              <w:keepNext w:val="0"/>
              <w:keepLines w:val="0"/>
              <w:pageBreakBefore w:val="0"/>
              <w:widowControl w:val="0"/>
              <w:suppressLineNumbers w:val="0"/>
              <w:kinsoku/>
              <w:wordWrap/>
              <w:overflowPunct/>
              <w:topLinePunct w:val="0"/>
              <w:bidi w:val="0"/>
              <w:snapToGrid/>
              <w:spacing w:before="0" w:beforeAutospacing="0" w:after="0" w:afterAutospacing="0" w:line="480" w:lineRule="exact"/>
              <w:ind w:left="0" w:leftChars="0" w:right="0" w:firstLine="480" w:firstLineChars="200"/>
              <w:textAlignment w:val="auto"/>
              <w:rPr>
                <w:rFonts w:hint="default" w:eastAsia="宋体"/>
                <w:sz w:val="24"/>
                <w:szCs w:val="24"/>
                <w:lang w:val="en-US" w:eastAsia="zh-CN"/>
              </w:rPr>
            </w:pPr>
            <w:r>
              <w:rPr>
                <w:rFonts w:hint="default" w:eastAsia="宋体"/>
                <w:sz w:val="24"/>
                <w:szCs w:val="24"/>
                <w:lang w:val="en-US" w:eastAsia="zh-CN"/>
              </w:rPr>
              <w:t>未被收集的</w:t>
            </w:r>
            <w:r>
              <w:rPr>
                <w:rFonts w:hint="eastAsia" w:eastAsia="宋体"/>
                <w:sz w:val="24"/>
                <w:szCs w:val="24"/>
                <w:lang w:val="en-US" w:eastAsia="zh-CN"/>
              </w:rPr>
              <w:t>颗粒物在车间散逸</w:t>
            </w:r>
            <w:r>
              <w:rPr>
                <w:rFonts w:hint="default" w:eastAsia="宋体"/>
                <w:sz w:val="24"/>
                <w:szCs w:val="24"/>
                <w:lang w:val="en-US" w:eastAsia="zh-CN"/>
              </w:rPr>
              <w:t>排放量为</w:t>
            </w:r>
            <w:r>
              <w:rPr>
                <w:rFonts w:hint="eastAsia"/>
                <w:sz w:val="24"/>
                <w:szCs w:val="24"/>
                <w:lang w:val="en-US" w:eastAsia="zh-CN"/>
              </w:rPr>
              <w:t>0.0006</w:t>
            </w:r>
            <w:r>
              <w:rPr>
                <w:rFonts w:hint="default" w:eastAsia="宋体"/>
                <w:sz w:val="24"/>
                <w:szCs w:val="24"/>
                <w:lang w:val="en-US" w:eastAsia="zh-CN"/>
              </w:rPr>
              <w:t>t/a</w:t>
            </w:r>
            <w:r>
              <w:rPr>
                <w:rFonts w:hint="eastAsia" w:eastAsia="宋体"/>
                <w:sz w:val="24"/>
                <w:szCs w:val="24"/>
                <w:lang w:val="en-US" w:eastAsia="zh-CN"/>
              </w:rPr>
              <w:t>，排放速率</w:t>
            </w:r>
            <w:r>
              <w:rPr>
                <w:rFonts w:hint="eastAsia"/>
                <w:sz w:val="24"/>
                <w:szCs w:val="24"/>
                <w:lang w:val="en-US" w:eastAsia="zh-CN"/>
              </w:rPr>
              <w:t>0.0015</w:t>
            </w:r>
            <w:r>
              <w:rPr>
                <w:rFonts w:hint="default" w:eastAsia="宋体"/>
                <w:sz w:val="24"/>
                <w:szCs w:val="24"/>
                <w:lang w:val="en-US" w:eastAsia="zh-CN"/>
              </w:rPr>
              <w:t>kg/h。</w:t>
            </w:r>
            <w:r>
              <w:rPr>
                <w:rFonts w:hint="eastAsia" w:eastAsia="宋体"/>
                <w:sz w:val="24"/>
                <w:szCs w:val="24"/>
                <w:lang w:val="en-US" w:eastAsia="zh-CN"/>
              </w:rPr>
              <w:t>经预测最大落地浓度</w:t>
            </w:r>
            <w:r>
              <w:rPr>
                <w:rFonts w:hint="default" w:eastAsia="宋体"/>
                <w:sz w:val="24"/>
                <w:szCs w:val="24"/>
                <w:lang w:val="en-US" w:eastAsia="zh-CN"/>
              </w:rPr>
              <w:t>满足《合成树脂工业污染物排放标准》（GB31572-2015）</w:t>
            </w:r>
            <w:r>
              <w:rPr>
                <w:rFonts w:hint="eastAsia"/>
                <w:sz w:val="24"/>
                <w:szCs w:val="24"/>
                <w:lang w:val="en-US" w:eastAsia="zh-CN"/>
              </w:rPr>
              <w:t>及修改单</w:t>
            </w:r>
            <w:r>
              <w:rPr>
                <w:rFonts w:hint="default" w:eastAsia="宋体"/>
                <w:sz w:val="24"/>
                <w:szCs w:val="24"/>
                <w:lang w:val="en-US" w:eastAsia="zh-CN"/>
              </w:rPr>
              <w:t>表9企业边界大气污染物浓度限值。</w:t>
            </w:r>
          </w:p>
          <w:p w14:paraId="6FF8BB33">
            <w:pPr>
              <w:spacing w:line="500" w:lineRule="exact"/>
              <w:ind w:firstLine="482" w:firstLineChars="200"/>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2、可行性分析</w:t>
            </w:r>
          </w:p>
          <w:p w14:paraId="2113BA3F">
            <w:pPr>
              <w:spacing w:line="500" w:lineRule="exact"/>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根据《排污许可证申请与核发技术规范</w:t>
            </w:r>
            <w:r>
              <w:rPr>
                <w:rFonts w:hint="default"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rPr>
              <w:t>橡胶和塑料制品工业》（HJ1122</w:t>
            </w:r>
            <w:r>
              <w:rPr>
                <w:rFonts w:hint="default"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rPr>
              <w:t>2020）工业废气污染防治可行性技术参考表，本项目采取布袋除尘器处理粉尘废气、</w:t>
            </w:r>
            <w:r>
              <w:rPr>
                <w:rFonts w:hint="eastAsia" w:ascii="Times New Roman" w:hAnsi="Times New Roman" w:cs="Times New Roman"/>
                <w:color w:val="auto"/>
                <w:sz w:val="24"/>
                <w:szCs w:val="24"/>
                <w:lang w:eastAsia="zh-CN"/>
              </w:rPr>
              <w:t>二级活性炭装置</w:t>
            </w:r>
            <w:r>
              <w:rPr>
                <w:rFonts w:hint="default" w:ascii="Times New Roman" w:hAnsi="Times New Roman" w:eastAsia="宋体" w:cs="Times New Roman"/>
                <w:color w:val="auto"/>
                <w:sz w:val="24"/>
                <w:szCs w:val="24"/>
              </w:rPr>
              <w:t>处理有机废气属于废气污染防治可行性技术。</w:t>
            </w:r>
          </w:p>
          <w:p w14:paraId="2D9DB5DE">
            <w:pPr>
              <w:spacing w:line="500" w:lineRule="exact"/>
              <w:ind w:firstLine="480" w:firstLineChars="200"/>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项目废气污染源及污染物产生、排放情况见下表</w:t>
            </w:r>
            <w:r>
              <w:rPr>
                <w:rFonts w:hint="default" w:ascii="Times New Roman" w:hAnsi="Times New Roman" w:eastAsia="宋体" w:cs="Times New Roman"/>
                <w:color w:val="auto"/>
                <w:sz w:val="24"/>
                <w:szCs w:val="24"/>
                <w:lang w:eastAsia="zh-CN"/>
              </w:rPr>
              <w:t>。</w:t>
            </w:r>
          </w:p>
          <w:p w14:paraId="45D15221">
            <w:pPr>
              <w:spacing w:line="500" w:lineRule="exact"/>
              <w:ind w:firstLine="480" w:firstLineChars="200"/>
              <w:rPr>
                <w:rFonts w:hint="default" w:ascii="Times New Roman" w:hAnsi="Times New Roman" w:eastAsia="宋体" w:cs="Times New Roman"/>
                <w:color w:val="auto"/>
                <w:sz w:val="24"/>
                <w:szCs w:val="24"/>
                <w:lang w:eastAsia="zh-CN"/>
              </w:rPr>
            </w:pPr>
          </w:p>
          <w:p w14:paraId="61C70F68">
            <w:pPr>
              <w:spacing w:line="500" w:lineRule="exact"/>
              <w:ind w:firstLine="480" w:firstLineChars="200"/>
              <w:rPr>
                <w:rFonts w:hint="default" w:ascii="Times New Roman" w:hAnsi="Times New Roman" w:eastAsia="宋体" w:cs="Times New Roman"/>
                <w:color w:val="auto"/>
                <w:sz w:val="24"/>
                <w:szCs w:val="24"/>
                <w:lang w:eastAsia="zh-CN"/>
              </w:rPr>
            </w:pPr>
          </w:p>
          <w:p w14:paraId="19C4E1CB">
            <w:pPr>
              <w:spacing w:line="500" w:lineRule="exact"/>
              <w:ind w:firstLine="480" w:firstLineChars="200"/>
              <w:rPr>
                <w:rFonts w:hint="default" w:ascii="Times New Roman" w:hAnsi="Times New Roman" w:eastAsia="宋体" w:cs="Times New Roman"/>
                <w:color w:val="auto"/>
                <w:sz w:val="24"/>
                <w:szCs w:val="24"/>
                <w:lang w:eastAsia="zh-CN"/>
              </w:rPr>
            </w:pPr>
          </w:p>
          <w:p w14:paraId="24CD045B">
            <w:pPr>
              <w:spacing w:line="500" w:lineRule="exact"/>
              <w:ind w:firstLine="480" w:firstLineChars="200"/>
              <w:rPr>
                <w:rFonts w:hint="default" w:ascii="Times New Roman" w:hAnsi="Times New Roman" w:eastAsia="宋体" w:cs="Times New Roman"/>
                <w:color w:val="auto"/>
                <w:sz w:val="24"/>
                <w:szCs w:val="24"/>
                <w:lang w:eastAsia="zh-CN"/>
              </w:rPr>
            </w:pPr>
          </w:p>
          <w:p w14:paraId="07596945">
            <w:pPr>
              <w:spacing w:line="500" w:lineRule="exact"/>
              <w:rPr>
                <w:rFonts w:hint="default" w:ascii="Times New Roman" w:hAnsi="Times New Roman" w:eastAsia="宋体" w:cs="Times New Roman"/>
                <w:color w:val="auto"/>
                <w:sz w:val="24"/>
                <w:szCs w:val="24"/>
                <w:lang w:eastAsia="zh-CN"/>
              </w:rPr>
            </w:pPr>
          </w:p>
          <w:p w14:paraId="05A2661B">
            <w:pPr>
              <w:spacing w:line="500" w:lineRule="exact"/>
              <w:ind w:firstLine="560" w:firstLineChars="200"/>
              <w:rPr>
                <w:rFonts w:hint="default" w:ascii="Times New Roman" w:hAnsi="Times New Roman" w:eastAsia="宋体" w:cs="Times New Roman"/>
                <w:color w:val="auto"/>
              </w:rPr>
            </w:pPr>
            <w:r>
              <w:drawing>
                <wp:anchor distT="0" distB="0" distL="114300" distR="114300" simplePos="0" relativeHeight="251675648" behindDoc="0" locked="0" layoutInCell="1" allowOverlap="1">
                  <wp:simplePos x="0" y="0"/>
                  <wp:positionH relativeFrom="column">
                    <wp:posOffset>-3175</wp:posOffset>
                  </wp:positionH>
                  <wp:positionV relativeFrom="paragraph">
                    <wp:posOffset>83820</wp:posOffset>
                  </wp:positionV>
                  <wp:extent cx="5314315" cy="2502535"/>
                  <wp:effectExtent l="0" t="0" r="635" b="12065"/>
                  <wp:wrapNone/>
                  <wp:docPr id="1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4"/>
                          <pic:cNvPicPr>
                            <a:picLocks noChangeAspect="1"/>
                          </pic:cNvPicPr>
                        </pic:nvPicPr>
                        <pic:blipFill>
                          <a:blip r:embed="rId17"/>
                          <a:stretch>
                            <a:fillRect/>
                          </a:stretch>
                        </pic:blipFill>
                        <pic:spPr>
                          <a:xfrm>
                            <a:off x="0" y="0"/>
                            <a:ext cx="5314315" cy="2502535"/>
                          </a:xfrm>
                          <a:prstGeom prst="rect">
                            <a:avLst/>
                          </a:prstGeom>
                          <a:noFill/>
                          <a:ln>
                            <a:noFill/>
                          </a:ln>
                        </pic:spPr>
                      </pic:pic>
                    </a:graphicData>
                  </a:graphic>
                </wp:anchor>
              </w:drawing>
            </w:r>
          </w:p>
        </w:tc>
      </w:tr>
    </w:tbl>
    <w:p w14:paraId="06122B83">
      <w:pPr>
        <w:widowControl/>
        <w:jc w:val="center"/>
        <w:rPr>
          <w:rFonts w:hint="default" w:ascii="Times New Roman" w:hAnsi="Times New Roman" w:cs="Times New Roman"/>
          <w:color w:val="auto"/>
          <w:sz w:val="21"/>
          <w:szCs w:val="21"/>
          <w:lang w:bidi="ar"/>
        </w:rPr>
        <w:sectPr>
          <w:footerReference r:id="rId6" w:type="default"/>
          <w:pgSz w:w="11906" w:h="16838"/>
          <w:pgMar w:top="1417" w:right="1800" w:bottom="1417"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7620BAB6">
      <w:pPr>
        <w:spacing w:line="480" w:lineRule="atLeast"/>
        <w:jc w:val="center"/>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表</w:t>
      </w:r>
      <w:r>
        <w:rPr>
          <w:rFonts w:hint="eastAsia" w:ascii="Times New Roman" w:hAnsi="Times New Roman" w:cs="Times New Roman"/>
          <w:b/>
          <w:color w:val="auto"/>
          <w:sz w:val="24"/>
          <w:szCs w:val="24"/>
          <w:lang w:val="en-US" w:eastAsia="zh-CN"/>
        </w:rPr>
        <w:t>20</w:t>
      </w:r>
      <w:r>
        <w:rPr>
          <w:rFonts w:hint="default" w:ascii="Times New Roman" w:hAnsi="Times New Roman" w:cs="Times New Roman"/>
          <w:b/>
          <w:color w:val="auto"/>
          <w:sz w:val="24"/>
          <w:szCs w:val="24"/>
        </w:rPr>
        <w:t>废气污染物产生及排放情况一览表</w:t>
      </w:r>
    </w:p>
    <w:tbl>
      <w:tblPr>
        <w:tblStyle w:val="35"/>
        <w:tblW w:w="154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645"/>
        <w:gridCol w:w="528"/>
        <w:gridCol w:w="539"/>
        <w:gridCol w:w="609"/>
        <w:gridCol w:w="609"/>
        <w:gridCol w:w="563"/>
        <w:gridCol w:w="738"/>
        <w:gridCol w:w="1653"/>
        <w:gridCol w:w="619"/>
        <w:gridCol w:w="758"/>
        <w:gridCol w:w="729"/>
        <w:gridCol w:w="610"/>
        <w:gridCol w:w="653"/>
        <w:gridCol w:w="643"/>
        <w:gridCol w:w="894"/>
        <w:gridCol w:w="779"/>
        <w:gridCol w:w="670"/>
        <w:gridCol w:w="670"/>
        <w:gridCol w:w="1922"/>
        <w:gridCol w:w="625"/>
      </w:tblGrid>
      <w:tr w14:paraId="247AA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2" w:hRule="atLeast"/>
          <w:jc w:val="center"/>
        </w:trPr>
        <w:tc>
          <w:tcPr>
            <w:tcW w:w="1173" w:type="dxa"/>
            <w:gridSpan w:val="2"/>
            <w:vMerge w:val="restart"/>
            <w:vAlign w:val="center"/>
          </w:tcPr>
          <w:p w14:paraId="2927E1B1">
            <w:pPr>
              <w:pStyle w:val="4"/>
              <w:spacing w:line="270" w:lineRule="exact"/>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污染物</w:t>
            </w:r>
          </w:p>
        </w:tc>
        <w:tc>
          <w:tcPr>
            <w:tcW w:w="539" w:type="dxa"/>
            <w:vMerge w:val="restart"/>
            <w:vAlign w:val="center"/>
          </w:tcPr>
          <w:p w14:paraId="6490CFF4">
            <w:pPr>
              <w:pStyle w:val="4"/>
              <w:spacing w:line="270" w:lineRule="exact"/>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产生量</w:t>
            </w:r>
          </w:p>
          <w:p w14:paraId="14759B43">
            <w:pPr>
              <w:pStyle w:val="4"/>
              <w:spacing w:line="270" w:lineRule="exact"/>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t/a</w:t>
            </w:r>
          </w:p>
        </w:tc>
        <w:tc>
          <w:tcPr>
            <w:tcW w:w="609" w:type="dxa"/>
            <w:vMerge w:val="restart"/>
            <w:vAlign w:val="center"/>
          </w:tcPr>
          <w:p w14:paraId="401CFBCA">
            <w:pPr>
              <w:pStyle w:val="4"/>
              <w:spacing w:line="270" w:lineRule="exact"/>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产生速率kg/h</w:t>
            </w:r>
          </w:p>
        </w:tc>
        <w:tc>
          <w:tcPr>
            <w:tcW w:w="609" w:type="dxa"/>
            <w:vMerge w:val="restart"/>
            <w:vAlign w:val="center"/>
          </w:tcPr>
          <w:p w14:paraId="08CF5BEE">
            <w:pPr>
              <w:pStyle w:val="4"/>
              <w:spacing w:line="270" w:lineRule="exact"/>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核算方法</w:t>
            </w:r>
          </w:p>
        </w:tc>
        <w:tc>
          <w:tcPr>
            <w:tcW w:w="563" w:type="dxa"/>
            <w:vMerge w:val="restart"/>
            <w:vAlign w:val="center"/>
          </w:tcPr>
          <w:p w14:paraId="654A9FCA">
            <w:pPr>
              <w:pStyle w:val="4"/>
              <w:spacing w:line="270" w:lineRule="exact"/>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排放形式</w:t>
            </w:r>
          </w:p>
        </w:tc>
        <w:tc>
          <w:tcPr>
            <w:tcW w:w="738" w:type="dxa"/>
            <w:vMerge w:val="restart"/>
            <w:vAlign w:val="center"/>
          </w:tcPr>
          <w:p w14:paraId="07D6D2C0">
            <w:pPr>
              <w:pStyle w:val="4"/>
              <w:spacing w:line="270" w:lineRule="exact"/>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产生浓度mg/m</w:t>
            </w:r>
            <w:r>
              <w:rPr>
                <w:rFonts w:hint="default" w:ascii="Times New Roman" w:hAnsi="Times New Roman" w:cs="Times New Roman"/>
                <w:b/>
                <w:bCs/>
                <w:color w:val="auto"/>
                <w:sz w:val="21"/>
                <w:szCs w:val="21"/>
                <w:highlight w:val="none"/>
                <w:vertAlign w:val="superscript"/>
              </w:rPr>
              <w:t>3</w:t>
            </w:r>
          </w:p>
        </w:tc>
        <w:tc>
          <w:tcPr>
            <w:tcW w:w="1653" w:type="dxa"/>
            <w:vMerge w:val="restart"/>
            <w:vAlign w:val="center"/>
          </w:tcPr>
          <w:p w14:paraId="63BEBBDB">
            <w:pPr>
              <w:pStyle w:val="4"/>
              <w:spacing w:line="270" w:lineRule="exact"/>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治理措施</w:t>
            </w:r>
          </w:p>
        </w:tc>
        <w:tc>
          <w:tcPr>
            <w:tcW w:w="619" w:type="dxa"/>
            <w:vMerge w:val="restart"/>
            <w:vAlign w:val="center"/>
          </w:tcPr>
          <w:p w14:paraId="22C48EE3">
            <w:pPr>
              <w:pStyle w:val="4"/>
              <w:spacing w:line="270" w:lineRule="exact"/>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处理能力m</w:t>
            </w:r>
            <w:r>
              <w:rPr>
                <w:rFonts w:hint="default" w:ascii="Times New Roman" w:hAnsi="Times New Roman" w:cs="Times New Roman"/>
                <w:b/>
                <w:bCs/>
                <w:color w:val="auto"/>
                <w:sz w:val="21"/>
                <w:szCs w:val="21"/>
                <w:highlight w:val="none"/>
                <w:vertAlign w:val="superscript"/>
              </w:rPr>
              <w:t>3</w:t>
            </w:r>
            <w:r>
              <w:rPr>
                <w:rFonts w:hint="default" w:ascii="Times New Roman" w:hAnsi="Times New Roman" w:cs="Times New Roman"/>
                <w:b/>
                <w:bCs/>
                <w:color w:val="auto"/>
                <w:sz w:val="21"/>
                <w:szCs w:val="21"/>
                <w:highlight w:val="none"/>
              </w:rPr>
              <w:t>/h</w:t>
            </w:r>
          </w:p>
        </w:tc>
        <w:tc>
          <w:tcPr>
            <w:tcW w:w="758" w:type="dxa"/>
            <w:vMerge w:val="restart"/>
            <w:vAlign w:val="center"/>
          </w:tcPr>
          <w:p w14:paraId="33469C4A">
            <w:pPr>
              <w:pStyle w:val="4"/>
              <w:spacing w:line="270" w:lineRule="exact"/>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收集效率</w:t>
            </w:r>
          </w:p>
          <w:p w14:paraId="45066030">
            <w:pPr>
              <w:pStyle w:val="4"/>
              <w:spacing w:line="270" w:lineRule="exact"/>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w:t>
            </w:r>
          </w:p>
        </w:tc>
        <w:tc>
          <w:tcPr>
            <w:tcW w:w="729" w:type="dxa"/>
            <w:vMerge w:val="restart"/>
            <w:vAlign w:val="center"/>
          </w:tcPr>
          <w:p w14:paraId="557308B0">
            <w:pPr>
              <w:pStyle w:val="4"/>
              <w:spacing w:line="270" w:lineRule="exact"/>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去除率%</w:t>
            </w:r>
          </w:p>
        </w:tc>
        <w:tc>
          <w:tcPr>
            <w:tcW w:w="610" w:type="dxa"/>
            <w:vMerge w:val="restart"/>
            <w:vAlign w:val="center"/>
          </w:tcPr>
          <w:p w14:paraId="706A8F19">
            <w:pPr>
              <w:pStyle w:val="4"/>
              <w:spacing w:line="270" w:lineRule="exact"/>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生产时间h</w:t>
            </w:r>
          </w:p>
        </w:tc>
        <w:tc>
          <w:tcPr>
            <w:tcW w:w="653" w:type="dxa"/>
            <w:vMerge w:val="restart"/>
            <w:vAlign w:val="center"/>
          </w:tcPr>
          <w:p w14:paraId="464557E8">
            <w:pPr>
              <w:pStyle w:val="4"/>
              <w:spacing w:line="270" w:lineRule="exact"/>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是否为可行技术</w:t>
            </w:r>
          </w:p>
        </w:tc>
        <w:tc>
          <w:tcPr>
            <w:tcW w:w="643" w:type="dxa"/>
            <w:vMerge w:val="restart"/>
            <w:vAlign w:val="center"/>
          </w:tcPr>
          <w:p w14:paraId="6D01AFFE">
            <w:pPr>
              <w:pStyle w:val="4"/>
              <w:spacing w:line="270" w:lineRule="exact"/>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排放量</w:t>
            </w:r>
          </w:p>
          <w:p w14:paraId="56A9751F">
            <w:pPr>
              <w:pStyle w:val="4"/>
              <w:spacing w:line="270" w:lineRule="exact"/>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t/a</w:t>
            </w:r>
          </w:p>
        </w:tc>
        <w:tc>
          <w:tcPr>
            <w:tcW w:w="894" w:type="dxa"/>
            <w:vMerge w:val="restart"/>
            <w:vAlign w:val="center"/>
          </w:tcPr>
          <w:p w14:paraId="2A151B40">
            <w:pPr>
              <w:pStyle w:val="4"/>
              <w:spacing w:line="270" w:lineRule="exact"/>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排放速率kg/h</w:t>
            </w:r>
          </w:p>
        </w:tc>
        <w:tc>
          <w:tcPr>
            <w:tcW w:w="779" w:type="dxa"/>
            <w:vMerge w:val="restart"/>
            <w:vAlign w:val="center"/>
          </w:tcPr>
          <w:p w14:paraId="255612AD">
            <w:pPr>
              <w:pStyle w:val="4"/>
              <w:spacing w:line="270" w:lineRule="exact"/>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排放浓度mg/m</w:t>
            </w:r>
            <w:r>
              <w:rPr>
                <w:rFonts w:hint="default" w:ascii="Times New Roman" w:hAnsi="Times New Roman" w:cs="Times New Roman"/>
                <w:b/>
                <w:bCs/>
                <w:color w:val="auto"/>
                <w:sz w:val="21"/>
                <w:szCs w:val="21"/>
                <w:highlight w:val="none"/>
                <w:vertAlign w:val="superscript"/>
              </w:rPr>
              <w:t>3</w:t>
            </w:r>
          </w:p>
        </w:tc>
        <w:tc>
          <w:tcPr>
            <w:tcW w:w="3262" w:type="dxa"/>
            <w:gridSpan w:val="3"/>
            <w:vAlign w:val="center"/>
          </w:tcPr>
          <w:p w14:paraId="6A3F0D9B">
            <w:pPr>
              <w:pStyle w:val="4"/>
              <w:spacing w:line="270" w:lineRule="exact"/>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排放标准</w:t>
            </w:r>
          </w:p>
        </w:tc>
        <w:tc>
          <w:tcPr>
            <w:tcW w:w="625" w:type="dxa"/>
            <w:vMerge w:val="restart"/>
            <w:vAlign w:val="center"/>
          </w:tcPr>
          <w:p w14:paraId="4D997754">
            <w:pPr>
              <w:pStyle w:val="4"/>
              <w:spacing w:line="270" w:lineRule="exact"/>
              <w:ind w:firstLine="0" w:firstLineChars="0"/>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cs="Times New Roman"/>
                <w:b/>
                <w:bCs/>
                <w:color w:val="auto"/>
                <w:sz w:val="21"/>
                <w:szCs w:val="21"/>
                <w:highlight w:val="none"/>
                <w:lang w:eastAsia="zh-CN"/>
              </w:rPr>
              <w:t>是否达标</w:t>
            </w:r>
          </w:p>
        </w:tc>
      </w:tr>
      <w:tr w14:paraId="2C6EA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2" w:hRule="atLeast"/>
          <w:jc w:val="center"/>
        </w:trPr>
        <w:tc>
          <w:tcPr>
            <w:tcW w:w="1173" w:type="dxa"/>
            <w:gridSpan w:val="2"/>
            <w:vMerge w:val="continue"/>
            <w:vAlign w:val="center"/>
          </w:tcPr>
          <w:p w14:paraId="17590947">
            <w:pPr>
              <w:pStyle w:val="4"/>
              <w:spacing w:line="270" w:lineRule="exact"/>
              <w:ind w:firstLine="0" w:firstLineChars="0"/>
              <w:jc w:val="center"/>
              <w:rPr>
                <w:rFonts w:hint="default" w:ascii="Times New Roman" w:hAnsi="Times New Roman" w:cs="Times New Roman"/>
                <w:b/>
                <w:bCs/>
                <w:color w:val="auto"/>
                <w:sz w:val="21"/>
                <w:szCs w:val="21"/>
                <w:highlight w:val="none"/>
              </w:rPr>
            </w:pPr>
          </w:p>
        </w:tc>
        <w:tc>
          <w:tcPr>
            <w:tcW w:w="539" w:type="dxa"/>
            <w:vMerge w:val="continue"/>
            <w:vAlign w:val="center"/>
          </w:tcPr>
          <w:p w14:paraId="0D2095F3">
            <w:pPr>
              <w:pStyle w:val="4"/>
              <w:spacing w:line="270" w:lineRule="exact"/>
              <w:ind w:firstLine="0" w:firstLineChars="0"/>
              <w:jc w:val="center"/>
              <w:rPr>
                <w:rFonts w:hint="default" w:ascii="Times New Roman" w:hAnsi="Times New Roman" w:cs="Times New Roman"/>
                <w:b/>
                <w:bCs/>
                <w:color w:val="auto"/>
                <w:sz w:val="21"/>
                <w:szCs w:val="21"/>
                <w:highlight w:val="none"/>
              </w:rPr>
            </w:pPr>
          </w:p>
        </w:tc>
        <w:tc>
          <w:tcPr>
            <w:tcW w:w="609" w:type="dxa"/>
            <w:vMerge w:val="continue"/>
            <w:vAlign w:val="center"/>
          </w:tcPr>
          <w:p w14:paraId="5D4738EC">
            <w:pPr>
              <w:pStyle w:val="4"/>
              <w:spacing w:line="270" w:lineRule="exact"/>
              <w:ind w:firstLine="0" w:firstLineChars="0"/>
              <w:jc w:val="center"/>
              <w:rPr>
                <w:rFonts w:hint="default" w:ascii="Times New Roman" w:hAnsi="Times New Roman" w:cs="Times New Roman"/>
                <w:b/>
                <w:bCs/>
                <w:color w:val="auto"/>
                <w:sz w:val="21"/>
                <w:szCs w:val="21"/>
                <w:highlight w:val="none"/>
              </w:rPr>
            </w:pPr>
          </w:p>
        </w:tc>
        <w:tc>
          <w:tcPr>
            <w:tcW w:w="609" w:type="dxa"/>
            <w:vMerge w:val="continue"/>
            <w:vAlign w:val="center"/>
          </w:tcPr>
          <w:p w14:paraId="64644A61">
            <w:pPr>
              <w:pStyle w:val="4"/>
              <w:spacing w:line="270" w:lineRule="exact"/>
              <w:ind w:firstLine="0" w:firstLineChars="0"/>
              <w:jc w:val="center"/>
              <w:rPr>
                <w:rFonts w:hint="default" w:ascii="Times New Roman" w:hAnsi="Times New Roman" w:cs="Times New Roman"/>
                <w:b/>
                <w:bCs/>
                <w:color w:val="auto"/>
                <w:sz w:val="21"/>
                <w:szCs w:val="21"/>
                <w:highlight w:val="none"/>
              </w:rPr>
            </w:pPr>
          </w:p>
        </w:tc>
        <w:tc>
          <w:tcPr>
            <w:tcW w:w="563" w:type="dxa"/>
            <w:vMerge w:val="continue"/>
            <w:vAlign w:val="center"/>
          </w:tcPr>
          <w:p w14:paraId="3590C60D">
            <w:pPr>
              <w:pStyle w:val="4"/>
              <w:spacing w:line="270" w:lineRule="exact"/>
              <w:ind w:firstLine="0" w:firstLineChars="0"/>
              <w:jc w:val="center"/>
              <w:rPr>
                <w:rFonts w:hint="default" w:ascii="Times New Roman" w:hAnsi="Times New Roman" w:cs="Times New Roman"/>
                <w:b/>
                <w:bCs/>
                <w:color w:val="auto"/>
                <w:sz w:val="21"/>
                <w:szCs w:val="21"/>
                <w:highlight w:val="none"/>
              </w:rPr>
            </w:pPr>
          </w:p>
        </w:tc>
        <w:tc>
          <w:tcPr>
            <w:tcW w:w="738" w:type="dxa"/>
            <w:vMerge w:val="continue"/>
            <w:vAlign w:val="center"/>
          </w:tcPr>
          <w:p w14:paraId="379DE6B3">
            <w:pPr>
              <w:pStyle w:val="4"/>
              <w:spacing w:line="270" w:lineRule="exact"/>
              <w:ind w:firstLine="0" w:firstLineChars="0"/>
              <w:jc w:val="center"/>
              <w:rPr>
                <w:rFonts w:hint="default" w:ascii="Times New Roman" w:hAnsi="Times New Roman" w:cs="Times New Roman"/>
                <w:b/>
                <w:bCs/>
                <w:color w:val="auto"/>
                <w:sz w:val="21"/>
                <w:szCs w:val="21"/>
                <w:highlight w:val="none"/>
              </w:rPr>
            </w:pPr>
          </w:p>
        </w:tc>
        <w:tc>
          <w:tcPr>
            <w:tcW w:w="1653" w:type="dxa"/>
            <w:vMerge w:val="continue"/>
            <w:vAlign w:val="center"/>
          </w:tcPr>
          <w:p w14:paraId="5A010D3E">
            <w:pPr>
              <w:pStyle w:val="4"/>
              <w:spacing w:line="270" w:lineRule="exact"/>
              <w:ind w:firstLine="0" w:firstLineChars="0"/>
              <w:jc w:val="center"/>
              <w:rPr>
                <w:rFonts w:hint="default" w:ascii="Times New Roman" w:hAnsi="Times New Roman" w:cs="Times New Roman"/>
                <w:b/>
                <w:bCs/>
                <w:color w:val="auto"/>
                <w:sz w:val="21"/>
                <w:szCs w:val="21"/>
                <w:highlight w:val="none"/>
              </w:rPr>
            </w:pPr>
          </w:p>
        </w:tc>
        <w:tc>
          <w:tcPr>
            <w:tcW w:w="619" w:type="dxa"/>
            <w:vMerge w:val="continue"/>
            <w:vAlign w:val="center"/>
          </w:tcPr>
          <w:p w14:paraId="24C0D793">
            <w:pPr>
              <w:pStyle w:val="4"/>
              <w:spacing w:line="270" w:lineRule="exact"/>
              <w:ind w:firstLine="0" w:firstLineChars="0"/>
              <w:jc w:val="center"/>
              <w:rPr>
                <w:rFonts w:hint="default" w:ascii="Times New Roman" w:hAnsi="Times New Roman" w:cs="Times New Roman"/>
                <w:b/>
                <w:bCs/>
                <w:color w:val="auto"/>
                <w:sz w:val="21"/>
                <w:szCs w:val="21"/>
                <w:highlight w:val="none"/>
              </w:rPr>
            </w:pPr>
          </w:p>
        </w:tc>
        <w:tc>
          <w:tcPr>
            <w:tcW w:w="758" w:type="dxa"/>
            <w:vMerge w:val="continue"/>
            <w:vAlign w:val="center"/>
          </w:tcPr>
          <w:p w14:paraId="01A10EF2">
            <w:pPr>
              <w:pStyle w:val="4"/>
              <w:spacing w:line="270" w:lineRule="exact"/>
              <w:ind w:firstLine="0" w:firstLineChars="0"/>
              <w:jc w:val="center"/>
              <w:rPr>
                <w:rFonts w:hint="default" w:ascii="Times New Roman" w:hAnsi="Times New Roman" w:cs="Times New Roman"/>
                <w:b/>
                <w:bCs/>
                <w:color w:val="auto"/>
                <w:sz w:val="21"/>
                <w:szCs w:val="21"/>
                <w:highlight w:val="none"/>
              </w:rPr>
            </w:pPr>
          </w:p>
        </w:tc>
        <w:tc>
          <w:tcPr>
            <w:tcW w:w="729" w:type="dxa"/>
            <w:vMerge w:val="continue"/>
            <w:vAlign w:val="center"/>
          </w:tcPr>
          <w:p w14:paraId="72871FED">
            <w:pPr>
              <w:pStyle w:val="4"/>
              <w:spacing w:line="270" w:lineRule="exact"/>
              <w:ind w:firstLine="0" w:firstLineChars="0"/>
              <w:jc w:val="center"/>
              <w:rPr>
                <w:rFonts w:hint="default" w:ascii="Times New Roman" w:hAnsi="Times New Roman" w:cs="Times New Roman"/>
                <w:b/>
                <w:bCs/>
                <w:color w:val="auto"/>
                <w:sz w:val="21"/>
                <w:szCs w:val="21"/>
                <w:highlight w:val="none"/>
              </w:rPr>
            </w:pPr>
          </w:p>
        </w:tc>
        <w:tc>
          <w:tcPr>
            <w:tcW w:w="610" w:type="dxa"/>
            <w:vMerge w:val="continue"/>
            <w:vAlign w:val="center"/>
          </w:tcPr>
          <w:p w14:paraId="5A75FB34">
            <w:pPr>
              <w:pStyle w:val="4"/>
              <w:spacing w:line="270" w:lineRule="exact"/>
              <w:ind w:firstLine="0" w:firstLineChars="0"/>
              <w:jc w:val="center"/>
              <w:rPr>
                <w:rFonts w:hint="default" w:ascii="Times New Roman" w:hAnsi="Times New Roman" w:cs="Times New Roman"/>
                <w:b/>
                <w:bCs/>
                <w:color w:val="auto"/>
                <w:sz w:val="21"/>
                <w:szCs w:val="21"/>
                <w:highlight w:val="none"/>
              </w:rPr>
            </w:pPr>
          </w:p>
        </w:tc>
        <w:tc>
          <w:tcPr>
            <w:tcW w:w="653" w:type="dxa"/>
            <w:vMerge w:val="continue"/>
            <w:vAlign w:val="center"/>
          </w:tcPr>
          <w:p w14:paraId="23069469">
            <w:pPr>
              <w:pStyle w:val="4"/>
              <w:spacing w:line="270" w:lineRule="exact"/>
              <w:ind w:firstLine="0" w:firstLineChars="0"/>
              <w:jc w:val="center"/>
              <w:rPr>
                <w:rFonts w:hint="default" w:ascii="Times New Roman" w:hAnsi="Times New Roman" w:cs="Times New Roman"/>
                <w:b/>
                <w:bCs/>
                <w:color w:val="auto"/>
                <w:sz w:val="21"/>
                <w:szCs w:val="21"/>
                <w:highlight w:val="none"/>
              </w:rPr>
            </w:pPr>
          </w:p>
        </w:tc>
        <w:tc>
          <w:tcPr>
            <w:tcW w:w="643" w:type="dxa"/>
            <w:vMerge w:val="continue"/>
            <w:vAlign w:val="center"/>
          </w:tcPr>
          <w:p w14:paraId="73E5B668">
            <w:pPr>
              <w:pStyle w:val="4"/>
              <w:spacing w:line="270" w:lineRule="exact"/>
              <w:ind w:firstLine="0" w:firstLineChars="0"/>
              <w:jc w:val="center"/>
              <w:rPr>
                <w:rFonts w:hint="default" w:ascii="Times New Roman" w:hAnsi="Times New Roman" w:cs="Times New Roman"/>
                <w:b/>
                <w:bCs/>
                <w:color w:val="auto"/>
                <w:sz w:val="21"/>
                <w:szCs w:val="21"/>
                <w:highlight w:val="none"/>
              </w:rPr>
            </w:pPr>
          </w:p>
        </w:tc>
        <w:tc>
          <w:tcPr>
            <w:tcW w:w="894" w:type="dxa"/>
            <w:vMerge w:val="continue"/>
            <w:vAlign w:val="center"/>
          </w:tcPr>
          <w:p w14:paraId="10001905">
            <w:pPr>
              <w:pStyle w:val="4"/>
              <w:spacing w:line="270" w:lineRule="exact"/>
              <w:ind w:firstLine="0" w:firstLineChars="0"/>
              <w:jc w:val="center"/>
              <w:rPr>
                <w:rFonts w:hint="default" w:ascii="Times New Roman" w:hAnsi="Times New Roman" w:cs="Times New Roman"/>
                <w:b/>
                <w:bCs/>
                <w:color w:val="auto"/>
                <w:sz w:val="21"/>
                <w:szCs w:val="21"/>
                <w:highlight w:val="none"/>
              </w:rPr>
            </w:pPr>
          </w:p>
        </w:tc>
        <w:tc>
          <w:tcPr>
            <w:tcW w:w="779" w:type="dxa"/>
            <w:vMerge w:val="continue"/>
            <w:vAlign w:val="center"/>
          </w:tcPr>
          <w:p w14:paraId="2E4C2D93">
            <w:pPr>
              <w:pStyle w:val="4"/>
              <w:spacing w:line="270" w:lineRule="exact"/>
              <w:ind w:firstLine="0" w:firstLineChars="0"/>
              <w:jc w:val="center"/>
              <w:rPr>
                <w:rFonts w:hint="default" w:ascii="Times New Roman" w:hAnsi="Times New Roman" w:cs="Times New Roman"/>
                <w:b/>
                <w:bCs/>
                <w:color w:val="auto"/>
                <w:sz w:val="21"/>
                <w:szCs w:val="21"/>
                <w:highlight w:val="none"/>
              </w:rPr>
            </w:pPr>
          </w:p>
        </w:tc>
        <w:tc>
          <w:tcPr>
            <w:tcW w:w="670" w:type="dxa"/>
            <w:vAlign w:val="center"/>
          </w:tcPr>
          <w:p w14:paraId="1F0B899E">
            <w:pPr>
              <w:pStyle w:val="4"/>
              <w:spacing w:line="270" w:lineRule="exact"/>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处理效率</w:t>
            </w:r>
          </w:p>
          <w:p w14:paraId="2D0C2128">
            <w:pPr>
              <w:pStyle w:val="4"/>
              <w:spacing w:line="270" w:lineRule="exact"/>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w:t>
            </w:r>
          </w:p>
        </w:tc>
        <w:tc>
          <w:tcPr>
            <w:tcW w:w="670" w:type="dxa"/>
            <w:vAlign w:val="center"/>
          </w:tcPr>
          <w:p w14:paraId="74EC8DD4">
            <w:pPr>
              <w:pStyle w:val="4"/>
              <w:spacing w:line="270" w:lineRule="exact"/>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排放标准mg/m</w:t>
            </w:r>
            <w:r>
              <w:rPr>
                <w:rFonts w:hint="default" w:ascii="Times New Roman" w:hAnsi="Times New Roman" w:cs="Times New Roman"/>
                <w:b/>
                <w:bCs/>
                <w:color w:val="auto"/>
                <w:sz w:val="21"/>
                <w:szCs w:val="21"/>
                <w:highlight w:val="none"/>
                <w:vertAlign w:val="superscript"/>
              </w:rPr>
              <w:t>3</w:t>
            </w:r>
          </w:p>
        </w:tc>
        <w:tc>
          <w:tcPr>
            <w:tcW w:w="1922" w:type="dxa"/>
            <w:vAlign w:val="center"/>
          </w:tcPr>
          <w:p w14:paraId="70EE1596">
            <w:pPr>
              <w:pStyle w:val="4"/>
              <w:spacing w:line="270" w:lineRule="exact"/>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标准来源</w:t>
            </w:r>
          </w:p>
        </w:tc>
        <w:tc>
          <w:tcPr>
            <w:tcW w:w="625" w:type="dxa"/>
            <w:vMerge w:val="continue"/>
            <w:vAlign w:val="center"/>
          </w:tcPr>
          <w:p w14:paraId="06CF80BA">
            <w:pPr>
              <w:pStyle w:val="4"/>
              <w:spacing w:line="270" w:lineRule="exact"/>
              <w:ind w:firstLine="0" w:firstLineChars="0"/>
              <w:jc w:val="center"/>
              <w:rPr>
                <w:rFonts w:hint="default" w:ascii="Times New Roman" w:hAnsi="Times New Roman" w:cs="Times New Roman"/>
                <w:b/>
                <w:bCs/>
                <w:color w:val="auto"/>
                <w:sz w:val="21"/>
                <w:szCs w:val="21"/>
                <w:highlight w:val="none"/>
              </w:rPr>
            </w:pPr>
          </w:p>
        </w:tc>
      </w:tr>
      <w:tr w14:paraId="51569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2" w:hRule="atLeast"/>
          <w:jc w:val="center"/>
        </w:trPr>
        <w:tc>
          <w:tcPr>
            <w:tcW w:w="645" w:type="dxa"/>
            <w:vMerge w:val="restart"/>
            <w:vAlign w:val="center"/>
          </w:tcPr>
          <w:p w14:paraId="1B3D7955">
            <w:pPr>
              <w:pStyle w:val="4"/>
              <w:spacing w:line="270" w:lineRule="exact"/>
              <w:ind w:firstLine="0" w:firstLine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注塑</w:t>
            </w:r>
          </w:p>
        </w:tc>
        <w:tc>
          <w:tcPr>
            <w:tcW w:w="528" w:type="dxa"/>
            <w:vMerge w:val="restart"/>
            <w:vAlign w:val="center"/>
          </w:tcPr>
          <w:p w14:paraId="5F0FD249">
            <w:pPr>
              <w:pStyle w:val="4"/>
              <w:spacing w:line="27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非甲烷总烃</w:t>
            </w:r>
          </w:p>
        </w:tc>
        <w:tc>
          <w:tcPr>
            <w:tcW w:w="539" w:type="dxa"/>
            <w:vMerge w:val="restart"/>
            <w:vAlign w:val="center"/>
          </w:tcPr>
          <w:p w14:paraId="14D7C65B">
            <w:pPr>
              <w:pStyle w:val="4"/>
              <w:spacing w:line="270" w:lineRule="exact"/>
              <w:ind w:firstLine="0" w:firstLineChars="0"/>
              <w:jc w:val="center"/>
              <w:rPr>
                <w:rFonts w:hint="default" w:ascii="Times New Roman" w:hAnsi="Times New Roman" w:eastAsia="宋体"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1.35</w:t>
            </w:r>
          </w:p>
        </w:tc>
        <w:tc>
          <w:tcPr>
            <w:tcW w:w="609" w:type="dxa"/>
            <w:vMerge w:val="restart"/>
            <w:vAlign w:val="center"/>
          </w:tcPr>
          <w:p w14:paraId="18F94BF7">
            <w:pPr>
              <w:pStyle w:val="4"/>
              <w:spacing w:line="270" w:lineRule="exact"/>
              <w:ind w:firstLine="0" w:firstLineChars="0"/>
              <w:jc w:val="center"/>
              <w:rPr>
                <w:rFonts w:hint="default"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0.56</w:t>
            </w:r>
          </w:p>
        </w:tc>
        <w:tc>
          <w:tcPr>
            <w:tcW w:w="609" w:type="dxa"/>
            <w:vMerge w:val="restart"/>
            <w:vAlign w:val="center"/>
          </w:tcPr>
          <w:p w14:paraId="5A9857FA">
            <w:pPr>
              <w:pStyle w:val="4"/>
              <w:spacing w:line="27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系数法</w:t>
            </w:r>
          </w:p>
        </w:tc>
        <w:tc>
          <w:tcPr>
            <w:tcW w:w="563" w:type="dxa"/>
            <w:vAlign w:val="center"/>
          </w:tcPr>
          <w:p w14:paraId="1B2F7472">
            <w:pPr>
              <w:pStyle w:val="4"/>
              <w:spacing w:line="27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有组织</w:t>
            </w:r>
          </w:p>
        </w:tc>
        <w:tc>
          <w:tcPr>
            <w:tcW w:w="738" w:type="dxa"/>
            <w:vAlign w:val="center"/>
          </w:tcPr>
          <w:p w14:paraId="2BDC572B">
            <w:pPr>
              <w:pStyle w:val="4"/>
              <w:spacing w:line="27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FF0000"/>
                <w:sz w:val="21"/>
                <w:szCs w:val="21"/>
                <w:highlight w:val="none"/>
                <w:lang w:val="en-US" w:eastAsia="zh-CN"/>
              </w:rPr>
              <w:t>37.5</w:t>
            </w:r>
          </w:p>
        </w:tc>
        <w:tc>
          <w:tcPr>
            <w:tcW w:w="1653" w:type="dxa"/>
            <w:vAlign w:val="center"/>
          </w:tcPr>
          <w:p w14:paraId="6550A6DE">
            <w:pPr>
              <w:pStyle w:val="4"/>
              <w:spacing w:line="27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eastAsia="zh-CN"/>
              </w:rPr>
              <w:t>集气罩+二级活性炭装置+15m排气筒</w:t>
            </w:r>
            <w:r>
              <w:rPr>
                <w:rFonts w:hint="default" w:ascii="Times New Roman" w:hAnsi="Times New Roman" w:cs="Times New Roman"/>
                <w:color w:val="auto"/>
                <w:sz w:val="21"/>
                <w:szCs w:val="21"/>
                <w:highlight w:val="none"/>
                <w:lang w:val="en-US" w:eastAsia="zh-CN"/>
              </w:rPr>
              <w:t>DA001</w:t>
            </w:r>
          </w:p>
        </w:tc>
        <w:tc>
          <w:tcPr>
            <w:tcW w:w="619" w:type="dxa"/>
            <w:vAlign w:val="center"/>
          </w:tcPr>
          <w:p w14:paraId="57522C48">
            <w:pPr>
              <w:pStyle w:val="4"/>
              <w:spacing w:line="270" w:lineRule="exact"/>
              <w:ind w:firstLine="0" w:firstLineChars="0"/>
              <w:jc w:val="center"/>
              <w:rPr>
                <w:rFonts w:hint="default" w:ascii="Times New Roman" w:hAnsi="Times New Roman" w:cs="Times New Roman"/>
                <w:color w:val="auto"/>
                <w:sz w:val="21"/>
                <w:szCs w:val="21"/>
                <w:highlight w:val="none"/>
                <w:lang w:val="en-US"/>
              </w:rPr>
            </w:pPr>
            <w:r>
              <w:rPr>
                <w:rFonts w:hint="eastAsia" w:ascii="Times New Roman" w:hAnsi="Times New Roman" w:cs="Times New Roman"/>
                <w:color w:val="auto"/>
                <w:sz w:val="21"/>
                <w:szCs w:val="21"/>
                <w:highlight w:val="none"/>
                <w:lang w:val="en-US" w:eastAsia="zh-CN"/>
              </w:rPr>
              <w:t>15000</w:t>
            </w:r>
          </w:p>
        </w:tc>
        <w:tc>
          <w:tcPr>
            <w:tcW w:w="758" w:type="dxa"/>
            <w:vAlign w:val="center"/>
          </w:tcPr>
          <w:p w14:paraId="354B972A">
            <w:pPr>
              <w:spacing w:line="270" w:lineRule="exact"/>
              <w:jc w:val="center"/>
              <w:rPr>
                <w:rFonts w:hint="default" w:ascii="Times New Roman" w:hAnsi="Times New Roman" w:cs="Times New Roman"/>
                <w:color w:val="auto"/>
                <w:sz w:val="21"/>
                <w:szCs w:val="21"/>
                <w:highlight w:val="none"/>
                <w:lang w:val="en-US"/>
              </w:rPr>
            </w:pPr>
            <w:r>
              <w:rPr>
                <w:rFonts w:hint="eastAsia" w:ascii="Times New Roman" w:hAnsi="Times New Roman" w:cs="Times New Roman"/>
                <w:color w:val="auto"/>
                <w:sz w:val="21"/>
                <w:szCs w:val="21"/>
                <w:highlight w:val="none"/>
                <w:lang w:val="en-US" w:eastAsia="zh-CN"/>
              </w:rPr>
              <w:t>70</w:t>
            </w:r>
          </w:p>
        </w:tc>
        <w:tc>
          <w:tcPr>
            <w:tcW w:w="729" w:type="dxa"/>
            <w:vAlign w:val="center"/>
          </w:tcPr>
          <w:p w14:paraId="16BE58D6">
            <w:pPr>
              <w:pStyle w:val="4"/>
              <w:spacing w:line="270" w:lineRule="exact"/>
              <w:ind w:firstLine="0" w:firstLineChars="0"/>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rPr>
              <w:t>9</w:t>
            </w:r>
            <w:r>
              <w:rPr>
                <w:rFonts w:hint="eastAsia" w:ascii="Times New Roman" w:hAnsi="Times New Roman" w:cs="Times New Roman"/>
                <w:color w:val="auto"/>
                <w:sz w:val="21"/>
                <w:szCs w:val="21"/>
                <w:highlight w:val="none"/>
                <w:lang w:val="en-US" w:eastAsia="zh-CN"/>
              </w:rPr>
              <w:t>1</w:t>
            </w:r>
          </w:p>
        </w:tc>
        <w:tc>
          <w:tcPr>
            <w:tcW w:w="610" w:type="dxa"/>
            <w:vMerge w:val="restart"/>
            <w:vAlign w:val="center"/>
          </w:tcPr>
          <w:p w14:paraId="1F06E9D8">
            <w:pPr>
              <w:pStyle w:val="4"/>
              <w:spacing w:line="27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2400</w:t>
            </w:r>
          </w:p>
        </w:tc>
        <w:tc>
          <w:tcPr>
            <w:tcW w:w="653" w:type="dxa"/>
            <w:vMerge w:val="restart"/>
            <w:vAlign w:val="center"/>
          </w:tcPr>
          <w:p w14:paraId="3E5E4D9B">
            <w:pPr>
              <w:pStyle w:val="4"/>
              <w:spacing w:line="27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是</w:t>
            </w:r>
          </w:p>
        </w:tc>
        <w:tc>
          <w:tcPr>
            <w:tcW w:w="643" w:type="dxa"/>
            <w:vAlign w:val="center"/>
          </w:tcPr>
          <w:p w14:paraId="20F05B06">
            <w:pPr>
              <w:pStyle w:val="4"/>
              <w:spacing w:line="27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0.09</w:t>
            </w:r>
          </w:p>
        </w:tc>
        <w:tc>
          <w:tcPr>
            <w:tcW w:w="894" w:type="dxa"/>
            <w:vAlign w:val="center"/>
          </w:tcPr>
          <w:p w14:paraId="5A41C92F">
            <w:pPr>
              <w:pStyle w:val="4"/>
              <w:spacing w:line="27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0.04</w:t>
            </w:r>
          </w:p>
        </w:tc>
        <w:tc>
          <w:tcPr>
            <w:tcW w:w="779" w:type="dxa"/>
            <w:vAlign w:val="center"/>
          </w:tcPr>
          <w:p w14:paraId="63859030">
            <w:pPr>
              <w:pStyle w:val="4"/>
              <w:spacing w:line="27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2.5</w:t>
            </w:r>
          </w:p>
        </w:tc>
        <w:tc>
          <w:tcPr>
            <w:tcW w:w="670" w:type="dxa"/>
            <w:vAlign w:val="center"/>
          </w:tcPr>
          <w:p w14:paraId="5445BBF7">
            <w:pPr>
              <w:pStyle w:val="4"/>
              <w:spacing w:line="27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90</w:t>
            </w:r>
          </w:p>
        </w:tc>
        <w:tc>
          <w:tcPr>
            <w:tcW w:w="670" w:type="dxa"/>
            <w:vAlign w:val="center"/>
          </w:tcPr>
          <w:p w14:paraId="4579285B">
            <w:pPr>
              <w:pStyle w:val="4"/>
              <w:spacing w:line="27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60</w:t>
            </w:r>
          </w:p>
        </w:tc>
        <w:tc>
          <w:tcPr>
            <w:tcW w:w="1922" w:type="dxa"/>
            <w:vAlign w:val="center"/>
          </w:tcPr>
          <w:p w14:paraId="660E77A9">
            <w:pPr>
              <w:pStyle w:val="4"/>
              <w:spacing w:line="270" w:lineRule="exact"/>
              <w:ind w:firstLine="0" w:firstLineChars="0"/>
              <w:jc w:val="center"/>
              <w:rPr>
                <w:rFonts w:hint="default"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《合成树脂工业污染物排放标准》(GB31572-2015)及修改单</w:t>
            </w:r>
            <w:r>
              <w:rPr>
                <w:rFonts w:hint="default" w:ascii="Times New Roman" w:hAnsi="Times New Roman" w:cs="Times New Roman"/>
                <w:color w:val="auto"/>
                <w:sz w:val="21"/>
                <w:szCs w:val="21"/>
                <w:highlight w:val="none"/>
              </w:rPr>
              <w:t>表5大气污染物特别排放限值</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《工业企业挥发性有机物排放控制标准》（DB13/2322-2016）表1有机化工行业去除效率标准</w:t>
            </w:r>
          </w:p>
        </w:tc>
        <w:tc>
          <w:tcPr>
            <w:tcW w:w="625" w:type="dxa"/>
            <w:vAlign w:val="center"/>
          </w:tcPr>
          <w:p w14:paraId="7DA7AC09">
            <w:pPr>
              <w:pStyle w:val="4"/>
              <w:spacing w:line="270" w:lineRule="exact"/>
              <w:ind w:firstLine="0" w:firstLineChars="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是</w:t>
            </w:r>
          </w:p>
        </w:tc>
      </w:tr>
      <w:tr w14:paraId="0FFFA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2" w:hRule="atLeast"/>
          <w:jc w:val="center"/>
        </w:trPr>
        <w:tc>
          <w:tcPr>
            <w:tcW w:w="645" w:type="dxa"/>
            <w:vMerge w:val="continue"/>
            <w:vAlign w:val="center"/>
          </w:tcPr>
          <w:p w14:paraId="269A0B85">
            <w:pPr>
              <w:pStyle w:val="4"/>
              <w:spacing w:line="270" w:lineRule="exact"/>
              <w:ind w:firstLine="0" w:firstLineChars="0"/>
              <w:jc w:val="center"/>
              <w:rPr>
                <w:rFonts w:hint="default" w:ascii="Times New Roman" w:hAnsi="Times New Roman" w:cs="Times New Roman"/>
                <w:color w:val="auto"/>
                <w:sz w:val="21"/>
                <w:szCs w:val="21"/>
                <w:highlight w:val="none"/>
              </w:rPr>
            </w:pPr>
          </w:p>
        </w:tc>
        <w:tc>
          <w:tcPr>
            <w:tcW w:w="528" w:type="dxa"/>
            <w:vMerge w:val="continue"/>
            <w:vAlign w:val="center"/>
          </w:tcPr>
          <w:p w14:paraId="44FAE3E9">
            <w:pPr>
              <w:pStyle w:val="4"/>
              <w:spacing w:line="270" w:lineRule="exact"/>
              <w:ind w:firstLine="0" w:firstLineChars="0"/>
              <w:jc w:val="center"/>
              <w:rPr>
                <w:rFonts w:hint="default" w:ascii="Times New Roman" w:hAnsi="Times New Roman" w:cs="Times New Roman"/>
                <w:color w:val="auto"/>
                <w:sz w:val="21"/>
                <w:szCs w:val="21"/>
                <w:highlight w:val="none"/>
              </w:rPr>
            </w:pPr>
          </w:p>
        </w:tc>
        <w:tc>
          <w:tcPr>
            <w:tcW w:w="539" w:type="dxa"/>
            <w:vMerge w:val="continue"/>
            <w:vAlign w:val="center"/>
          </w:tcPr>
          <w:p w14:paraId="14394FE6">
            <w:pPr>
              <w:pStyle w:val="4"/>
              <w:spacing w:line="270" w:lineRule="exact"/>
              <w:ind w:firstLine="0" w:firstLineChars="0"/>
              <w:jc w:val="center"/>
              <w:rPr>
                <w:rFonts w:hint="default" w:ascii="Times New Roman" w:hAnsi="Times New Roman" w:cs="Times New Roman"/>
                <w:color w:val="auto"/>
                <w:sz w:val="21"/>
                <w:szCs w:val="21"/>
                <w:highlight w:val="none"/>
                <w:lang w:val="en-US" w:eastAsia="zh-CN"/>
              </w:rPr>
            </w:pPr>
          </w:p>
        </w:tc>
        <w:tc>
          <w:tcPr>
            <w:tcW w:w="609" w:type="dxa"/>
            <w:vMerge w:val="continue"/>
            <w:vAlign w:val="center"/>
          </w:tcPr>
          <w:p w14:paraId="02D59490">
            <w:pPr>
              <w:pStyle w:val="4"/>
              <w:spacing w:line="270" w:lineRule="exact"/>
              <w:ind w:firstLine="0" w:firstLineChars="0"/>
              <w:jc w:val="center"/>
              <w:rPr>
                <w:rFonts w:hint="default" w:ascii="Times New Roman" w:hAnsi="Times New Roman" w:cs="Times New Roman"/>
                <w:color w:val="auto"/>
                <w:sz w:val="21"/>
                <w:szCs w:val="21"/>
                <w:highlight w:val="none"/>
                <w:lang w:val="en-US" w:eastAsia="zh-CN"/>
              </w:rPr>
            </w:pPr>
          </w:p>
        </w:tc>
        <w:tc>
          <w:tcPr>
            <w:tcW w:w="609" w:type="dxa"/>
            <w:vMerge w:val="continue"/>
            <w:vAlign w:val="center"/>
          </w:tcPr>
          <w:p w14:paraId="0465C128">
            <w:pPr>
              <w:pStyle w:val="4"/>
              <w:spacing w:line="270" w:lineRule="exact"/>
              <w:ind w:firstLine="0" w:firstLineChars="0"/>
              <w:jc w:val="center"/>
              <w:rPr>
                <w:rFonts w:hint="default" w:ascii="Times New Roman" w:hAnsi="Times New Roman" w:cs="Times New Roman"/>
                <w:color w:val="auto"/>
                <w:sz w:val="21"/>
                <w:szCs w:val="21"/>
                <w:highlight w:val="none"/>
              </w:rPr>
            </w:pPr>
          </w:p>
        </w:tc>
        <w:tc>
          <w:tcPr>
            <w:tcW w:w="563" w:type="dxa"/>
            <w:vMerge w:val="restart"/>
            <w:vAlign w:val="center"/>
          </w:tcPr>
          <w:p w14:paraId="7E46FB8C">
            <w:pPr>
              <w:pStyle w:val="4"/>
              <w:spacing w:line="270" w:lineRule="exact"/>
              <w:ind w:firstLine="0" w:firstLineChars="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无组织</w:t>
            </w:r>
          </w:p>
        </w:tc>
        <w:tc>
          <w:tcPr>
            <w:tcW w:w="738" w:type="dxa"/>
            <w:vMerge w:val="restart"/>
            <w:vAlign w:val="center"/>
          </w:tcPr>
          <w:p w14:paraId="7F24342B">
            <w:pPr>
              <w:pStyle w:val="4"/>
              <w:spacing w:line="270" w:lineRule="exact"/>
              <w:ind w:firstLine="0" w:firstLine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1653" w:type="dxa"/>
            <w:vMerge w:val="restart"/>
            <w:vAlign w:val="center"/>
          </w:tcPr>
          <w:p w14:paraId="001AF00E">
            <w:pPr>
              <w:pStyle w:val="4"/>
              <w:spacing w:line="270" w:lineRule="exact"/>
              <w:ind w:firstLine="0" w:firstLineChars="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封闭车间</w:t>
            </w:r>
          </w:p>
        </w:tc>
        <w:tc>
          <w:tcPr>
            <w:tcW w:w="619" w:type="dxa"/>
            <w:vMerge w:val="restart"/>
            <w:vAlign w:val="center"/>
          </w:tcPr>
          <w:p w14:paraId="55C9FFBB">
            <w:pPr>
              <w:pStyle w:val="4"/>
              <w:spacing w:line="270" w:lineRule="exact"/>
              <w:ind w:firstLine="0" w:firstLine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758" w:type="dxa"/>
            <w:vMerge w:val="restart"/>
            <w:vAlign w:val="center"/>
          </w:tcPr>
          <w:p w14:paraId="5C9BC0F7">
            <w:pPr>
              <w:spacing w:line="270" w:lineRule="exact"/>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729" w:type="dxa"/>
            <w:vMerge w:val="restart"/>
            <w:vAlign w:val="center"/>
          </w:tcPr>
          <w:p w14:paraId="1D125834">
            <w:pPr>
              <w:pStyle w:val="4"/>
              <w:spacing w:line="27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610" w:type="dxa"/>
            <w:vMerge w:val="continue"/>
            <w:vAlign w:val="center"/>
          </w:tcPr>
          <w:p w14:paraId="4A9787AA">
            <w:pPr>
              <w:pStyle w:val="4"/>
              <w:spacing w:line="270" w:lineRule="exact"/>
              <w:ind w:firstLine="0" w:firstLineChars="0"/>
              <w:jc w:val="center"/>
              <w:rPr>
                <w:rFonts w:hint="default" w:ascii="Times New Roman" w:hAnsi="Times New Roman" w:cs="Times New Roman"/>
                <w:color w:val="auto"/>
                <w:sz w:val="21"/>
                <w:szCs w:val="21"/>
                <w:highlight w:val="none"/>
                <w:lang w:val="en-US" w:eastAsia="zh-CN"/>
              </w:rPr>
            </w:pPr>
          </w:p>
        </w:tc>
        <w:tc>
          <w:tcPr>
            <w:tcW w:w="653" w:type="dxa"/>
            <w:vMerge w:val="continue"/>
            <w:vAlign w:val="center"/>
          </w:tcPr>
          <w:p w14:paraId="27BC5E7C">
            <w:pPr>
              <w:pStyle w:val="4"/>
              <w:spacing w:line="270" w:lineRule="exact"/>
              <w:ind w:firstLine="0" w:firstLineChars="0"/>
              <w:jc w:val="center"/>
              <w:rPr>
                <w:rFonts w:hint="default" w:ascii="Times New Roman" w:hAnsi="Times New Roman" w:cs="Times New Roman"/>
                <w:color w:val="auto"/>
                <w:sz w:val="21"/>
                <w:szCs w:val="21"/>
                <w:highlight w:val="none"/>
              </w:rPr>
            </w:pPr>
          </w:p>
        </w:tc>
        <w:tc>
          <w:tcPr>
            <w:tcW w:w="643" w:type="dxa"/>
            <w:vMerge w:val="restart"/>
            <w:vAlign w:val="center"/>
          </w:tcPr>
          <w:p w14:paraId="675980DF">
            <w:pPr>
              <w:pStyle w:val="4"/>
              <w:spacing w:line="270" w:lineRule="exact"/>
              <w:ind w:firstLine="0" w:firstLineChars="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0.405</w:t>
            </w:r>
          </w:p>
        </w:tc>
        <w:tc>
          <w:tcPr>
            <w:tcW w:w="894" w:type="dxa"/>
            <w:vMerge w:val="restart"/>
            <w:vAlign w:val="center"/>
          </w:tcPr>
          <w:p w14:paraId="3822AE95">
            <w:pPr>
              <w:pStyle w:val="4"/>
              <w:spacing w:line="270" w:lineRule="exact"/>
              <w:ind w:firstLine="0" w:firstLineChars="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0.17</w:t>
            </w:r>
          </w:p>
        </w:tc>
        <w:tc>
          <w:tcPr>
            <w:tcW w:w="779" w:type="dxa"/>
            <w:vMerge w:val="restart"/>
            <w:vAlign w:val="center"/>
          </w:tcPr>
          <w:p w14:paraId="7BD65D2E">
            <w:pPr>
              <w:pStyle w:val="4"/>
              <w:spacing w:line="270" w:lineRule="exact"/>
              <w:ind w:firstLine="0" w:firstLine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670" w:type="dxa"/>
            <w:vMerge w:val="restart"/>
            <w:vAlign w:val="center"/>
          </w:tcPr>
          <w:p w14:paraId="0F6EFFD6">
            <w:pPr>
              <w:pStyle w:val="4"/>
              <w:spacing w:line="270" w:lineRule="exact"/>
              <w:ind w:firstLine="0" w:firstLine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670" w:type="dxa"/>
            <w:vAlign w:val="center"/>
          </w:tcPr>
          <w:p w14:paraId="7F8F1A03">
            <w:pPr>
              <w:pStyle w:val="4"/>
              <w:spacing w:line="270" w:lineRule="exact"/>
              <w:ind w:firstLine="0" w:firstLine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2.0</w:t>
            </w:r>
          </w:p>
        </w:tc>
        <w:tc>
          <w:tcPr>
            <w:tcW w:w="1922" w:type="dxa"/>
            <w:vAlign w:val="center"/>
          </w:tcPr>
          <w:p w14:paraId="1E104792">
            <w:pPr>
              <w:pStyle w:val="4"/>
              <w:spacing w:line="27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bCs/>
                <w:color w:val="auto"/>
                <w:sz w:val="21"/>
                <w:szCs w:val="21"/>
                <w:highlight w:val="none"/>
              </w:rPr>
              <w:t>《工业企业挥发性有机物排放控制标准》（DB13/2322-2016）</w:t>
            </w:r>
            <w:r>
              <w:rPr>
                <w:rFonts w:hint="default" w:ascii="Times New Roman" w:hAnsi="Times New Roman" w:eastAsia="宋体" w:cs="Times New Roman"/>
                <w:color w:val="auto"/>
                <w:sz w:val="21"/>
                <w:szCs w:val="21"/>
                <w:highlight w:val="none"/>
              </w:rPr>
              <w:t>表2其他企业标准限值</w:t>
            </w:r>
          </w:p>
        </w:tc>
        <w:tc>
          <w:tcPr>
            <w:tcW w:w="625" w:type="dxa"/>
            <w:vMerge w:val="restart"/>
            <w:vAlign w:val="center"/>
          </w:tcPr>
          <w:p w14:paraId="7C47951A">
            <w:pPr>
              <w:spacing w:line="27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是</w:t>
            </w:r>
          </w:p>
        </w:tc>
      </w:tr>
      <w:tr w14:paraId="00AE8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2" w:hRule="atLeast"/>
          <w:jc w:val="center"/>
        </w:trPr>
        <w:tc>
          <w:tcPr>
            <w:tcW w:w="645" w:type="dxa"/>
            <w:vMerge w:val="continue"/>
            <w:vAlign w:val="center"/>
          </w:tcPr>
          <w:p w14:paraId="6EE6341C">
            <w:pPr>
              <w:pStyle w:val="4"/>
              <w:spacing w:line="270" w:lineRule="exact"/>
              <w:ind w:firstLine="0" w:firstLineChars="0"/>
              <w:jc w:val="center"/>
              <w:rPr>
                <w:rFonts w:hint="default" w:ascii="Times New Roman" w:hAnsi="Times New Roman" w:cs="Times New Roman"/>
                <w:color w:val="auto"/>
              </w:rPr>
            </w:pPr>
          </w:p>
        </w:tc>
        <w:tc>
          <w:tcPr>
            <w:tcW w:w="528" w:type="dxa"/>
            <w:vMerge w:val="continue"/>
            <w:vAlign w:val="center"/>
          </w:tcPr>
          <w:p w14:paraId="44F6FF3D">
            <w:pPr>
              <w:pStyle w:val="4"/>
              <w:spacing w:line="270" w:lineRule="exact"/>
              <w:ind w:firstLine="0" w:firstLineChars="0"/>
              <w:jc w:val="center"/>
              <w:rPr>
                <w:rFonts w:hint="default" w:ascii="Times New Roman" w:hAnsi="Times New Roman" w:cs="Times New Roman"/>
                <w:color w:val="auto"/>
              </w:rPr>
            </w:pPr>
          </w:p>
        </w:tc>
        <w:tc>
          <w:tcPr>
            <w:tcW w:w="539" w:type="dxa"/>
            <w:vMerge w:val="continue"/>
            <w:vAlign w:val="center"/>
          </w:tcPr>
          <w:p w14:paraId="52FEE25E">
            <w:pPr>
              <w:pStyle w:val="4"/>
              <w:spacing w:line="270" w:lineRule="exact"/>
              <w:ind w:firstLine="0" w:firstLineChars="0"/>
              <w:jc w:val="center"/>
              <w:rPr>
                <w:rFonts w:hint="default" w:ascii="Times New Roman" w:hAnsi="Times New Roman" w:cs="Times New Roman"/>
                <w:color w:val="auto"/>
              </w:rPr>
            </w:pPr>
          </w:p>
        </w:tc>
        <w:tc>
          <w:tcPr>
            <w:tcW w:w="609" w:type="dxa"/>
            <w:vMerge w:val="continue"/>
            <w:vAlign w:val="center"/>
          </w:tcPr>
          <w:p w14:paraId="0CEB6B93">
            <w:pPr>
              <w:pStyle w:val="4"/>
              <w:spacing w:line="270" w:lineRule="exact"/>
              <w:ind w:firstLine="0" w:firstLineChars="0"/>
              <w:jc w:val="center"/>
              <w:rPr>
                <w:rFonts w:hint="default" w:ascii="Times New Roman" w:hAnsi="Times New Roman" w:cs="Times New Roman"/>
                <w:color w:val="auto"/>
              </w:rPr>
            </w:pPr>
          </w:p>
        </w:tc>
        <w:tc>
          <w:tcPr>
            <w:tcW w:w="609" w:type="dxa"/>
            <w:vMerge w:val="continue"/>
            <w:vAlign w:val="center"/>
          </w:tcPr>
          <w:p w14:paraId="65F1241F">
            <w:pPr>
              <w:pStyle w:val="4"/>
              <w:spacing w:line="270" w:lineRule="exact"/>
              <w:ind w:firstLine="0" w:firstLineChars="0"/>
              <w:jc w:val="center"/>
              <w:rPr>
                <w:rFonts w:hint="default" w:ascii="Times New Roman" w:hAnsi="Times New Roman" w:cs="Times New Roman"/>
                <w:color w:val="auto"/>
              </w:rPr>
            </w:pPr>
          </w:p>
        </w:tc>
        <w:tc>
          <w:tcPr>
            <w:tcW w:w="563" w:type="dxa"/>
            <w:vMerge w:val="continue"/>
            <w:vAlign w:val="center"/>
          </w:tcPr>
          <w:p w14:paraId="6C6AFC37">
            <w:pPr>
              <w:pStyle w:val="4"/>
              <w:spacing w:line="270" w:lineRule="exact"/>
              <w:ind w:firstLine="0" w:firstLineChars="0"/>
              <w:jc w:val="center"/>
              <w:rPr>
                <w:rFonts w:hint="default" w:ascii="Times New Roman" w:hAnsi="Times New Roman" w:cs="Times New Roman"/>
                <w:color w:val="auto"/>
              </w:rPr>
            </w:pPr>
          </w:p>
        </w:tc>
        <w:tc>
          <w:tcPr>
            <w:tcW w:w="738" w:type="dxa"/>
            <w:vMerge w:val="continue"/>
            <w:vAlign w:val="center"/>
          </w:tcPr>
          <w:p w14:paraId="2E387F34">
            <w:pPr>
              <w:pStyle w:val="4"/>
              <w:spacing w:line="270" w:lineRule="exact"/>
              <w:ind w:firstLine="0" w:firstLineChars="0"/>
              <w:jc w:val="center"/>
              <w:rPr>
                <w:rFonts w:hint="default" w:ascii="Times New Roman" w:hAnsi="Times New Roman" w:cs="Times New Roman"/>
                <w:color w:val="auto"/>
              </w:rPr>
            </w:pPr>
          </w:p>
        </w:tc>
        <w:tc>
          <w:tcPr>
            <w:tcW w:w="1653" w:type="dxa"/>
            <w:vMerge w:val="continue"/>
            <w:vAlign w:val="center"/>
          </w:tcPr>
          <w:p w14:paraId="0287F1F7">
            <w:pPr>
              <w:pStyle w:val="4"/>
              <w:spacing w:line="270" w:lineRule="exact"/>
              <w:ind w:firstLine="0" w:firstLineChars="0"/>
              <w:jc w:val="center"/>
              <w:rPr>
                <w:rFonts w:hint="default" w:ascii="Times New Roman" w:hAnsi="Times New Roman" w:cs="Times New Roman"/>
                <w:color w:val="auto"/>
              </w:rPr>
            </w:pPr>
          </w:p>
        </w:tc>
        <w:tc>
          <w:tcPr>
            <w:tcW w:w="619" w:type="dxa"/>
            <w:vMerge w:val="continue"/>
            <w:vAlign w:val="center"/>
          </w:tcPr>
          <w:p w14:paraId="0CF1B236">
            <w:pPr>
              <w:pStyle w:val="4"/>
              <w:spacing w:line="270" w:lineRule="exact"/>
              <w:ind w:firstLine="0" w:firstLineChars="0"/>
              <w:jc w:val="center"/>
              <w:rPr>
                <w:rFonts w:hint="default" w:ascii="Times New Roman" w:hAnsi="Times New Roman" w:cs="Times New Roman"/>
                <w:color w:val="auto"/>
              </w:rPr>
            </w:pPr>
          </w:p>
        </w:tc>
        <w:tc>
          <w:tcPr>
            <w:tcW w:w="758" w:type="dxa"/>
            <w:vMerge w:val="continue"/>
            <w:vAlign w:val="center"/>
          </w:tcPr>
          <w:p w14:paraId="69B1A1C0">
            <w:pPr>
              <w:pStyle w:val="4"/>
              <w:spacing w:line="270" w:lineRule="exact"/>
              <w:ind w:firstLine="0" w:firstLineChars="0"/>
              <w:jc w:val="center"/>
              <w:rPr>
                <w:rFonts w:hint="default" w:ascii="Times New Roman" w:hAnsi="Times New Roman" w:cs="Times New Roman"/>
                <w:color w:val="auto"/>
              </w:rPr>
            </w:pPr>
          </w:p>
        </w:tc>
        <w:tc>
          <w:tcPr>
            <w:tcW w:w="729" w:type="dxa"/>
            <w:vMerge w:val="continue"/>
            <w:vAlign w:val="center"/>
          </w:tcPr>
          <w:p w14:paraId="1D8FBA17">
            <w:pPr>
              <w:pStyle w:val="4"/>
              <w:spacing w:line="270" w:lineRule="exact"/>
              <w:ind w:firstLine="0" w:firstLineChars="0"/>
              <w:jc w:val="center"/>
              <w:rPr>
                <w:rFonts w:hint="default" w:ascii="Times New Roman" w:hAnsi="Times New Roman" w:cs="Times New Roman"/>
                <w:color w:val="auto"/>
              </w:rPr>
            </w:pPr>
          </w:p>
        </w:tc>
        <w:tc>
          <w:tcPr>
            <w:tcW w:w="610" w:type="dxa"/>
            <w:vMerge w:val="continue"/>
            <w:vAlign w:val="center"/>
          </w:tcPr>
          <w:p w14:paraId="522A4B3A">
            <w:pPr>
              <w:pStyle w:val="4"/>
              <w:spacing w:line="270" w:lineRule="exact"/>
              <w:ind w:firstLine="0" w:firstLineChars="0"/>
              <w:jc w:val="center"/>
              <w:rPr>
                <w:rFonts w:hint="default" w:ascii="Times New Roman" w:hAnsi="Times New Roman" w:cs="Times New Roman"/>
                <w:color w:val="auto"/>
              </w:rPr>
            </w:pPr>
          </w:p>
        </w:tc>
        <w:tc>
          <w:tcPr>
            <w:tcW w:w="653" w:type="dxa"/>
            <w:vMerge w:val="continue"/>
            <w:vAlign w:val="center"/>
          </w:tcPr>
          <w:p w14:paraId="0BE65675">
            <w:pPr>
              <w:pStyle w:val="4"/>
              <w:spacing w:line="270" w:lineRule="exact"/>
              <w:ind w:firstLine="0" w:firstLineChars="0"/>
              <w:jc w:val="center"/>
              <w:rPr>
                <w:rFonts w:hint="default" w:ascii="Times New Roman" w:hAnsi="Times New Roman" w:cs="Times New Roman"/>
                <w:color w:val="auto"/>
              </w:rPr>
            </w:pPr>
          </w:p>
        </w:tc>
        <w:tc>
          <w:tcPr>
            <w:tcW w:w="643" w:type="dxa"/>
            <w:vMerge w:val="continue"/>
            <w:vAlign w:val="center"/>
          </w:tcPr>
          <w:p w14:paraId="7C60E2ED">
            <w:pPr>
              <w:pStyle w:val="4"/>
              <w:spacing w:line="270" w:lineRule="exact"/>
              <w:ind w:firstLine="0" w:firstLineChars="0"/>
              <w:jc w:val="center"/>
              <w:rPr>
                <w:rFonts w:hint="default" w:ascii="Times New Roman" w:hAnsi="Times New Roman" w:cs="Times New Roman"/>
                <w:color w:val="auto"/>
              </w:rPr>
            </w:pPr>
          </w:p>
        </w:tc>
        <w:tc>
          <w:tcPr>
            <w:tcW w:w="894" w:type="dxa"/>
            <w:vMerge w:val="continue"/>
            <w:vAlign w:val="center"/>
          </w:tcPr>
          <w:p w14:paraId="336389A0">
            <w:pPr>
              <w:pStyle w:val="4"/>
              <w:spacing w:line="270" w:lineRule="exact"/>
              <w:ind w:firstLine="0" w:firstLineChars="0"/>
              <w:jc w:val="center"/>
              <w:rPr>
                <w:rFonts w:hint="default" w:ascii="Times New Roman" w:hAnsi="Times New Roman" w:cs="Times New Roman"/>
                <w:color w:val="auto"/>
              </w:rPr>
            </w:pPr>
          </w:p>
        </w:tc>
        <w:tc>
          <w:tcPr>
            <w:tcW w:w="779" w:type="dxa"/>
            <w:vMerge w:val="continue"/>
            <w:vAlign w:val="center"/>
          </w:tcPr>
          <w:p w14:paraId="2235EC05">
            <w:pPr>
              <w:pStyle w:val="4"/>
              <w:spacing w:line="270" w:lineRule="exact"/>
              <w:ind w:firstLine="0" w:firstLineChars="0"/>
              <w:jc w:val="center"/>
              <w:rPr>
                <w:rFonts w:hint="default" w:ascii="Times New Roman" w:hAnsi="Times New Roman" w:cs="Times New Roman"/>
                <w:color w:val="auto"/>
              </w:rPr>
            </w:pPr>
          </w:p>
        </w:tc>
        <w:tc>
          <w:tcPr>
            <w:tcW w:w="670" w:type="dxa"/>
            <w:vMerge w:val="continue"/>
            <w:vAlign w:val="center"/>
          </w:tcPr>
          <w:p w14:paraId="2B022B6B">
            <w:pPr>
              <w:pStyle w:val="4"/>
              <w:spacing w:line="270" w:lineRule="exact"/>
              <w:ind w:firstLine="0" w:firstLineChars="0"/>
              <w:jc w:val="center"/>
              <w:rPr>
                <w:rFonts w:hint="default" w:ascii="Times New Roman" w:hAnsi="Times New Roman" w:cs="Times New Roman"/>
                <w:color w:val="auto"/>
              </w:rPr>
            </w:pPr>
          </w:p>
        </w:tc>
        <w:tc>
          <w:tcPr>
            <w:tcW w:w="670" w:type="dxa"/>
            <w:vAlign w:val="center"/>
          </w:tcPr>
          <w:p w14:paraId="06955DBB">
            <w:pPr>
              <w:pStyle w:val="4"/>
              <w:spacing w:line="27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6.0（厂区内任意一点1h平均浓度值）</w:t>
            </w:r>
          </w:p>
        </w:tc>
        <w:tc>
          <w:tcPr>
            <w:tcW w:w="1922" w:type="dxa"/>
            <w:vMerge w:val="restart"/>
            <w:vAlign w:val="center"/>
          </w:tcPr>
          <w:p w14:paraId="4A327DEE">
            <w:pPr>
              <w:pStyle w:val="4"/>
              <w:spacing w:line="27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《挥发性有机物无组织排放控制标准》（GB37822-2019）附录A.1标准</w:t>
            </w:r>
          </w:p>
        </w:tc>
        <w:tc>
          <w:tcPr>
            <w:tcW w:w="625" w:type="dxa"/>
            <w:vMerge w:val="continue"/>
            <w:vAlign w:val="center"/>
          </w:tcPr>
          <w:p w14:paraId="765A6116">
            <w:pPr>
              <w:pStyle w:val="4"/>
              <w:spacing w:line="270" w:lineRule="exact"/>
              <w:ind w:firstLine="0" w:firstLineChars="0"/>
              <w:jc w:val="center"/>
              <w:rPr>
                <w:rFonts w:hint="default" w:ascii="Times New Roman" w:hAnsi="Times New Roman" w:cs="Times New Roman"/>
                <w:color w:val="auto"/>
                <w:sz w:val="21"/>
                <w:szCs w:val="21"/>
                <w:highlight w:val="none"/>
                <w:lang w:val="en-US" w:eastAsia="zh-CN"/>
              </w:rPr>
            </w:pPr>
          </w:p>
        </w:tc>
      </w:tr>
      <w:tr w14:paraId="71430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2" w:hRule="atLeast"/>
          <w:jc w:val="center"/>
        </w:trPr>
        <w:tc>
          <w:tcPr>
            <w:tcW w:w="645" w:type="dxa"/>
            <w:vMerge w:val="continue"/>
            <w:vAlign w:val="center"/>
          </w:tcPr>
          <w:p w14:paraId="24F95F0F">
            <w:pPr>
              <w:pStyle w:val="4"/>
              <w:spacing w:line="270" w:lineRule="exact"/>
              <w:ind w:firstLine="0" w:firstLineChars="0"/>
              <w:jc w:val="center"/>
              <w:rPr>
                <w:rFonts w:hint="default" w:ascii="Times New Roman" w:hAnsi="Times New Roman" w:cs="Times New Roman"/>
                <w:color w:val="auto"/>
                <w:sz w:val="21"/>
                <w:szCs w:val="21"/>
                <w:highlight w:val="none"/>
                <w:lang w:val="en-US" w:eastAsia="zh-CN"/>
              </w:rPr>
            </w:pPr>
          </w:p>
        </w:tc>
        <w:tc>
          <w:tcPr>
            <w:tcW w:w="528" w:type="dxa"/>
            <w:vMerge w:val="continue"/>
            <w:vAlign w:val="center"/>
          </w:tcPr>
          <w:p w14:paraId="152DBE8D">
            <w:pPr>
              <w:pStyle w:val="4"/>
              <w:spacing w:line="270" w:lineRule="exact"/>
              <w:ind w:firstLine="0" w:firstLineChars="0"/>
              <w:jc w:val="center"/>
              <w:rPr>
                <w:rFonts w:hint="default" w:ascii="Times New Roman" w:hAnsi="Times New Roman" w:cs="Times New Roman"/>
                <w:color w:val="auto"/>
                <w:sz w:val="21"/>
                <w:szCs w:val="21"/>
                <w:highlight w:val="none"/>
                <w:lang w:val="en-US" w:eastAsia="zh-CN"/>
              </w:rPr>
            </w:pPr>
          </w:p>
        </w:tc>
        <w:tc>
          <w:tcPr>
            <w:tcW w:w="539" w:type="dxa"/>
            <w:vMerge w:val="continue"/>
            <w:vAlign w:val="center"/>
          </w:tcPr>
          <w:p w14:paraId="01C46501">
            <w:pPr>
              <w:pStyle w:val="4"/>
              <w:spacing w:line="270" w:lineRule="exact"/>
              <w:ind w:firstLine="0" w:firstLineChars="0"/>
              <w:jc w:val="center"/>
              <w:rPr>
                <w:rFonts w:hint="default" w:ascii="Times New Roman" w:hAnsi="Times New Roman" w:cs="Times New Roman"/>
                <w:color w:val="auto"/>
                <w:sz w:val="21"/>
                <w:szCs w:val="21"/>
                <w:highlight w:val="none"/>
                <w:lang w:val="en-US" w:eastAsia="zh-CN"/>
              </w:rPr>
            </w:pPr>
          </w:p>
        </w:tc>
        <w:tc>
          <w:tcPr>
            <w:tcW w:w="609" w:type="dxa"/>
            <w:vMerge w:val="continue"/>
            <w:vAlign w:val="center"/>
          </w:tcPr>
          <w:p w14:paraId="136EEDE5">
            <w:pPr>
              <w:pStyle w:val="4"/>
              <w:spacing w:line="270" w:lineRule="exact"/>
              <w:ind w:firstLine="0" w:firstLineChars="0"/>
              <w:jc w:val="center"/>
              <w:rPr>
                <w:rFonts w:hint="default" w:ascii="Times New Roman" w:hAnsi="Times New Roman" w:cs="Times New Roman"/>
                <w:color w:val="auto"/>
                <w:sz w:val="21"/>
                <w:szCs w:val="21"/>
                <w:highlight w:val="none"/>
                <w:lang w:val="en-US" w:eastAsia="zh-CN"/>
              </w:rPr>
            </w:pPr>
          </w:p>
        </w:tc>
        <w:tc>
          <w:tcPr>
            <w:tcW w:w="609" w:type="dxa"/>
            <w:vMerge w:val="continue"/>
            <w:vAlign w:val="center"/>
          </w:tcPr>
          <w:p w14:paraId="61B0ADF8">
            <w:pPr>
              <w:pStyle w:val="4"/>
              <w:spacing w:line="270" w:lineRule="exact"/>
              <w:ind w:firstLine="0" w:firstLineChars="0"/>
              <w:jc w:val="center"/>
              <w:rPr>
                <w:rFonts w:hint="default" w:ascii="Times New Roman" w:hAnsi="Times New Roman" w:cs="Times New Roman"/>
                <w:color w:val="auto"/>
                <w:sz w:val="21"/>
                <w:szCs w:val="21"/>
                <w:highlight w:val="none"/>
                <w:lang w:val="en-US" w:eastAsia="zh-CN"/>
              </w:rPr>
            </w:pPr>
          </w:p>
        </w:tc>
        <w:tc>
          <w:tcPr>
            <w:tcW w:w="563" w:type="dxa"/>
            <w:vMerge w:val="continue"/>
            <w:vAlign w:val="center"/>
          </w:tcPr>
          <w:p w14:paraId="7539F529">
            <w:pPr>
              <w:pStyle w:val="4"/>
              <w:spacing w:line="270" w:lineRule="exact"/>
              <w:ind w:firstLine="0" w:firstLineChars="0"/>
              <w:jc w:val="center"/>
              <w:rPr>
                <w:rFonts w:hint="default" w:ascii="Times New Roman" w:hAnsi="Times New Roman" w:cs="Times New Roman"/>
                <w:color w:val="auto"/>
                <w:sz w:val="21"/>
                <w:szCs w:val="21"/>
                <w:highlight w:val="none"/>
                <w:lang w:val="en-US" w:eastAsia="zh-CN"/>
              </w:rPr>
            </w:pPr>
          </w:p>
        </w:tc>
        <w:tc>
          <w:tcPr>
            <w:tcW w:w="738" w:type="dxa"/>
            <w:vMerge w:val="continue"/>
            <w:vAlign w:val="center"/>
          </w:tcPr>
          <w:p w14:paraId="453DFBE8">
            <w:pPr>
              <w:pStyle w:val="4"/>
              <w:spacing w:line="270" w:lineRule="exact"/>
              <w:ind w:firstLine="0" w:firstLineChars="0"/>
              <w:jc w:val="center"/>
              <w:rPr>
                <w:rFonts w:hint="default" w:ascii="Times New Roman" w:hAnsi="Times New Roman" w:cs="Times New Roman"/>
                <w:color w:val="auto"/>
                <w:sz w:val="21"/>
                <w:szCs w:val="21"/>
                <w:highlight w:val="none"/>
                <w:lang w:val="en-US" w:eastAsia="zh-CN"/>
              </w:rPr>
            </w:pPr>
          </w:p>
        </w:tc>
        <w:tc>
          <w:tcPr>
            <w:tcW w:w="1653" w:type="dxa"/>
            <w:vMerge w:val="continue"/>
            <w:vAlign w:val="center"/>
          </w:tcPr>
          <w:p w14:paraId="2DDFBA61">
            <w:pPr>
              <w:pStyle w:val="4"/>
              <w:spacing w:line="270" w:lineRule="exact"/>
              <w:ind w:firstLine="0" w:firstLineChars="0"/>
              <w:jc w:val="center"/>
              <w:rPr>
                <w:rFonts w:hint="default" w:ascii="Times New Roman" w:hAnsi="Times New Roman" w:cs="Times New Roman"/>
                <w:color w:val="auto"/>
                <w:sz w:val="21"/>
                <w:szCs w:val="21"/>
                <w:highlight w:val="none"/>
                <w:lang w:val="en-US" w:eastAsia="zh-CN"/>
              </w:rPr>
            </w:pPr>
          </w:p>
        </w:tc>
        <w:tc>
          <w:tcPr>
            <w:tcW w:w="619" w:type="dxa"/>
            <w:vMerge w:val="continue"/>
            <w:vAlign w:val="center"/>
          </w:tcPr>
          <w:p w14:paraId="2877482C">
            <w:pPr>
              <w:pStyle w:val="4"/>
              <w:spacing w:line="270" w:lineRule="exact"/>
              <w:ind w:firstLine="0" w:firstLineChars="0"/>
              <w:jc w:val="center"/>
              <w:rPr>
                <w:rFonts w:hint="default" w:ascii="Times New Roman" w:hAnsi="Times New Roman" w:cs="Times New Roman"/>
                <w:color w:val="auto"/>
                <w:sz w:val="21"/>
                <w:szCs w:val="21"/>
                <w:highlight w:val="none"/>
                <w:lang w:val="en-US" w:eastAsia="zh-CN"/>
              </w:rPr>
            </w:pPr>
          </w:p>
        </w:tc>
        <w:tc>
          <w:tcPr>
            <w:tcW w:w="758" w:type="dxa"/>
            <w:vMerge w:val="continue"/>
            <w:vAlign w:val="center"/>
          </w:tcPr>
          <w:p w14:paraId="219916C5">
            <w:pPr>
              <w:pStyle w:val="4"/>
              <w:spacing w:line="270" w:lineRule="exact"/>
              <w:ind w:firstLine="0" w:firstLineChars="0"/>
              <w:jc w:val="center"/>
              <w:rPr>
                <w:rFonts w:hint="default" w:ascii="Times New Roman" w:hAnsi="Times New Roman" w:cs="Times New Roman"/>
                <w:color w:val="auto"/>
                <w:sz w:val="21"/>
                <w:szCs w:val="21"/>
                <w:highlight w:val="none"/>
                <w:lang w:val="en-US" w:eastAsia="zh-CN"/>
              </w:rPr>
            </w:pPr>
          </w:p>
        </w:tc>
        <w:tc>
          <w:tcPr>
            <w:tcW w:w="729" w:type="dxa"/>
            <w:vMerge w:val="continue"/>
            <w:vAlign w:val="center"/>
          </w:tcPr>
          <w:p w14:paraId="2A65E8B5">
            <w:pPr>
              <w:pStyle w:val="4"/>
              <w:spacing w:line="270" w:lineRule="exact"/>
              <w:ind w:firstLine="0" w:firstLineChars="0"/>
              <w:jc w:val="center"/>
              <w:rPr>
                <w:rFonts w:hint="default" w:ascii="Times New Roman" w:hAnsi="Times New Roman" w:cs="Times New Roman"/>
                <w:color w:val="auto"/>
                <w:sz w:val="21"/>
                <w:szCs w:val="21"/>
                <w:highlight w:val="none"/>
                <w:lang w:val="en-US" w:eastAsia="zh-CN"/>
              </w:rPr>
            </w:pPr>
          </w:p>
        </w:tc>
        <w:tc>
          <w:tcPr>
            <w:tcW w:w="610" w:type="dxa"/>
            <w:vMerge w:val="continue"/>
            <w:vAlign w:val="center"/>
          </w:tcPr>
          <w:p w14:paraId="6A9D25E2">
            <w:pPr>
              <w:pStyle w:val="4"/>
              <w:spacing w:line="270" w:lineRule="exact"/>
              <w:ind w:firstLine="0" w:firstLineChars="0"/>
              <w:jc w:val="center"/>
              <w:rPr>
                <w:rFonts w:hint="default" w:ascii="Times New Roman" w:hAnsi="Times New Roman" w:cs="Times New Roman"/>
                <w:color w:val="auto"/>
                <w:sz w:val="21"/>
                <w:szCs w:val="21"/>
                <w:highlight w:val="none"/>
                <w:lang w:val="en-US" w:eastAsia="zh-CN"/>
              </w:rPr>
            </w:pPr>
          </w:p>
        </w:tc>
        <w:tc>
          <w:tcPr>
            <w:tcW w:w="653" w:type="dxa"/>
            <w:vMerge w:val="continue"/>
            <w:vAlign w:val="center"/>
          </w:tcPr>
          <w:p w14:paraId="711F0AFB">
            <w:pPr>
              <w:pStyle w:val="4"/>
              <w:spacing w:line="270" w:lineRule="exact"/>
              <w:ind w:firstLine="0" w:firstLineChars="0"/>
              <w:jc w:val="center"/>
              <w:rPr>
                <w:rFonts w:hint="default" w:ascii="Times New Roman" w:hAnsi="Times New Roman" w:cs="Times New Roman"/>
                <w:color w:val="auto"/>
                <w:sz w:val="21"/>
                <w:szCs w:val="21"/>
                <w:highlight w:val="none"/>
                <w:lang w:val="en-US" w:eastAsia="zh-CN"/>
              </w:rPr>
            </w:pPr>
          </w:p>
        </w:tc>
        <w:tc>
          <w:tcPr>
            <w:tcW w:w="643" w:type="dxa"/>
            <w:vMerge w:val="continue"/>
            <w:vAlign w:val="center"/>
          </w:tcPr>
          <w:p w14:paraId="3B7416B7">
            <w:pPr>
              <w:pStyle w:val="4"/>
              <w:spacing w:line="270" w:lineRule="exact"/>
              <w:ind w:firstLine="0" w:firstLineChars="0"/>
              <w:jc w:val="center"/>
              <w:rPr>
                <w:rFonts w:hint="default" w:ascii="Times New Roman" w:hAnsi="Times New Roman" w:cs="Times New Roman"/>
                <w:color w:val="auto"/>
                <w:sz w:val="21"/>
                <w:szCs w:val="21"/>
                <w:highlight w:val="none"/>
                <w:lang w:val="en-US" w:eastAsia="zh-CN"/>
              </w:rPr>
            </w:pPr>
          </w:p>
        </w:tc>
        <w:tc>
          <w:tcPr>
            <w:tcW w:w="894" w:type="dxa"/>
            <w:vMerge w:val="continue"/>
            <w:vAlign w:val="center"/>
          </w:tcPr>
          <w:p w14:paraId="7F3565E2">
            <w:pPr>
              <w:pStyle w:val="4"/>
              <w:spacing w:line="270" w:lineRule="exact"/>
              <w:ind w:firstLine="0" w:firstLineChars="0"/>
              <w:jc w:val="center"/>
              <w:rPr>
                <w:rFonts w:hint="default" w:ascii="Times New Roman" w:hAnsi="Times New Roman" w:cs="Times New Roman"/>
                <w:color w:val="auto"/>
                <w:sz w:val="21"/>
                <w:szCs w:val="21"/>
                <w:highlight w:val="none"/>
                <w:lang w:val="en-US" w:eastAsia="zh-CN"/>
              </w:rPr>
            </w:pPr>
          </w:p>
        </w:tc>
        <w:tc>
          <w:tcPr>
            <w:tcW w:w="779" w:type="dxa"/>
            <w:vMerge w:val="continue"/>
            <w:vAlign w:val="center"/>
          </w:tcPr>
          <w:p w14:paraId="7250BA21">
            <w:pPr>
              <w:pStyle w:val="4"/>
              <w:spacing w:line="270" w:lineRule="exact"/>
              <w:ind w:firstLine="0" w:firstLineChars="0"/>
              <w:jc w:val="center"/>
              <w:rPr>
                <w:rFonts w:hint="default" w:ascii="Times New Roman" w:hAnsi="Times New Roman" w:cs="Times New Roman"/>
                <w:color w:val="auto"/>
                <w:sz w:val="21"/>
                <w:szCs w:val="21"/>
                <w:highlight w:val="none"/>
                <w:lang w:val="en-US" w:eastAsia="zh-CN"/>
              </w:rPr>
            </w:pPr>
          </w:p>
        </w:tc>
        <w:tc>
          <w:tcPr>
            <w:tcW w:w="670" w:type="dxa"/>
            <w:vMerge w:val="continue"/>
            <w:vAlign w:val="center"/>
          </w:tcPr>
          <w:p w14:paraId="2BE690FF">
            <w:pPr>
              <w:pStyle w:val="4"/>
              <w:spacing w:line="270" w:lineRule="exact"/>
              <w:ind w:firstLine="0" w:firstLineChars="0"/>
              <w:jc w:val="center"/>
              <w:rPr>
                <w:rFonts w:hint="default" w:ascii="Times New Roman" w:hAnsi="Times New Roman" w:cs="Times New Roman"/>
                <w:color w:val="auto"/>
                <w:sz w:val="21"/>
                <w:szCs w:val="21"/>
                <w:highlight w:val="none"/>
                <w:lang w:val="en-US" w:eastAsia="zh-CN"/>
              </w:rPr>
            </w:pPr>
          </w:p>
        </w:tc>
        <w:tc>
          <w:tcPr>
            <w:tcW w:w="670" w:type="dxa"/>
            <w:vAlign w:val="center"/>
          </w:tcPr>
          <w:p w14:paraId="289AE955">
            <w:pPr>
              <w:pStyle w:val="4"/>
              <w:spacing w:line="27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20厂区（内任意一点任意一次浓度值）</w:t>
            </w:r>
          </w:p>
        </w:tc>
        <w:tc>
          <w:tcPr>
            <w:tcW w:w="1922" w:type="dxa"/>
            <w:vMerge w:val="continue"/>
            <w:vAlign w:val="center"/>
          </w:tcPr>
          <w:p w14:paraId="0D5DCA92">
            <w:pPr>
              <w:pStyle w:val="4"/>
              <w:spacing w:line="270" w:lineRule="exact"/>
              <w:ind w:firstLine="0" w:firstLineChars="0"/>
              <w:jc w:val="center"/>
              <w:rPr>
                <w:rFonts w:hint="default" w:ascii="Times New Roman" w:hAnsi="Times New Roman" w:eastAsia="宋体" w:cs="Times New Roman"/>
                <w:color w:val="auto"/>
                <w:sz w:val="21"/>
                <w:szCs w:val="21"/>
                <w:highlight w:val="none"/>
                <w:lang w:val="en-US" w:eastAsia="zh-CN"/>
              </w:rPr>
            </w:pPr>
          </w:p>
        </w:tc>
        <w:tc>
          <w:tcPr>
            <w:tcW w:w="625" w:type="dxa"/>
            <w:vMerge w:val="continue"/>
            <w:vAlign w:val="center"/>
          </w:tcPr>
          <w:p w14:paraId="1D56433B">
            <w:pPr>
              <w:pStyle w:val="4"/>
              <w:spacing w:line="270" w:lineRule="exact"/>
              <w:ind w:firstLine="0" w:firstLineChars="0"/>
              <w:jc w:val="center"/>
              <w:rPr>
                <w:rFonts w:hint="default" w:ascii="Times New Roman" w:hAnsi="Times New Roman" w:cs="Times New Roman"/>
                <w:color w:val="auto"/>
                <w:sz w:val="21"/>
                <w:szCs w:val="21"/>
                <w:highlight w:val="none"/>
                <w:lang w:val="en-US" w:eastAsia="zh-CN"/>
              </w:rPr>
            </w:pPr>
          </w:p>
        </w:tc>
      </w:tr>
      <w:tr w14:paraId="215CE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2" w:hRule="atLeast"/>
          <w:jc w:val="center"/>
        </w:trPr>
        <w:tc>
          <w:tcPr>
            <w:tcW w:w="645" w:type="dxa"/>
            <w:vMerge w:val="continue"/>
            <w:vAlign w:val="center"/>
          </w:tcPr>
          <w:p w14:paraId="008C5E43">
            <w:pPr>
              <w:spacing w:line="270" w:lineRule="exact"/>
              <w:ind w:firstLine="0" w:firstLineChars="0"/>
              <w:jc w:val="center"/>
              <w:rPr>
                <w:rFonts w:hint="default" w:ascii="Times New Roman" w:hAnsi="Times New Roman" w:cs="Times New Roman"/>
                <w:color w:val="auto"/>
                <w:sz w:val="21"/>
                <w:szCs w:val="21"/>
                <w:highlight w:val="none"/>
              </w:rPr>
            </w:pPr>
          </w:p>
        </w:tc>
        <w:tc>
          <w:tcPr>
            <w:tcW w:w="528" w:type="dxa"/>
            <w:vMerge w:val="restart"/>
            <w:vAlign w:val="center"/>
          </w:tcPr>
          <w:p w14:paraId="78287450">
            <w:pPr>
              <w:pStyle w:val="4"/>
              <w:spacing w:line="27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臭气浓度</w:t>
            </w:r>
          </w:p>
        </w:tc>
        <w:tc>
          <w:tcPr>
            <w:tcW w:w="539" w:type="dxa"/>
            <w:vMerge w:val="restart"/>
            <w:vAlign w:val="center"/>
          </w:tcPr>
          <w:p w14:paraId="256FB9C3">
            <w:pPr>
              <w:pStyle w:val="4"/>
              <w:spacing w:line="27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609" w:type="dxa"/>
            <w:vMerge w:val="restart"/>
            <w:vAlign w:val="center"/>
          </w:tcPr>
          <w:p w14:paraId="65EC1D75">
            <w:pPr>
              <w:pStyle w:val="4"/>
              <w:spacing w:line="27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609" w:type="dxa"/>
            <w:vMerge w:val="restart"/>
            <w:vAlign w:val="center"/>
          </w:tcPr>
          <w:p w14:paraId="294920B0">
            <w:pPr>
              <w:pStyle w:val="4"/>
              <w:spacing w:line="270" w:lineRule="exact"/>
              <w:ind w:firstLine="0" w:firstLineChars="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类比法</w:t>
            </w:r>
          </w:p>
        </w:tc>
        <w:tc>
          <w:tcPr>
            <w:tcW w:w="563" w:type="dxa"/>
            <w:vAlign w:val="center"/>
          </w:tcPr>
          <w:p w14:paraId="43A72DA5">
            <w:pPr>
              <w:pStyle w:val="4"/>
              <w:spacing w:line="27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有组织</w:t>
            </w:r>
          </w:p>
        </w:tc>
        <w:tc>
          <w:tcPr>
            <w:tcW w:w="738" w:type="dxa"/>
            <w:vAlign w:val="center"/>
          </w:tcPr>
          <w:p w14:paraId="4D8EC3CB">
            <w:pPr>
              <w:spacing w:line="27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1318</w:t>
            </w:r>
            <w:r>
              <w:rPr>
                <w:rFonts w:hint="default" w:ascii="Times New Roman" w:hAnsi="Times New Roman" w:cs="Times New Roman"/>
                <w:color w:val="auto"/>
                <w:sz w:val="21"/>
                <w:szCs w:val="21"/>
                <w:highlight w:val="none"/>
                <w:lang w:val="en-US" w:eastAsia="zh-CN"/>
              </w:rPr>
              <w:t>无量纲</w:t>
            </w:r>
          </w:p>
        </w:tc>
        <w:tc>
          <w:tcPr>
            <w:tcW w:w="1653" w:type="dxa"/>
            <w:vAlign w:val="center"/>
          </w:tcPr>
          <w:p w14:paraId="4BB0C650">
            <w:pPr>
              <w:pStyle w:val="4"/>
              <w:spacing w:line="270" w:lineRule="exact"/>
              <w:ind w:firstLine="0" w:firstLineChars="0"/>
              <w:jc w:val="center"/>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eastAsia="zh-CN"/>
              </w:rPr>
              <w:t>集气罩+二级活性炭装置+15m排气筒</w:t>
            </w:r>
            <w:r>
              <w:rPr>
                <w:rFonts w:hint="default" w:ascii="Times New Roman" w:hAnsi="Times New Roman" w:cs="Times New Roman"/>
                <w:color w:val="auto"/>
                <w:sz w:val="21"/>
                <w:szCs w:val="21"/>
                <w:highlight w:val="none"/>
                <w:lang w:val="en-US" w:eastAsia="zh-CN"/>
              </w:rPr>
              <w:t>DA001</w:t>
            </w:r>
          </w:p>
        </w:tc>
        <w:tc>
          <w:tcPr>
            <w:tcW w:w="619" w:type="dxa"/>
            <w:vAlign w:val="center"/>
          </w:tcPr>
          <w:p w14:paraId="7E2A1434">
            <w:pPr>
              <w:pStyle w:val="4"/>
              <w:spacing w:line="270" w:lineRule="exact"/>
              <w:ind w:firstLine="0" w:firstLineChars="0"/>
              <w:jc w:val="center"/>
              <w:rPr>
                <w:rFonts w:hint="default" w:ascii="Times New Roman" w:hAnsi="Times New Roman" w:cs="Times New Roman"/>
                <w:color w:val="auto"/>
                <w:sz w:val="21"/>
                <w:szCs w:val="21"/>
                <w:highlight w:val="none"/>
                <w:lang w:val="en-US"/>
              </w:rPr>
            </w:pPr>
            <w:r>
              <w:rPr>
                <w:rFonts w:hint="eastAsia" w:ascii="Times New Roman" w:hAnsi="Times New Roman" w:cs="Times New Roman"/>
                <w:color w:val="auto"/>
                <w:sz w:val="21"/>
                <w:szCs w:val="21"/>
                <w:highlight w:val="none"/>
                <w:lang w:val="en-US" w:eastAsia="zh-CN"/>
              </w:rPr>
              <w:t>15000</w:t>
            </w:r>
          </w:p>
        </w:tc>
        <w:tc>
          <w:tcPr>
            <w:tcW w:w="758" w:type="dxa"/>
            <w:vAlign w:val="center"/>
          </w:tcPr>
          <w:p w14:paraId="5EBD2BFE">
            <w:pPr>
              <w:spacing w:line="270" w:lineRule="exact"/>
              <w:jc w:val="center"/>
              <w:rPr>
                <w:rFonts w:hint="default" w:ascii="Times New Roman" w:hAnsi="Times New Roman" w:cs="Times New Roman"/>
                <w:color w:val="auto"/>
                <w:sz w:val="21"/>
                <w:szCs w:val="21"/>
                <w:highlight w:val="none"/>
                <w:lang w:val="en-US"/>
              </w:rPr>
            </w:pPr>
            <w:r>
              <w:rPr>
                <w:rFonts w:hint="eastAsia" w:ascii="Times New Roman" w:hAnsi="Times New Roman" w:cs="Times New Roman"/>
                <w:color w:val="auto"/>
                <w:sz w:val="21"/>
                <w:szCs w:val="21"/>
                <w:highlight w:val="none"/>
                <w:lang w:val="en-US" w:eastAsia="zh-CN"/>
              </w:rPr>
              <w:t>70</w:t>
            </w:r>
          </w:p>
        </w:tc>
        <w:tc>
          <w:tcPr>
            <w:tcW w:w="729" w:type="dxa"/>
            <w:vAlign w:val="center"/>
          </w:tcPr>
          <w:p w14:paraId="38C583AC">
            <w:pPr>
              <w:pStyle w:val="4"/>
              <w:spacing w:line="27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91</w:t>
            </w:r>
          </w:p>
        </w:tc>
        <w:tc>
          <w:tcPr>
            <w:tcW w:w="610" w:type="dxa"/>
            <w:vAlign w:val="center"/>
          </w:tcPr>
          <w:p w14:paraId="6F6FF924">
            <w:pPr>
              <w:spacing w:line="27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2400</w:t>
            </w:r>
          </w:p>
        </w:tc>
        <w:tc>
          <w:tcPr>
            <w:tcW w:w="653" w:type="dxa"/>
            <w:vAlign w:val="center"/>
          </w:tcPr>
          <w:p w14:paraId="7E06B2DB">
            <w:pPr>
              <w:spacing w:line="27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是</w:t>
            </w:r>
          </w:p>
        </w:tc>
        <w:tc>
          <w:tcPr>
            <w:tcW w:w="643" w:type="dxa"/>
            <w:vAlign w:val="center"/>
          </w:tcPr>
          <w:p w14:paraId="5DFAD4A5">
            <w:pPr>
              <w:spacing w:line="27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w:t>
            </w:r>
          </w:p>
        </w:tc>
        <w:tc>
          <w:tcPr>
            <w:tcW w:w="894" w:type="dxa"/>
            <w:vAlign w:val="center"/>
          </w:tcPr>
          <w:p w14:paraId="08D242FD">
            <w:pPr>
              <w:spacing w:line="27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w:t>
            </w:r>
          </w:p>
        </w:tc>
        <w:tc>
          <w:tcPr>
            <w:tcW w:w="779" w:type="dxa"/>
            <w:vAlign w:val="center"/>
          </w:tcPr>
          <w:p w14:paraId="0E3CFC85">
            <w:pPr>
              <w:spacing w:line="27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83.03</w:t>
            </w:r>
            <w:r>
              <w:rPr>
                <w:rFonts w:hint="default" w:ascii="Times New Roman" w:hAnsi="Times New Roman" w:cs="Times New Roman"/>
                <w:color w:val="auto"/>
                <w:sz w:val="21"/>
                <w:szCs w:val="21"/>
                <w:highlight w:val="none"/>
                <w:lang w:val="en-US" w:eastAsia="zh-CN"/>
              </w:rPr>
              <w:t>无量纲</w:t>
            </w:r>
          </w:p>
        </w:tc>
        <w:tc>
          <w:tcPr>
            <w:tcW w:w="670" w:type="dxa"/>
            <w:vAlign w:val="center"/>
          </w:tcPr>
          <w:p w14:paraId="2CC0E236">
            <w:pPr>
              <w:spacing w:line="27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w:t>
            </w:r>
          </w:p>
        </w:tc>
        <w:tc>
          <w:tcPr>
            <w:tcW w:w="670" w:type="dxa"/>
            <w:vAlign w:val="center"/>
          </w:tcPr>
          <w:p w14:paraId="7D4F1B9B">
            <w:pPr>
              <w:spacing w:line="27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2000无量纲</w:t>
            </w:r>
          </w:p>
        </w:tc>
        <w:tc>
          <w:tcPr>
            <w:tcW w:w="1922" w:type="dxa"/>
            <w:vAlign w:val="center"/>
          </w:tcPr>
          <w:p w14:paraId="550DDB71">
            <w:pPr>
              <w:spacing w:line="270" w:lineRule="exact"/>
              <w:ind w:firstLine="0" w:firstLine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《恶臭污染物排放标准》（GB14554-93）表2排放限值</w:t>
            </w:r>
          </w:p>
        </w:tc>
        <w:tc>
          <w:tcPr>
            <w:tcW w:w="625" w:type="dxa"/>
            <w:vAlign w:val="center"/>
          </w:tcPr>
          <w:p w14:paraId="2A33A999">
            <w:pPr>
              <w:spacing w:line="27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是</w:t>
            </w:r>
          </w:p>
        </w:tc>
      </w:tr>
      <w:tr w14:paraId="32182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2" w:hRule="atLeast"/>
          <w:jc w:val="center"/>
        </w:trPr>
        <w:tc>
          <w:tcPr>
            <w:tcW w:w="645" w:type="dxa"/>
            <w:vMerge w:val="continue"/>
            <w:vAlign w:val="center"/>
          </w:tcPr>
          <w:p w14:paraId="5260A68D">
            <w:pPr>
              <w:spacing w:line="270" w:lineRule="exact"/>
              <w:ind w:firstLine="0" w:firstLineChars="0"/>
              <w:jc w:val="center"/>
              <w:rPr>
                <w:rFonts w:hint="default" w:ascii="Times New Roman" w:hAnsi="Times New Roman" w:cs="Times New Roman"/>
                <w:color w:val="auto"/>
                <w:sz w:val="21"/>
                <w:szCs w:val="21"/>
                <w:highlight w:val="none"/>
              </w:rPr>
            </w:pPr>
          </w:p>
        </w:tc>
        <w:tc>
          <w:tcPr>
            <w:tcW w:w="528" w:type="dxa"/>
            <w:vMerge w:val="continue"/>
            <w:vAlign w:val="center"/>
          </w:tcPr>
          <w:p w14:paraId="39E6A80C">
            <w:pPr>
              <w:pStyle w:val="4"/>
              <w:spacing w:line="270" w:lineRule="exact"/>
              <w:ind w:firstLine="0" w:firstLineChars="0"/>
              <w:jc w:val="center"/>
              <w:rPr>
                <w:rFonts w:hint="default" w:ascii="Times New Roman" w:hAnsi="Times New Roman" w:cs="Times New Roman"/>
                <w:color w:val="auto"/>
                <w:sz w:val="21"/>
                <w:szCs w:val="21"/>
                <w:highlight w:val="none"/>
              </w:rPr>
            </w:pPr>
          </w:p>
        </w:tc>
        <w:tc>
          <w:tcPr>
            <w:tcW w:w="539" w:type="dxa"/>
            <w:vMerge w:val="continue"/>
            <w:vAlign w:val="center"/>
          </w:tcPr>
          <w:p w14:paraId="74E7BFD7">
            <w:pPr>
              <w:pStyle w:val="4"/>
              <w:spacing w:line="270" w:lineRule="exact"/>
              <w:ind w:firstLine="0" w:firstLineChars="0"/>
              <w:jc w:val="center"/>
              <w:rPr>
                <w:rFonts w:hint="default" w:ascii="Times New Roman" w:hAnsi="Times New Roman" w:cs="Times New Roman"/>
                <w:color w:val="auto"/>
                <w:sz w:val="21"/>
                <w:szCs w:val="21"/>
                <w:highlight w:val="none"/>
              </w:rPr>
            </w:pPr>
          </w:p>
        </w:tc>
        <w:tc>
          <w:tcPr>
            <w:tcW w:w="609" w:type="dxa"/>
            <w:vMerge w:val="continue"/>
            <w:vAlign w:val="center"/>
          </w:tcPr>
          <w:p w14:paraId="21EED805">
            <w:pPr>
              <w:pStyle w:val="4"/>
              <w:spacing w:line="270" w:lineRule="exact"/>
              <w:ind w:firstLine="0" w:firstLineChars="0"/>
              <w:jc w:val="center"/>
              <w:rPr>
                <w:rFonts w:hint="default" w:ascii="Times New Roman" w:hAnsi="Times New Roman" w:cs="Times New Roman"/>
                <w:color w:val="auto"/>
                <w:sz w:val="21"/>
                <w:szCs w:val="21"/>
                <w:highlight w:val="none"/>
              </w:rPr>
            </w:pPr>
          </w:p>
        </w:tc>
        <w:tc>
          <w:tcPr>
            <w:tcW w:w="609" w:type="dxa"/>
            <w:vMerge w:val="continue"/>
            <w:vAlign w:val="center"/>
          </w:tcPr>
          <w:p w14:paraId="040E5ABC">
            <w:pPr>
              <w:pStyle w:val="4"/>
              <w:spacing w:line="270" w:lineRule="exact"/>
              <w:ind w:firstLine="0" w:firstLineChars="0"/>
              <w:jc w:val="center"/>
              <w:rPr>
                <w:rFonts w:hint="default" w:ascii="Times New Roman" w:hAnsi="Times New Roman" w:cs="Times New Roman"/>
                <w:color w:val="auto"/>
                <w:sz w:val="21"/>
                <w:szCs w:val="21"/>
                <w:highlight w:val="none"/>
              </w:rPr>
            </w:pPr>
          </w:p>
        </w:tc>
        <w:tc>
          <w:tcPr>
            <w:tcW w:w="563" w:type="dxa"/>
            <w:vAlign w:val="center"/>
          </w:tcPr>
          <w:p w14:paraId="42A71173">
            <w:pPr>
              <w:pStyle w:val="4"/>
              <w:spacing w:line="27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无组织</w:t>
            </w:r>
          </w:p>
        </w:tc>
        <w:tc>
          <w:tcPr>
            <w:tcW w:w="738" w:type="dxa"/>
            <w:vAlign w:val="center"/>
          </w:tcPr>
          <w:p w14:paraId="1F1B0D37">
            <w:pPr>
              <w:pStyle w:val="4"/>
              <w:spacing w:line="27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w:t>
            </w:r>
          </w:p>
        </w:tc>
        <w:tc>
          <w:tcPr>
            <w:tcW w:w="1653" w:type="dxa"/>
            <w:vAlign w:val="center"/>
          </w:tcPr>
          <w:p w14:paraId="35019447">
            <w:pPr>
              <w:pStyle w:val="4"/>
              <w:spacing w:line="27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封闭车间</w:t>
            </w:r>
          </w:p>
        </w:tc>
        <w:tc>
          <w:tcPr>
            <w:tcW w:w="619" w:type="dxa"/>
            <w:vAlign w:val="center"/>
          </w:tcPr>
          <w:p w14:paraId="57D373B7">
            <w:pPr>
              <w:pStyle w:val="4"/>
              <w:spacing w:line="27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w:t>
            </w:r>
          </w:p>
        </w:tc>
        <w:tc>
          <w:tcPr>
            <w:tcW w:w="758" w:type="dxa"/>
            <w:vAlign w:val="center"/>
          </w:tcPr>
          <w:p w14:paraId="729AEA97">
            <w:pPr>
              <w:spacing w:line="270" w:lineRule="exact"/>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w:t>
            </w:r>
          </w:p>
        </w:tc>
        <w:tc>
          <w:tcPr>
            <w:tcW w:w="729" w:type="dxa"/>
            <w:vAlign w:val="center"/>
          </w:tcPr>
          <w:p w14:paraId="4B22587D">
            <w:pPr>
              <w:pStyle w:val="4"/>
              <w:spacing w:line="27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w:t>
            </w:r>
          </w:p>
        </w:tc>
        <w:tc>
          <w:tcPr>
            <w:tcW w:w="610" w:type="dxa"/>
            <w:vAlign w:val="center"/>
          </w:tcPr>
          <w:p w14:paraId="16E84365">
            <w:pPr>
              <w:spacing w:line="27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2400</w:t>
            </w:r>
          </w:p>
        </w:tc>
        <w:tc>
          <w:tcPr>
            <w:tcW w:w="653" w:type="dxa"/>
            <w:vAlign w:val="center"/>
          </w:tcPr>
          <w:p w14:paraId="6794E5F4">
            <w:pPr>
              <w:spacing w:line="27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是</w:t>
            </w:r>
          </w:p>
        </w:tc>
        <w:tc>
          <w:tcPr>
            <w:tcW w:w="643" w:type="dxa"/>
            <w:vAlign w:val="center"/>
          </w:tcPr>
          <w:p w14:paraId="0CCDAC54">
            <w:pPr>
              <w:spacing w:line="27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w:t>
            </w:r>
          </w:p>
        </w:tc>
        <w:tc>
          <w:tcPr>
            <w:tcW w:w="894" w:type="dxa"/>
            <w:vAlign w:val="center"/>
          </w:tcPr>
          <w:p w14:paraId="19BDC067">
            <w:pPr>
              <w:spacing w:line="27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w:t>
            </w:r>
          </w:p>
        </w:tc>
        <w:tc>
          <w:tcPr>
            <w:tcW w:w="779" w:type="dxa"/>
            <w:vAlign w:val="center"/>
          </w:tcPr>
          <w:p w14:paraId="5C71F740">
            <w:pPr>
              <w:spacing w:line="270" w:lineRule="exact"/>
              <w:ind w:firstLine="0" w:firstLineChars="0"/>
              <w:jc w:val="center"/>
              <w:rPr>
                <w:rFonts w:hint="default" w:ascii="Times New Roman" w:hAnsi="Times New Roman" w:cs="Times New Roman"/>
                <w:color w:val="auto"/>
                <w:sz w:val="21"/>
                <w:szCs w:val="21"/>
                <w:highlight w:val="none"/>
                <w:lang w:val="en-US"/>
              </w:rPr>
            </w:pPr>
            <w:r>
              <w:rPr>
                <w:rFonts w:hint="eastAsia" w:ascii="Times New Roman" w:hAnsi="Times New Roman" w:cs="Times New Roman"/>
                <w:color w:val="auto"/>
                <w:sz w:val="21"/>
                <w:szCs w:val="21"/>
                <w:highlight w:val="none"/>
                <w:lang w:val="en-US" w:eastAsia="zh-CN"/>
              </w:rPr>
              <w:t>＜10</w:t>
            </w:r>
          </w:p>
        </w:tc>
        <w:tc>
          <w:tcPr>
            <w:tcW w:w="670" w:type="dxa"/>
            <w:vAlign w:val="center"/>
          </w:tcPr>
          <w:p w14:paraId="7698620F">
            <w:pPr>
              <w:spacing w:line="27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w:t>
            </w:r>
          </w:p>
        </w:tc>
        <w:tc>
          <w:tcPr>
            <w:tcW w:w="670" w:type="dxa"/>
            <w:vAlign w:val="center"/>
          </w:tcPr>
          <w:p w14:paraId="29D06435">
            <w:pPr>
              <w:spacing w:line="27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20无量纲</w:t>
            </w:r>
          </w:p>
        </w:tc>
        <w:tc>
          <w:tcPr>
            <w:tcW w:w="1922" w:type="dxa"/>
            <w:vAlign w:val="center"/>
          </w:tcPr>
          <w:p w14:paraId="67EDF673">
            <w:pPr>
              <w:spacing w:line="270" w:lineRule="exact"/>
              <w:ind w:firstLine="0" w:firstLine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《恶臭污染物排放标准》（GB14554-93）表1排放限值</w:t>
            </w:r>
          </w:p>
        </w:tc>
        <w:tc>
          <w:tcPr>
            <w:tcW w:w="625" w:type="dxa"/>
            <w:vAlign w:val="center"/>
          </w:tcPr>
          <w:p w14:paraId="1C057397">
            <w:pPr>
              <w:spacing w:line="27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是</w:t>
            </w:r>
          </w:p>
        </w:tc>
      </w:tr>
      <w:tr w14:paraId="785CE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2" w:hRule="atLeast"/>
          <w:jc w:val="center"/>
        </w:trPr>
        <w:tc>
          <w:tcPr>
            <w:tcW w:w="645" w:type="dxa"/>
            <w:vMerge w:val="restart"/>
            <w:vAlign w:val="center"/>
          </w:tcPr>
          <w:p w14:paraId="3B2FD5D9">
            <w:pPr>
              <w:spacing w:line="270" w:lineRule="exact"/>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粉碎</w:t>
            </w:r>
          </w:p>
        </w:tc>
        <w:tc>
          <w:tcPr>
            <w:tcW w:w="528" w:type="dxa"/>
            <w:vMerge w:val="restart"/>
            <w:vAlign w:val="center"/>
          </w:tcPr>
          <w:p w14:paraId="68CA4E91">
            <w:pPr>
              <w:spacing w:line="270" w:lineRule="exact"/>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颗粒物</w:t>
            </w:r>
          </w:p>
        </w:tc>
        <w:tc>
          <w:tcPr>
            <w:tcW w:w="539" w:type="dxa"/>
            <w:vMerge w:val="restart"/>
            <w:vAlign w:val="center"/>
          </w:tcPr>
          <w:p w14:paraId="6821A6F7">
            <w:pPr>
              <w:pStyle w:val="4"/>
              <w:spacing w:line="270" w:lineRule="exact"/>
              <w:ind w:firstLine="0" w:firstLineChars="0"/>
              <w:jc w:val="center"/>
              <w:rPr>
                <w:rFonts w:hint="default" w:ascii="Times New Roman" w:hAnsi="Times New Roman" w:eastAsia="宋体"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0.002</w:t>
            </w:r>
          </w:p>
        </w:tc>
        <w:tc>
          <w:tcPr>
            <w:tcW w:w="609" w:type="dxa"/>
            <w:vMerge w:val="restart"/>
            <w:vAlign w:val="center"/>
          </w:tcPr>
          <w:p w14:paraId="4F65F8E0">
            <w:pPr>
              <w:pStyle w:val="4"/>
              <w:spacing w:line="270" w:lineRule="exact"/>
              <w:ind w:firstLine="0" w:firstLineChars="0"/>
              <w:jc w:val="center"/>
              <w:rPr>
                <w:rFonts w:hint="default" w:ascii="Times New Roman" w:hAnsi="Times New Roman" w:eastAsia="宋体"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0.005</w:t>
            </w:r>
          </w:p>
        </w:tc>
        <w:tc>
          <w:tcPr>
            <w:tcW w:w="609" w:type="dxa"/>
            <w:vMerge w:val="restart"/>
            <w:vAlign w:val="center"/>
          </w:tcPr>
          <w:p w14:paraId="175FF26A">
            <w:pPr>
              <w:pStyle w:val="4"/>
              <w:spacing w:line="27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排污系数法</w:t>
            </w:r>
          </w:p>
        </w:tc>
        <w:tc>
          <w:tcPr>
            <w:tcW w:w="563" w:type="dxa"/>
            <w:vAlign w:val="center"/>
          </w:tcPr>
          <w:p w14:paraId="4100056B">
            <w:pPr>
              <w:pStyle w:val="4"/>
              <w:spacing w:line="27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有组织</w:t>
            </w:r>
          </w:p>
        </w:tc>
        <w:tc>
          <w:tcPr>
            <w:tcW w:w="738" w:type="dxa"/>
            <w:vAlign w:val="center"/>
          </w:tcPr>
          <w:p w14:paraId="17AC3807">
            <w:pPr>
              <w:pStyle w:val="4"/>
              <w:spacing w:line="27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FF0000"/>
                <w:sz w:val="21"/>
                <w:szCs w:val="21"/>
                <w:highlight w:val="none"/>
                <w:lang w:val="en-US" w:eastAsia="zh-CN"/>
              </w:rPr>
              <w:t>1</w:t>
            </w:r>
          </w:p>
        </w:tc>
        <w:tc>
          <w:tcPr>
            <w:tcW w:w="1653" w:type="dxa"/>
            <w:vAlign w:val="center"/>
          </w:tcPr>
          <w:p w14:paraId="67C9ADF7">
            <w:pPr>
              <w:pStyle w:val="4"/>
              <w:spacing w:line="27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集气罩+布袋除尘器</w:t>
            </w:r>
            <w:r>
              <w:rPr>
                <w:rFonts w:hint="default" w:ascii="Times New Roman" w:hAnsi="Times New Roman" w:cs="Times New Roman"/>
                <w:color w:val="auto"/>
                <w:sz w:val="21"/>
                <w:szCs w:val="21"/>
                <w:highlight w:val="none"/>
                <w:lang w:val="en-US" w:eastAsia="zh-CN"/>
              </w:rPr>
              <w:t>+15m高排气筒DA002</w:t>
            </w:r>
          </w:p>
        </w:tc>
        <w:tc>
          <w:tcPr>
            <w:tcW w:w="619" w:type="dxa"/>
            <w:vAlign w:val="center"/>
          </w:tcPr>
          <w:p w14:paraId="22405323">
            <w:pPr>
              <w:pStyle w:val="4"/>
              <w:spacing w:line="270" w:lineRule="exact"/>
              <w:ind w:firstLine="0" w:firstLineChars="0"/>
              <w:jc w:val="center"/>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5</w:t>
            </w:r>
            <w:r>
              <w:rPr>
                <w:rFonts w:hint="default" w:ascii="Times New Roman" w:hAnsi="Times New Roman" w:cs="Times New Roman"/>
                <w:color w:val="auto"/>
                <w:sz w:val="21"/>
                <w:szCs w:val="21"/>
                <w:highlight w:val="none"/>
                <w:lang w:val="en-US" w:eastAsia="zh-CN"/>
              </w:rPr>
              <w:t>000</w:t>
            </w:r>
          </w:p>
        </w:tc>
        <w:tc>
          <w:tcPr>
            <w:tcW w:w="758" w:type="dxa"/>
            <w:vAlign w:val="center"/>
          </w:tcPr>
          <w:p w14:paraId="6DAE182C">
            <w:pPr>
              <w:spacing w:line="270" w:lineRule="exact"/>
              <w:jc w:val="center"/>
              <w:rPr>
                <w:rFonts w:hint="default" w:ascii="Times New Roman" w:hAnsi="Times New Roman" w:cs="Times New Roman"/>
                <w:color w:val="auto"/>
                <w:sz w:val="21"/>
                <w:szCs w:val="21"/>
                <w:highlight w:val="none"/>
                <w:lang w:val="en-US"/>
              </w:rPr>
            </w:pPr>
            <w:r>
              <w:rPr>
                <w:rFonts w:hint="eastAsia" w:ascii="Times New Roman" w:hAnsi="Times New Roman" w:cs="Times New Roman"/>
                <w:color w:val="auto"/>
                <w:sz w:val="21"/>
                <w:szCs w:val="21"/>
                <w:highlight w:val="none"/>
                <w:lang w:val="en-US" w:eastAsia="zh-CN"/>
              </w:rPr>
              <w:t>70</w:t>
            </w:r>
          </w:p>
        </w:tc>
        <w:tc>
          <w:tcPr>
            <w:tcW w:w="729" w:type="dxa"/>
            <w:vAlign w:val="center"/>
          </w:tcPr>
          <w:p w14:paraId="03CA004D">
            <w:pPr>
              <w:pStyle w:val="4"/>
              <w:spacing w:line="27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95</w:t>
            </w:r>
          </w:p>
        </w:tc>
        <w:tc>
          <w:tcPr>
            <w:tcW w:w="610" w:type="dxa"/>
            <w:vAlign w:val="center"/>
          </w:tcPr>
          <w:p w14:paraId="5CEB1759">
            <w:pPr>
              <w:spacing w:line="27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400</w:t>
            </w:r>
          </w:p>
        </w:tc>
        <w:tc>
          <w:tcPr>
            <w:tcW w:w="653" w:type="dxa"/>
            <w:vAlign w:val="center"/>
          </w:tcPr>
          <w:p w14:paraId="398A100F">
            <w:pPr>
              <w:spacing w:line="270" w:lineRule="exact"/>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是</w:t>
            </w:r>
          </w:p>
        </w:tc>
        <w:tc>
          <w:tcPr>
            <w:tcW w:w="643" w:type="dxa"/>
            <w:vAlign w:val="center"/>
          </w:tcPr>
          <w:p w14:paraId="78EB8A7D">
            <w:pPr>
              <w:pStyle w:val="4"/>
              <w:spacing w:line="27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0.00007</w:t>
            </w:r>
          </w:p>
        </w:tc>
        <w:tc>
          <w:tcPr>
            <w:tcW w:w="894" w:type="dxa"/>
            <w:vAlign w:val="center"/>
          </w:tcPr>
          <w:p w14:paraId="35572AC8">
            <w:pPr>
              <w:pStyle w:val="4"/>
              <w:spacing w:line="27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0.0002</w:t>
            </w:r>
          </w:p>
        </w:tc>
        <w:tc>
          <w:tcPr>
            <w:tcW w:w="779" w:type="dxa"/>
            <w:vAlign w:val="center"/>
          </w:tcPr>
          <w:p w14:paraId="33F1EE01">
            <w:pPr>
              <w:pStyle w:val="4"/>
              <w:spacing w:line="27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0.04</w:t>
            </w:r>
          </w:p>
        </w:tc>
        <w:tc>
          <w:tcPr>
            <w:tcW w:w="670" w:type="dxa"/>
            <w:vAlign w:val="center"/>
          </w:tcPr>
          <w:p w14:paraId="4A5C0533">
            <w:pPr>
              <w:pStyle w:val="4"/>
              <w:spacing w:line="27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670" w:type="dxa"/>
            <w:vAlign w:val="center"/>
          </w:tcPr>
          <w:p w14:paraId="575056C9">
            <w:pPr>
              <w:pStyle w:val="4"/>
              <w:spacing w:line="27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20</w:t>
            </w:r>
          </w:p>
        </w:tc>
        <w:tc>
          <w:tcPr>
            <w:tcW w:w="1922" w:type="dxa"/>
            <w:vAlign w:val="center"/>
          </w:tcPr>
          <w:p w14:paraId="121281B1">
            <w:pPr>
              <w:pStyle w:val="4"/>
              <w:spacing w:line="270" w:lineRule="exact"/>
              <w:ind w:firstLine="0" w:firstLineChars="0"/>
              <w:jc w:val="center"/>
              <w:rPr>
                <w:rFonts w:hint="default"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《合成树脂工业污染物排放标准》(GB31572-2015)及修改单</w:t>
            </w:r>
            <w:r>
              <w:rPr>
                <w:rFonts w:hint="default" w:ascii="Times New Roman" w:hAnsi="Times New Roman" w:cs="Times New Roman"/>
                <w:color w:val="auto"/>
                <w:sz w:val="21"/>
                <w:szCs w:val="21"/>
                <w:highlight w:val="none"/>
              </w:rPr>
              <w:t>表5大气污染物特别排放限值</w:t>
            </w:r>
          </w:p>
        </w:tc>
        <w:tc>
          <w:tcPr>
            <w:tcW w:w="625" w:type="dxa"/>
            <w:vAlign w:val="center"/>
          </w:tcPr>
          <w:p w14:paraId="302E2D01">
            <w:pPr>
              <w:spacing w:line="27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是</w:t>
            </w:r>
          </w:p>
        </w:tc>
      </w:tr>
      <w:tr w14:paraId="27848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2" w:hRule="atLeast"/>
          <w:jc w:val="center"/>
        </w:trPr>
        <w:tc>
          <w:tcPr>
            <w:tcW w:w="645" w:type="dxa"/>
            <w:vMerge w:val="continue"/>
            <w:vAlign w:val="center"/>
          </w:tcPr>
          <w:p w14:paraId="42A68993">
            <w:pPr>
              <w:spacing w:line="270" w:lineRule="exact"/>
              <w:ind w:firstLine="0" w:firstLineChars="0"/>
              <w:jc w:val="center"/>
              <w:rPr>
                <w:rFonts w:hint="default" w:ascii="Times New Roman" w:hAnsi="Times New Roman" w:cs="Times New Roman"/>
                <w:color w:val="auto"/>
                <w:sz w:val="21"/>
                <w:szCs w:val="21"/>
                <w:highlight w:val="none"/>
              </w:rPr>
            </w:pPr>
          </w:p>
        </w:tc>
        <w:tc>
          <w:tcPr>
            <w:tcW w:w="528" w:type="dxa"/>
            <w:vMerge w:val="continue"/>
            <w:vAlign w:val="center"/>
          </w:tcPr>
          <w:p w14:paraId="4C37BDBE">
            <w:pPr>
              <w:spacing w:line="270" w:lineRule="exact"/>
              <w:ind w:firstLine="0" w:firstLineChars="0"/>
              <w:jc w:val="center"/>
              <w:rPr>
                <w:rFonts w:hint="default" w:ascii="Times New Roman" w:hAnsi="Times New Roman" w:cs="Times New Roman"/>
                <w:color w:val="auto"/>
                <w:sz w:val="21"/>
                <w:szCs w:val="21"/>
                <w:highlight w:val="none"/>
              </w:rPr>
            </w:pPr>
          </w:p>
        </w:tc>
        <w:tc>
          <w:tcPr>
            <w:tcW w:w="539" w:type="dxa"/>
            <w:vMerge w:val="continue"/>
            <w:vAlign w:val="center"/>
          </w:tcPr>
          <w:p w14:paraId="23AE7BE9">
            <w:pPr>
              <w:spacing w:line="270" w:lineRule="exact"/>
              <w:ind w:firstLine="0" w:firstLineChars="0"/>
              <w:jc w:val="center"/>
              <w:rPr>
                <w:rFonts w:hint="default" w:ascii="Times New Roman" w:hAnsi="Times New Roman" w:cs="Times New Roman"/>
                <w:color w:val="auto"/>
                <w:sz w:val="21"/>
                <w:szCs w:val="21"/>
                <w:highlight w:val="none"/>
              </w:rPr>
            </w:pPr>
          </w:p>
        </w:tc>
        <w:tc>
          <w:tcPr>
            <w:tcW w:w="609" w:type="dxa"/>
            <w:vMerge w:val="continue"/>
            <w:vAlign w:val="center"/>
          </w:tcPr>
          <w:p w14:paraId="50619094">
            <w:pPr>
              <w:spacing w:line="270" w:lineRule="exact"/>
              <w:ind w:firstLine="0" w:firstLineChars="0"/>
              <w:jc w:val="center"/>
              <w:rPr>
                <w:rFonts w:hint="default" w:ascii="Times New Roman" w:hAnsi="Times New Roman" w:cs="Times New Roman"/>
                <w:color w:val="auto"/>
                <w:sz w:val="21"/>
                <w:szCs w:val="21"/>
                <w:highlight w:val="none"/>
              </w:rPr>
            </w:pPr>
          </w:p>
        </w:tc>
        <w:tc>
          <w:tcPr>
            <w:tcW w:w="609" w:type="dxa"/>
            <w:vMerge w:val="continue"/>
            <w:vAlign w:val="center"/>
          </w:tcPr>
          <w:p w14:paraId="405D2609">
            <w:pPr>
              <w:spacing w:line="270" w:lineRule="exact"/>
              <w:ind w:firstLine="0" w:firstLineChars="0"/>
              <w:jc w:val="center"/>
              <w:rPr>
                <w:rFonts w:hint="default" w:ascii="Times New Roman" w:hAnsi="Times New Roman" w:cs="Times New Roman"/>
                <w:color w:val="auto"/>
                <w:sz w:val="21"/>
                <w:szCs w:val="21"/>
                <w:highlight w:val="none"/>
              </w:rPr>
            </w:pPr>
          </w:p>
        </w:tc>
        <w:tc>
          <w:tcPr>
            <w:tcW w:w="563" w:type="dxa"/>
            <w:vAlign w:val="center"/>
          </w:tcPr>
          <w:p w14:paraId="44A8BC0E">
            <w:pPr>
              <w:pStyle w:val="4"/>
              <w:spacing w:line="27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无组织</w:t>
            </w:r>
          </w:p>
        </w:tc>
        <w:tc>
          <w:tcPr>
            <w:tcW w:w="738" w:type="dxa"/>
            <w:vAlign w:val="center"/>
          </w:tcPr>
          <w:p w14:paraId="1A387C95">
            <w:pPr>
              <w:pStyle w:val="4"/>
              <w:spacing w:line="27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w:t>
            </w:r>
          </w:p>
        </w:tc>
        <w:tc>
          <w:tcPr>
            <w:tcW w:w="1653" w:type="dxa"/>
            <w:vAlign w:val="center"/>
          </w:tcPr>
          <w:p w14:paraId="7EE09608">
            <w:pPr>
              <w:pStyle w:val="4"/>
              <w:spacing w:line="27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封闭车间</w:t>
            </w:r>
          </w:p>
        </w:tc>
        <w:tc>
          <w:tcPr>
            <w:tcW w:w="619" w:type="dxa"/>
            <w:vAlign w:val="center"/>
          </w:tcPr>
          <w:p w14:paraId="49A1C115">
            <w:pPr>
              <w:spacing w:line="27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w:t>
            </w:r>
          </w:p>
        </w:tc>
        <w:tc>
          <w:tcPr>
            <w:tcW w:w="758" w:type="dxa"/>
            <w:vAlign w:val="center"/>
          </w:tcPr>
          <w:p w14:paraId="2EF777C5">
            <w:pPr>
              <w:spacing w:line="270" w:lineRule="exact"/>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w:t>
            </w:r>
          </w:p>
        </w:tc>
        <w:tc>
          <w:tcPr>
            <w:tcW w:w="729" w:type="dxa"/>
            <w:vAlign w:val="center"/>
          </w:tcPr>
          <w:p w14:paraId="047AE585">
            <w:pPr>
              <w:spacing w:line="27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w:t>
            </w:r>
          </w:p>
        </w:tc>
        <w:tc>
          <w:tcPr>
            <w:tcW w:w="610" w:type="dxa"/>
            <w:vAlign w:val="center"/>
          </w:tcPr>
          <w:p w14:paraId="469B2682">
            <w:pPr>
              <w:spacing w:line="27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400</w:t>
            </w:r>
          </w:p>
        </w:tc>
        <w:tc>
          <w:tcPr>
            <w:tcW w:w="653" w:type="dxa"/>
            <w:vAlign w:val="center"/>
          </w:tcPr>
          <w:p w14:paraId="0B14C8C5">
            <w:pPr>
              <w:spacing w:line="270" w:lineRule="exact"/>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是</w:t>
            </w:r>
          </w:p>
        </w:tc>
        <w:tc>
          <w:tcPr>
            <w:tcW w:w="643" w:type="dxa"/>
            <w:vAlign w:val="center"/>
          </w:tcPr>
          <w:p w14:paraId="635E9C82">
            <w:pPr>
              <w:pStyle w:val="4"/>
              <w:spacing w:line="27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0.0006</w:t>
            </w:r>
          </w:p>
        </w:tc>
        <w:tc>
          <w:tcPr>
            <w:tcW w:w="894" w:type="dxa"/>
            <w:vAlign w:val="center"/>
          </w:tcPr>
          <w:p w14:paraId="104FC3E4">
            <w:pPr>
              <w:pStyle w:val="4"/>
              <w:spacing w:line="27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0.0015</w:t>
            </w:r>
          </w:p>
        </w:tc>
        <w:tc>
          <w:tcPr>
            <w:tcW w:w="779" w:type="dxa"/>
            <w:vAlign w:val="center"/>
          </w:tcPr>
          <w:p w14:paraId="02C3C386">
            <w:pPr>
              <w:pStyle w:val="4"/>
              <w:spacing w:line="27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w:t>
            </w:r>
          </w:p>
        </w:tc>
        <w:tc>
          <w:tcPr>
            <w:tcW w:w="670" w:type="dxa"/>
            <w:vAlign w:val="center"/>
          </w:tcPr>
          <w:p w14:paraId="59FDFA46">
            <w:pPr>
              <w:pStyle w:val="4"/>
              <w:spacing w:line="27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w:t>
            </w:r>
          </w:p>
        </w:tc>
        <w:tc>
          <w:tcPr>
            <w:tcW w:w="670" w:type="dxa"/>
            <w:vAlign w:val="center"/>
          </w:tcPr>
          <w:p w14:paraId="1E532D55">
            <w:pPr>
              <w:pStyle w:val="4"/>
              <w:spacing w:line="27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1.0</w:t>
            </w:r>
          </w:p>
        </w:tc>
        <w:tc>
          <w:tcPr>
            <w:tcW w:w="1922" w:type="dxa"/>
            <w:vAlign w:val="center"/>
          </w:tcPr>
          <w:p w14:paraId="3AE0A3AF">
            <w:pPr>
              <w:pStyle w:val="4"/>
              <w:spacing w:line="270" w:lineRule="exact"/>
              <w:ind w:firstLine="0" w:firstLineChars="0"/>
              <w:jc w:val="center"/>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eastAsia="zh-CN"/>
              </w:rPr>
              <w:t>《合成树脂工业污染物排放标准》(GB31572-2015)及修改单</w:t>
            </w:r>
            <w:r>
              <w:rPr>
                <w:rFonts w:hint="default" w:ascii="Times New Roman" w:hAnsi="Times New Roman" w:cs="Times New Roman"/>
                <w:color w:val="auto"/>
                <w:sz w:val="21"/>
                <w:szCs w:val="21"/>
                <w:highlight w:val="none"/>
              </w:rPr>
              <w:t>表9企业边界大气污染物浓度限值</w:t>
            </w:r>
          </w:p>
        </w:tc>
        <w:tc>
          <w:tcPr>
            <w:tcW w:w="625" w:type="dxa"/>
            <w:vAlign w:val="center"/>
          </w:tcPr>
          <w:p w14:paraId="2F67F6E5">
            <w:pPr>
              <w:spacing w:line="27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是</w:t>
            </w:r>
          </w:p>
        </w:tc>
      </w:tr>
    </w:tbl>
    <w:p w14:paraId="1E541FFD">
      <w:pPr>
        <w:widowControl/>
        <w:jc w:val="center"/>
        <w:rPr>
          <w:rFonts w:hint="default" w:ascii="Times New Roman" w:hAnsi="Times New Roman" w:cs="Times New Roman"/>
          <w:color w:val="auto"/>
          <w:sz w:val="21"/>
          <w:szCs w:val="21"/>
          <w:lang w:bidi="ar"/>
        </w:rPr>
        <w:sectPr>
          <w:footerReference r:id="rId7" w:type="default"/>
          <w:pgSz w:w="16838" w:h="11906" w:orient="landscape"/>
          <w:pgMar w:top="850" w:right="1417" w:bottom="850" w:left="1417" w:header="851" w:footer="992" w:gutter="0"/>
          <w:pgBorders>
            <w:top w:val="none" w:sz="0" w:space="0"/>
            <w:left w:val="none" w:sz="0" w:space="0"/>
            <w:bottom w:val="none" w:sz="0" w:space="0"/>
            <w:right w:val="none" w:sz="0" w:space="0"/>
          </w:pgBorders>
          <w:pgNumType w:fmt="decimal"/>
          <w:cols w:space="0" w:num="1"/>
          <w:docGrid w:type="lines" w:linePitch="395" w:charSpace="0"/>
        </w:sectPr>
      </w:pPr>
    </w:p>
    <w:tbl>
      <w:tblPr>
        <w:tblStyle w:val="35"/>
        <w:tblW w:w="90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8344"/>
      </w:tblGrid>
      <w:tr w14:paraId="33D08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81" w:hRule="atLeast"/>
          <w:jc w:val="center"/>
        </w:trPr>
        <w:tc>
          <w:tcPr>
            <w:tcW w:w="700" w:type="dxa"/>
          </w:tcPr>
          <w:p w14:paraId="52A6B09A">
            <w:pPr>
              <w:rPr>
                <w:rFonts w:hint="default" w:ascii="Times New Roman" w:hAnsi="Times New Roman" w:eastAsia="黑体" w:cs="Times New Roman"/>
                <w:color w:val="auto"/>
                <w:sz w:val="30"/>
                <w:szCs w:val="30"/>
                <w:lang w:bidi="ar"/>
              </w:rPr>
            </w:pPr>
          </w:p>
        </w:tc>
        <w:tc>
          <w:tcPr>
            <w:tcW w:w="8344" w:type="dxa"/>
          </w:tcPr>
          <w:p w14:paraId="4DE633A2">
            <w:pPr>
              <w:spacing w:line="480" w:lineRule="exact"/>
              <w:jc w:val="center"/>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表</w:t>
            </w:r>
            <w:r>
              <w:rPr>
                <w:rFonts w:hint="eastAsia" w:ascii="Times New Roman" w:hAnsi="Times New Roman" w:cs="Times New Roman"/>
                <w:b/>
                <w:bCs/>
                <w:color w:val="auto"/>
                <w:sz w:val="24"/>
                <w:szCs w:val="24"/>
                <w:lang w:val="en-US" w:eastAsia="zh-CN"/>
              </w:rPr>
              <w:t>21</w:t>
            </w:r>
            <w:r>
              <w:rPr>
                <w:rFonts w:hint="default" w:ascii="Times New Roman" w:hAnsi="Times New Roman" w:cs="Times New Roman"/>
                <w:b/>
                <w:bCs/>
                <w:color w:val="auto"/>
                <w:sz w:val="24"/>
                <w:szCs w:val="24"/>
              </w:rPr>
              <w:t>排放口基本情况一览表</w:t>
            </w:r>
          </w:p>
          <w:tbl>
            <w:tblPr>
              <w:tblStyle w:val="35"/>
              <w:tblW w:w="8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770"/>
              <w:gridCol w:w="719"/>
              <w:gridCol w:w="1539"/>
              <w:gridCol w:w="1528"/>
              <w:gridCol w:w="1413"/>
              <w:gridCol w:w="711"/>
              <w:gridCol w:w="711"/>
              <w:gridCol w:w="747"/>
            </w:tblGrid>
            <w:tr w14:paraId="44A94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1" w:hRule="atLeast"/>
                <w:jc w:val="center"/>
              </w:trPr>
              <w:tc>
                <w:tcPr>
                  <w:tcW w:w="770" w:type="dxa"/>
                  <w:vMerge w:val="restart"/>
                  <w:vAlign w:val="center"/>
                </w:tcPr>
                <w:p w14:paraId="55D79D88">
                  <w:pPr>
                    <w:pStyle w:val="9"/>
                    <w:spacing w:before="0" w:after="0" w:line="356" w:lineRule="exact"/>
                    <w:jc w:val="center"/>
                    <w:outlineLvl w:val="3"/>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名称及编号</w:t>
                  </w:r>
                </w:p>
              </w:tc>
              <w:tc>
                <w:tcPr>
                  <w:tcW w:w="719" w:type="dxa"/>
                  <w:vMerge w:val="restart"/>
                  <w:vAlign w:val="center"/>
                </w:tcPr>
                <w:p w14:paraId="4B34B952">
                  <w:pPr>
                    <w:pStyle w:val="9"/>
                    <w:spacing w:before="0" w:after="0" w:line="356" w:lineRule="exact"/>
                    <w:jc w:val="center"/>
                    <w:outlineLvl w:val="3"/>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类型</w:t>
                  </w:r>
                </w:p>
              </w:tc>
              <w:tc>
                <w:tcPr>
                  <w:tcW w:w="1539" w:type="dxa"/>
                  <w:vMerge w:val="restart"/>
                  <w:vAlign w:val="center"/>
                </w:tcPr>
                <w:p w14:paraId="5139ADFF">
                  <w:pPr>
                    <w:pStyle w:val="9"/>
                    <w:spacing w:before="0" w:after="0" w:line="356" w:lineRule="exact"/>
                    <w:jc w:val="center"/>
                    <w:outlineLvl w:val="3"/>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污染源名称</w:t>
                  </w:r>
                </w:p>
              </w:tc>
              <w:tc>
                <w:tcPr>
                  <w:tcW w:w="2941" w:type="dxa"/>
                  <w:gridSpan w:val="2"/>
                  <w:vAlign w:val="center"/>
                </w:tcPr>
                <w:p w14:paraId="56620CC6">
                  <w:pPr>
                    <w:pStyle w:val="9"/>
                    <w:spacing w:before="0" w:after="0" w:line="356" w:lineRule="exact"/>
                    <w:jc w:val="center"/>
                    <w:outlineLvl w:val="3"/>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排气筒底部中心坐标（</w:t>
                  </w:r>
                  <w:r>
                    <w:rPr>
                      <w:rFonts w:hint="default" w:ascii="Times New Roman" w:hAnsi="Times New Roman" w:cs="Times New Roman"/>
                      <w:color w:val="auto"/>
                      <w:sz w:val="21"/>
                      <w:szCs w:val="21"/>
                    </w:rPr>
                    <w:t>°</w:t>
                  </w:r>
                  <w:r>
                    <w:rPr>
                      <w:rFonts w:hint="default" w:ascii="Times New Roman" w:hAnsi="Times New Roman" w:eastAsia="宋体" w:cs="Times New Roman"/>
                      <w:color w:val="auto"/>
                      <w:sz w:val="21"/>
                      <w:szCs w:val="21"/>
                    </w:rPr>
                    <w:t>）</w:t>
                  </w:r>
                </w:p>
              </w:tc>
              <w:tc>
                <w:tcPr>
                  <w:tcW w:w="2169" w:type="dxa"/>
                  <w:gridSpan w:val="3"/>
                  <w:vAlign w:val="center"/>
                </w:tcPr>
                <w:p w14:paraId="01EA327D">
                  <w:pPr>
                    <w:pStyle w:val="9"/>
                    <w:spacing w:before="0" w:after="0" w:line="356" w:lineRule="exact"/>
                    <w:jc w:val="center"/>
                    <w:outlineLvl w:val="3"/>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排气筒参数</w:t>
                  </w:r>
                </w:p>
              </w:tc>
            </w:tr>
            <w:tr w14:paraId="080EB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67" w:hRule="atLeast"/>
                <w:jc w:val="center"/>
              </w:trPr>
              <w:tc>
                <w:tcPr>
                  <w:tcW w:w="770" w:type="dxa"/>
                  <w:vMerge w:val="continue"/>
                  <w:vAlign w:val="center"/>
                </w:tcPr>
                <w:p w14:paraId="0DB49D70">
                  <w:pPr>
                    <w:pStyle w:val="9"/>
                    <w:spacing w:before="0" w:after="0" w:line="356" w:lineRule="exact"/>
                    <w:jc w:val="center"/>
                    <w:outlineLvl w:val="3"/>
                    <w:rPr>
                      <w:rFonts w:hint="default" w:ascii="Times New Roman" w:hAnsi="Times New Roman" w:eastAsia="宋体" w:cs="Times New Roman"/>
                      <w:color w:val="auto"/>
                      <w:sz w:val="21"/>
                      <w:szCs w:val="21"/>
                    </w:rPr>
                  </w:pPr>
                </w:p>
              </w:tc>
              <w:tc>
                <w:tcPr>
                  <w:tcW w:w="719" w:type="dxa"/>
                  <w:vMerge w:val="continue"/>
                  <w:vAlign w:val="center"/>
                </w:tcPr>
                <w:p w14:paraId="7348313C">
                  <w:pPr>
                    <w:pStyle w:val="9"/>
                    <w:spacing w:before="0" w:after="0" w:line="356" w:lineRule="exact"/>
                    <w:jc w:val="center"/>
                    <w:outlineLvl w:val="3"/>
                    <w:rPr>
                      <w:rFonts w:hint="default" w:ascii="Times New Roman" w:hAnsi="Times New Roman" w:eastAsia="宋体" w:cs="Times New Roman"/>
                      <w:color w:val="auto"/>
                      <w:sz w:val="21"/>
                      <w:szCs w:val="21"/>
                    </w:rPr>
                  </w:pPr>
                </w:p>
              </w:tc>
              <w:tc>
                <w:tcPr>
                  <w:tcW w:w="1539" w:type="dxa"/>
                  <w:vMerge w:val="continue"/>
                  <w:vAlign w:val="center"/>
                </w:tcPr>
                <w:p w14:paraId="04DDDF9D">
                  <w:pPr>
                    <w:pStyle w:val="9"/>
                    <w:spacing w:before="0" w:after="0" w:line="356" w:lineRule="exact"/>
                    <w:jc w:val="center"/>
                    <w:outlineLvl w:val="3"/>
                    <w:rPr>
                      <w:rFonts w:hint="default" w:ascii="Times New Roman" w:hAnsi="Times New Roman" w:eastAsia="宋体" w:cs="Times New Roman"/>
                      <w:color w:val="auto"/>
                      <w:sz w:val="21"/>
                      <w:szCs w:val="21"/>
                    </w:rPr>
                  </w:pPr>
                </w:p>
              </w:tc>
              <w:tc>
                <w:tcPr>
                  <w:tcW w:w="1528" w:type="dxa"/>
                  <w:vAlign w:val="center"/>
                </w:tcPr>
                <w:p w14:paraId="43ED60E4">
                  <w:pPr>
                    <w:pStyle w:val="9"/>
                    <w:spacing w:before="0" w:after="0" w:line="356" w:lineRule="exact"/>
                    <w:jc w:val="center"/>
                    <w:outlineLvl w:val="3"/>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经度E</w:t>
                  </w:r>
                </w:p>
              </w:tc>
              <w:tc>
                <w:tcPr>
                  <w:tcW w:w="1413" w:type="dxa"/>
                  <w:vAlign w:val="center"/>
                </w:tcPr>
                <w:p w14:paraId="3F7AD8F0">
                  <w:pPr>
                    <w:pStyle w:val="9"/>
                    <w:spacing w:before="0" w:after="0" w:line="356" w:lineRule="exact"/>
                    <w:jc w:val="center"/>
                    <w:outlineLvl w:val="3"/>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纬度N</w:t>
                  </w:r>
                </w:p>
              </w:tc>
              <w:tc>
                <w:tcPr>
                  <w:tcW w:w="711" w:type="dxa"/>
                  <w:vAlign w:val="center"/>
                </w:tcPr>
                <w:p w14:paraId="7D587454">
                  <w:pPr>
                    <w:pStyle w:val="9"/>
                    <w:spacing w:before="0" w:after="0" w:line="356" w:lineRule="exact"/>
                    <w:jc w:val="center"/>
                    <w:outlineLvl w:val="3"/>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高度（m）</w:t>
                  </w:r>
                </w:p>
              </w:tc>
              <w:tc>
                <w:tcPr>
                  <w:tcW w:w="711" w:type="dxa"/>
                  <w:vAlign w:val="center"/>
                </w:tcPr>
                <w:p w14:paraId="5B96217B">
                  <w:pPr>
                    <w:pStyle w:val="9"/>
                    <w:spacing w:before="0" w:after="0" w:line="356" w:lineRule="exact"/>
                    <w:jc w:val="center"/>
                    <w:outlineLvl w:val="3"/>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内径（m）</w:t>
                  </w:r>
                </w:p>
              </w:tc>
              <w:tc>
                <w:tcPr>
                  <w:tcW w:w="747" w:type="dxa"/>
                  <w:vAlign w:val="center"/>
                </w:tcPr>
                <w:p w14:paraId="14BE9F7C">
                  <w:pPr>
                    <w:pStyle w:val="9"/>
                    <w:spacing w:before="0" w:after="0" w:line="356" w:lineRule="exact"/>
                    <w:jc w:val="center"/>
                    <w:outlineLvl w:val="3"/>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温度（℃）</w:t>
                  </w:r>
                </w:p>
              </w:tc>
            </w:tr>
            <w:tr w14:paraId="715A1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21" w:hRule="atLeast"/>
                <w:jc w:val="center"/>
              </w:trPr>
              <w:tc>
                <w:tcPr>
                  <w:tcW w:w="770" w:type="dxa"/>
                  <w:vAlign w:val="center"/>
                </w:tcPr>
                <w:p w14:paraId="5913645B">
                  <w:pPr>
                    <w:spacing w:line="356" w:lineRule="exact"/>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有机废气排气筒</w:t>
                  </w:r>
                  <w:r>
                    <w:rPr>
                      <w:rFonts w:hint="default" w:ascii="Times New Roman" w:hAnsi="Times New Roman" w:cs="Times New Roman"/>
                      <w:color w:val="auto"/>
                      <w:sz w:val="21"/>
                      <w:szCs w:val="21"/>
                      <w:lang w:eastAsia="zh-CN"/>
                    </w:rPr>
                    <w:t>DA001</w:t>
                  </w:r>
                </w:p>
              </w:tc>
              <w:tc>
                <w:tcPr>
                  <w:tcW w:w="719" w:type="dxa"/>
                  <w:vAlign w:val="center"/>
                </w:tcPr>
                <w:p w14:paraId="01519BF1">
                  <w:pPr>
                    <w:pStyle w:val="9"/>
                    <w:spacing w:before="0" w:after="0" w:line="356" w:lineRule="exact"/>
                    <w:jc w:val="center"/>
                    <w:outlineLvl w:val="3"/>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一般排放口</w:t>
                  </w:r>
                </w:p>
              </w:tc>
              <w:tc>
                <w:tcPr>
                  <w:tcW w:w="1539" w:type="dxa"/>
                  <w:vAlign w:val="center"/>
                </w:tcPr>
                <w:p w14:paraId="702C933C">
                  <w:pPr>
                    <w:pStyle w:val="9"/>
                    <w:spacing w:before="0" w:after="0" w:line="356" w:lineRule="exact"/>
                    <w:jc w:val="center"/>
                    <w:outlineLvl w:val="3"/>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lang w:eastAsia="zh-CN"/>
                    </w:rPr>
                    <w:t>非甲烷总烃、</w:t>
                  </w:r>
                  <w:r>
                    <w:rPr>
                      <w:rFonts w:hint="default" w:ascii="Times New Roman" w:hAnsi="Times New Roman" w:eastAsia="宋体" w:cs="Times New Roman"/>
                      <w:b w:val="0"/>
                      <w:bCs w:val="0"/>
                      <w:color w:val="auto"/>
                      <w:sz w:val="21"/>
                      <w:szCs w:val="21"/>
                      <w:lang w:val="en-US" w:eastAsia="zh-CN"/>
                    </w:rPr>
                    <w:t>臭气浓度</w:t>
                  </w:r>
                </w:p>
              </w:tc>
              <w:tc>
                <w:tcPr>
                  <w:tcW w:w="1528" w:type="dxa"/>
                  <w:vAlign w:val="center"/>
                </w:tcPr>
                <w:p w14:paraId="3FE61E69">
                  <w:pPr>
                    <w:pStyle w:val="9"/>
                    <w:spacing w:before="0" w:after="0" w:line="356" w:lineRule="exact"/>
                    <w:jc w:val="center"/>
                    <w:outlineLvl w:val="3"/>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116.4997</w:t>
                  </w:r>
                  <w:r>
                    <w:rPr>
                      <w:rFonts w:hint="eastAsia" w:ascii="Times New Roman" w:hAnsi="Times New Roman" w:eastAsia="宋体" w:cs="Times New Roman"/>
                      <w:b w:val="0"/>
                      <w:bCs w:val="0"/>
                      <w:color w:val="auto"/>
                      <w:sz w:val="21"/>
                      <w:szCs w:val="21"/>
                      <w:lang w:val="en-US" w:eastAsia="zh-CN"/>
                    </w:rPr>
                    <w:t>7</w:t>
                  </w:r>
                  <w:r>
                    <w:rPr>
                      <w:rFonts w:hint="default" w:ascii="Times New Roman" w:hAnsi="Times New Roman" w:eastAsia="宋体" w:cs="Times New Roman"/>
                      <w:b w:val="0"/>
                      <w:bCs w:val="0"/>
                      <w:color w:val="auto"/>
                      <w:sz w:val="21"/>
                      <w:szCs w:val="21"/>
                    </w:rPr>
                    <w:t xml:space="preserve">1551 </w:t>
                  </w:r>
                </w:p>
              </w:tc>
              <w:tc>
                <w:tcPr>
                  <w:tcW w:w="1413" w:type="dxa"/>
                  <w:vAlign w:val="center"/>
                </w:tcPr>
                <w:p w14:paraId="242913E6">
                  <w:pPr>
                    <w:pStyle w:val="9"/>
                    <w:spacing w:before="0" w:after="0" w:line="356" w:lineRule="exact"/>
                    <w:jc w:val="center"/>
                    <w:outlineLvl w:val="3"/>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 xml:space="preserve">39.177505415 </w:t>
                  </w:r>
                </w:p>
              </w:tc>
              <w:tc>
                <w:tcPr>
                  <w:tcW w:w="711" w:type="dxa"/>
                  <w:vAlign w:val="center"/>
                </w:tcPr>
                <w:p w14:paraId="7A516D98">
                  <w:pPr>
                    <w:pStyle w:val="9"/>
                    <w:spacing w:before="0" w:after="0" w:line="356" w:lineRule="exact"/>
                    <w:jc w:val="center"/>
                    <w:outlineLvl w:val="3"/>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15</w:t>
                  </w:r>
                </w:p>
              </w:tc>
              <w:tc>
                <w:tcPr>
                  <w:tcW w:w="711" w:type="dxa"/>
                  <w:vAlign w:val="center"/>
                </w:tcPr>
                <w:p w14:paraId="5CCF0B68">
                  <w:pPr>
                    <w:pStyle w:val="9"/>
                    <w:spacing w:before="0" w:after="0" w:line="356" w:lineRule="exact"/>
                    <w:jc w:val="center"/>
                    <w:outlineLvl w:val="3"/>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0.5</w:t>
                  </w:r>
                </w:p>
              </w:tc>
              <w:tc>
                <w:tcPr>
                  <w:tcW w:w="747" w:type="dxa"/>
                  <w:vAlign w:val="center"/>
                </w:tcPr>
                <w:p w14:paraId="0419DB2F">
                  <w:pPr>
                    <w:pStyle w:val="9"/>
                    <w:spacing w:before="0" w:after="0" w:line="356" w:lineRule="exact"/>
                    <w:jc w:val="center"/>
                    <w:outlineLvl w:val="3"/>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40</w:t>
                  </w:r>
                </w:p>
              </w:tc>
            </w:tr>
            <w:tr w14:paraId="4E1C7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21" w:hRule="atLeast"/>
                <w:jc w:val="center"/>
              </w:trPr>
              <w:tc>
                <w:tcPr>
                  <w:tcW w:w="770" w:type="dxa"/>
                  <w:vAlign w:val="center"/>
                </w:tcPr>
                <w:p w14:paraId="03EE29DA">
                  <w:pPr>
                    <w:spacing w:line="356"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粉碎废气排气筒</w:t>
                  </w:r>
                  <w:r>
                    <w:rPr>
                      <w:rFonts w:hint="default" w:ascii="Times New Roman" w:hAnsi="Times New Roman" w:cs="Times New Roman"/>
                      <w:color w:val="auto"/>
                      <w:sz w:val="21"/>
                      <w:szCs w:val="21"/>
                      <w:lang w:eastAsia="zh-CN"/>
                    </w:rPr>
                    <w:t>DA002</w:t>
                  </w:r>
                </w:p>
              </w:tc>
              <w:tc>
                <w:tcPr>
                  <w:tcW w:w="719" w:type="dxa"/>
                  <w:vAlign w:val="center"/>
                </w:tcPr>
                <w:p w14:paraId="21AA893B">
                  <w:pPr>
                    <w:pStyle w:val="9"/>
                    <w:spacing w:before="0" w:after="0" w:line="356" w:lineRule="exact"/>
                    <w:jc w:val="center"/>
                    <w:outlineLvl w:val="3"/>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一般排放口</w:t>
                  </w:r>
                </w:p>
              </w:tc>
              <w:tc>
                <w:tcPr>
                  <w:tcW w:w="1539" w:type="dxa"/>
                  <w:vAlign w:val="center"/>
                </w:tcPr>
                <w:p w14:paraId="0AEEA01F">
                  <w:pPr>
                    <w:pStyle w:val="9"/>
                    <w:spacing w:before="0" w:after="0" w:line="356" w:lineRule="exact"/>
                    <w:jc w:val="center"/>
                    <w:outlineLvl w:val="3"/>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颗粒物</w:t>
                  </w:r>
                </w:p>
              </w:tc>
              <w:tc>
                <w:tcPr>
                  <w:tcW w:w="1528" w:type="dxa"/>
                  <w:vAlign w:val="center"/>
                </w:tcPr>
                <w:p w14:paraId="56CE6945">
                  <w:pPr>
                    <w:pStyle w:val="9"/>
                    <w:spacing w:before="0" w:after="0" w:line="356" w:lineRule="exact"/>
                    <w:jc w:val="center"/>
                    <w:outlineLvl w:val="3"/>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 xml:space="preserve">116.499607936 </w:t>
                  </w:r>
                </w:p>
              </w:tc>
              <w:tc>
                <w:tcPr>
                  <w:tcW w:w="1413" w:type="dxa"/>
                  <w:vAlign w:val="center"/>
                </w:tcPr>
                <w:p w14:paraId="6288B9AE">
                  <w:pPr>
                    <w:pStyle w:val="9"/>
                    <w:spacing w:before="0" w:after="0" w:line="356" w:lineRule="exact"/>
                    <w:jc w:val="center"/>
                    <w:outlineLvl w:val="3"/>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39.177500050</w:t>
                  </w:r>
                </w:p>
              </w:tc>
              <w:tc>
                <w:tcPr>
                  <w:tcW w:w="711" w:type="dxa"/>
                  <w:vAlign w:val="center"/>
                </w:tcPr>
                <w:p w14:paraId="4A34CE6A">
                  <w:pPr>
                    <w:pStyle w:val="9"/>
                    <w:spacing w:before="0" w:after="0" w:line="356" w:lineRule="exact"/>
                    <w:jc w:val="center"/>
                    <w:outlineLvl w:val="3"/>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15</w:t>
                  </w:r>
                </w:p>
              </w:tc>
              <w:tc>
                <w:tcPr>
                  <w:tcW w:w="711" w:type="dxa"/>
                  <w:vAlign w:val="center"/>
                </w:tcPr>
                <w:p w14:paraId="66B43700">
                  <w:pPr>
                    <w:pStyle w:val="9"/>
                    <w:spacing w:before="0" w:after="0" w:line="356" w:lineRule="exact"/>
                    <w:jc w:val="center"/>
                    <w:outlineLvl w:val="3"/>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0.3</w:t>
                  </w:r>
                </w:p>
              </w:tc>
              <w:tc>
                <w:tcPr>
                  <w:tcW w:w="747" w:type="dxa"/>
                  <w:vAlign w:val="center"/>
                </w:tcPr>
                <w:p w14:paraId="2BF42A91">
                  <w:pPr>
                    <w:pStyle w:val="9"/>
                    <w:spacing w:before="0" w:after="0" w:line="356" w:lineRule="exact"/>
                    <w:jc w:val="center"/>
                    <w:outlineLvl w:val="3"/>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25</w:t>
                  </w:r>
                </w:p>
              </w:tc>
            </w:tr>
          </w:tbl>
          <w:p w14:paraId="76A02194">
            <w:pPr>
              <w:snapToGrid w:val="0"/>
              <w:spacing w:line="480" w:lineRule="atLeast"/>
              <w:ind w:firstLine="482" w:firstLineChars="200"/>
              <w:jc w:val="left"/>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3、非正常工况排放情况</w:t>
            </w:r>
          </w:p>
          <w:p w14:paraId="0446494A">
            <w:pPr>
              <w:snapToGrid w:val="0"/>
              <w:spacing w:line="480" w:lineRule="atLeast"/>
              <w:ind w:firstLine="480" w:firstLineChars="200"/>
              <w:jc w:val="left"/>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项目废气污染物非正常工况排放情况见表</w:t>
            </w:r>
            <w:r>
              <w:rPr>
                <w:rFonts w:hint="eastAsia" w:ascii="Times New Roman" w:hAnsi="Times New Roman" w:cs="Times New Roman"/>
                <w:bCs/>
                <w:color w:val="auto"/>
                <w:sz w:val="24"/>
                <w:szCs w:val="24"/>
                <w:lang w:val="en-US" w:eastAsia="zh-CN"/>
              </w:rPr>
              <w:t>22</w:t>
            </w:r>
            <w:r>
              <w:rPr>
                <w:rFonts w:hint="default" w:ascii="Times New Roman" w:hAnsi="Times New Roman" w:cs="Times New Roman"/>
                <w:bCs/>
                <w:color w:val="auto"/>
                <w:sz w:val="24"/>
                <w:szCs w:val="24"/>
              </w:rPr>
              <w:t>。</w:t>
            </w:r>
          </w:p>
          <w:p w14:paraId="45109531">
            <w:pPr>
              <w:pStyle w:val="4"/>
              <w:spacing w:line="480" w:lineRule="atLeast"/>
              <w:ind w:firstLine="482"/>
              <w:jc w:val="center"/>
              <w:rPr>
                <w:rFonts w:hint="default" w:ascii="Times New Roman" w:hAnsi="Times New Roman" w:cs="Times New Roman" w:eastAsiaTheme="minorEastAsia"/>
                <w:b/>
                <w:bCs/>
                <w:color w:val="auto"/>
                <w:sz w:val="24"/>
                <w:szCs w:val="24"/>
              </w:rPr>
            </w:pPr>
            <w:r>
              <w:rPr>
                <w:rFonts w:hint="default" w:ascii="Times New Roman" w:hAnsi="Times New Roman" w:cs="Times New Roman" w:eastAsiaTheme="minorEastAsia"/>
                <w:b/>
                <w:bCs/>
                <w:color w:val="auto"/>
                <w:sz w:val="24"/>
                <w:szCs w:val="24"/>
              </w:rPr>
              <w:t>表</w:t>
            </w:r>
            <w:r>
              <w:rPr>
                <w:rFonts w:hint="eastAsia" w:ascii="Times New Roman" w:hAnsi="Times New Roman" w:cs="Times New Roman" w:eastAsiaTheme="minorEastAsia"/>
                <w:b/>
                <w:bCs/>
                <w:color w:val="auto"/>
                <w:sz w:val="24"/>
                <w:szCs w:val="24"/>
                <w:lang w:val="en-US" w:eastAsia="zh-CN"/>
              </w:rPr>
              <w:t>22</w:t>
            </w:r>
            <w:r>
              <w:rPr>
                <w:rFonts w:hint="default" w:ascii="Times New Roman" w:hAnsi="Times New Roman" w:cs="Times New Roman" w:eastAsiaTheme="minorEastAsia"/>
                <w:b/>
                <w:bCs/>
                <w:color w:val="auto"/>
                <w:sz w:val="24"/>
                <w:szCs w:val="24"/>
              </w:rPr>
              <w:t>非正常工况废气排放情况</w:t>
            </w:r>
          </w:p>
          <w:tbl>
            <w:tblPr>
              <w:tblStyle w:val="35"/>
              <w:tblW w:w="4998" w:type="pct"/>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57" w:type="dxa"/>
                <w:bottom w:w="0" w:type="dxa"/>
                <w:right w:w="57" w:type="dxa"/>
              </w:tblCellMar>
            </w:tblPr>
            <w:tblGrid>
              <w:gridCol w:w="819"/>
              <w:gridCol w:w="1070"/>
              <w:gridCol w:w="1104"/>
              <w:gridCol w:w="923"/>
              <w:gridCol w:w="875"/>
              <w:gridCol w:w="516"/>
              <w:gridCol w:w="1529"/>
              <w:gridCol w:w="1279"/>
            </w:tblGrid>
            <w:tr w14:paraId="38C5533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57" w:type="dxa"/>
                  <w:bottom w:w="0" w:type="dxa"/>
                  <w:right w:w="57" w:type="dxa"/>
                </w:tblCellMar>
              </w:tblPrEx>
              <w:trPr>
                <w:trHeight w:val="845" w:hRule="atLeast"/>
                <w:jc w:val="center"/>
              </w:trPr>
              <w:tc>
                <w:tcPr>
                  <w:tcW w:w="504" w:type="pct"/>
                  <w:vAlign w:val="center"/>
                </w:tcPr>
                <w:p w14:paraId="771FC9A3">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项目</w:t>
                  </w:r>
                </w:p>
              </w:tc>
              <w:tc>
                <w:tcPr>
                  <w:tcW w:w="659" w:type="pct"/>
                  <w:vAlign w:val="center"/>
                </w:tcPr>
                <w:p w14:paraId="66BE8FC4">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污染物</w:t>
                  </w:r>
                </w:p>
              </w:tc>
              <w:tc>
                <w:tcPr>
                  <w:tcW w:w="680" w:type="pct"/>
                  <w:vAlign w:val="center"/>
                </w:tcPr>
                <w:p w14:paraId="0499F901">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eastAsiaTheme="minorEastAsia"/>
                      <w:b/>
                      <w:bCs/>
                      <w:snapToGrid w:val="0"/>
                      <w:color w:val="auto"/>
                      <w:sz w:val="21"/>
                      <w:szCs w:val="21"/>
                      <w:highlight w:val="none"/>
                    </w:rPr>
                    <w:t>排放浓度（mg/m</w:t>
                  </w:r>
                  <w:r>
                    <w:rPr>
                      <w:rFonts w:hint="default" w:ascii="Times New Roman" w:hAnsi="Times New Roman" w:cs="Times New Roman" w:eastAsiaTheme="minorEastAsia"/>
                      <w:b/>
                      <w:bCs/>
                      <w:snapToGrid w:val="0"/>
                      <w:color w:val="auto"/>
                      <w:sz w:val="21"/>
                      <w:szCs w:val="21"/>
                      <w:highlight w:val="none"/>
                      <w:vertAlign w:val="superscript"/>
                    </w:rPr>
                    <w:t>3</w:t>
                  </w:r>
                  <w:r>
                    <w:rPr>
                      <w:rFonts w:hint="default" w:ascii="Times New Roman" w:hAnsi="Times New Roman" w:cs="Times New Roman" w:eastAsiaTheme="minorEastAsia"/>
                      <w:b/>
                      <w:bCs/>
                      <w:snapToGrid w:val="0"/>
                      <w:color w:val="auto"/>
                      <w:sz w:val="21"/>
                      <w:szCs w:val="21"/>
                      <w:highlight w:val="none"/>
                    </w:rPr>
                    <w:t>）</w:t>
                  </w:r>
                </w:p>
              </w:tc>
              <w:tc>
                <w:tcPr>
                  <w:tcW w:w="568" w:type="pct"/>
                  <w:vAlign w:val="center"/>
                </w:tcPr>
                <w:p w14:paraId="5B11E030">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eastAsiaTheme="minorEastAsia"/>
                      <w:b/>
                      <w:bCs/>
                      <w:snapToGrid w:val="0"/>
                      <w:color w:val="auto"/>
                      <w:sz w:val="21"/>
                      <w:szCs w:val="21"/>
                      <w:highlight w:val="none"/>
                    </w:rPr>
                    <w:t>排放速率（kg/h）</w:t>
                  </w:r>
                </w:p>
              </w:tc>
              <w:tc>
                <w:tcPr>
                  <w:tcW w:w="539" w:type="pct"/>
                  <w:vAlign w:val="center"/>
                </w:tcPr>
                <w:p w14:paraId="235A16BF">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eastAsiaTheme="minorEastAsia"/>
                      <w:b/>
                      <w:bCs/>
                      <w:snapToGrid w:val="0"/>
                      <w:color w:val="auto"/>
                      <w:sz w:val="21"/>
                      <w:szCs w:val="21"/>
                      <w:highlight w:val="none"/>
                    </w:rPr>
                    <w:t>持续时间（min）</w:t>
                  </w:r>
                </w:p>
              </w:tc>
              <w:tc>
                <w:tcPr>
                  <w:tcW w:w="317" w:type="pct"/>
                  <w:vAlign w:val="center"/>
                </w:tcPr>
                <w:p w14:paraId="56747100">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eastAsiaTheme="minorEastAsia"/>
                      <w:b/>
                      <w:bCs/>
                      <w:snapToGrid w:val="0"/>
                      <w:color w:val="auto"/>
                      <w:sz w:val="21"/>
                      <w:szCs w:val="21"/>
                      <w:highlight w:val="none"/>
                    </w:rPr>
                    <w:t>频次</w:t>
                  </w:r>
                </w:p>
              </w:tc>
              <w:tc>
                <w:tcPr>
                  <w:tcW w:w="942" w:type="pct"/>
                  <w:vAlign w:val="center"/>
                </w:tcPr>
                <w:p w14:paraId="5FECA4A2">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eastAsiaTheme="minorEastAsia"/>
                      <w:b/>
                      <w:bCs/>
                      <w:snapToGrid w:val="0"/>
                      <w:color w:val="auto"/>
                      <w:sz w:val="21"/>
                      <w:szCs w:val="21"/>
                      <w:highlight w:val="none"/>
                    </w:rPr>
                    <w:t>出现原因</w:t>
                  </w:r>
                </w:p>
              </w:tc>
              <w:tc>
                <w:tcPr>
                  <w:tcW w:w="788" w:type="pct"/>
                  <w:vAlign w:val="center"/>
                </w:tcPr>
                <w:p w14:paraId="2474E874">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eastAsiaTheme="minorEastAsia"/>
                      <w:b/>
                      <w:bCs/>
                      <w:snapToGrid w:val="0"/>
                      <w:color w:val="auto"/>
                      <w:sz w:val="21"/>
                      <w:szCs w:val="21"/>
                      <w:highlight w:val="none"/>
                    </w:rPr>
                    <w:t>措施</w:t>
                  </w:r>
                </w:p>
              </w:tc>
            </w:tr>
            <w:tr w14:paraId="7D9D20E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57" w:type="dxa"/>
                  <w:bottom w:w="0" w:type="dxa"/>
                  <w:right w:w="57" w:type="dxa"/>
                </w:tblCellMar>
              </w:tblPrEx>
              <w:trPr>
                <w:trHeight w:val="397" w:hRule="atLeast"/>
                <w:jc w:val="center"/>
              </w:trPr>
              <w:tc>
                <w:tcPr>
                  <w:tcW w:w="504" w:type="pct"/>
                  <w:vMerge w:val="restart"/>
                  <w:vAlign w:val="center"/>
                </w:tcPr>
                <w:p w14:paraId="6D4F217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DA001</w:t>
                  </w:r>
                </w:p>
              </w:tc>
              <w:tc>
                <w:tcPr>
                  <w:tcW w:w="659" w:type="pct"/>
                  <w:vAlign w:val="center"/>
                </w:tcPr>
                <w:p w14:paraId="687FDFD6">
                  <w:pPr>
                    <w:pStyle w:val="9"/>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auto"/>
                      <w:sz w:val="21"/>
                      <w:szCs w:val="21"/>
                      <w:highlight w:val="none"/>
                      <w:lang w:eastAsia="zh-CN"/>
                    </w:rPr>
                  </w:pPr>
                  <w:r>
                    <w:rPr>
                      <w:rFonts w:hint="default" w:ascii="Times New Roman" w:hAnsi="Times New Roman" w:eastAsia="宋体" w:cs="Times New Roman"/>
                      <w:b w:val="0"/>
                      <w:bCs w:val="0"/>
                      <w:color w:val="auto"/>
                      <w:sz w:val="21"/>
                      <w:szCs w:val="21"/>
                      <w:highlight w:val="none"/>
                      <w:lang w:eastAsia="zh-CN"/>
                    </w:rPr>
                    <w:t>非甲烷总烃</w:t>
                  </w:r>
                </w:p>
              </w:tc>
              <w:tc>
                <w:tcPr>
                  <w:tcW w:w="680" w:type="pct"/>
                  <w:vAlign w:val="center"/>
                </w:tcPr>
                <w:p w14:paraId="34DAAD1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center"/>
                    <w:rPr>
                      <w:rFonts w:hint="default" w:ascii="Times New Roman" w:hAnsi="Times New Roman" w:cs="Times New Roman"/>
                      <w:snapToGrid w:val="0"/>
                      <w:color w:val="FF0000"/>
                      <w:kern w:val="0"/>
                      <w:sz w:val="21"/>
                      <w:szCs w:val="21"/>
                      <w:highlight w:val="none"/>
                      <w:lang w:val="en-US" w:eastAsia="zh-CN"/>
                    </w:rPr>
                  </w:pPr>
                  <w:r>
                    <w:rPr>
                      <w:rFonts w:hint="eastAsia" w:ascii="Times New Roman" w:hAnsi="Times New Roman" w:cs="Times New Roman"/>
                      <w:snapToGrid w:val="0"/>
                      <w:color w:val="FF0000"/>
                      <w:kern w:val="0"/>
                      <w:sz w:val="21"/>
                      <w:szCs w:val="21"/>
                      <w:highlight w:val="none"/>
                      <w:lang w:val="en-US" w:eastAsia="zh-CN"/>
                    </w:rPr>
                    <w:t>37.5</w:t>
                  </w:r>
                </w:p>
              </w:tc>
              <w:tc>
                <w:tcPr>
                  <w:tcW w:w="568" w:type="pct"/>
                  <w:vAlign w:val="center"/>
                </w:tcPr>
                <w:p w14:paraId="01AB373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center"/>
                    <w:rPr>
                      <w:rFonts w:hint="default" w:ascii="Times New Roman" w:hAnsi="Times New Roman" w:cs="Times New Roman"/>
                      <w:snapToGrid w:val="0"/>
                      <w:color w:val="FF0000"/>
                      <w:kern w:val="0"/>
                      <w:sz w:val="21"/>
                      <w:szCs w:val="21"/>
                      <w:highlight w:val="none"/>
                      <w:lang w:val="en-US" w:eastAsia="zh-CN"/>
                    </w:rPr>
                  </w:pPr>
                  <w:r>
                    <w:rPr>
                      <w:rFonts w:hint="eastAsia" w:ascii="Times New Roman" w:hAnsi="Times New Roman" w:cs="Times New Roman"/>
                      <w:snapToGrid w:val="0"/>
                      <w:color w:val="FF0000"/>
                      <w:kern w:val="0"/>
                      <w:sz w:val="21"/>
                      <w:szCs w:val="21"/>
                      <w:highlight w:val="none"/>
                      <w:lang w:val="en-US" w:eastAsia="zh-CN"/>
                    </w:rPr>
                    <w:t>0.56</w:t>
                  </w:r>
                </w:p>
              </w:tc>
              <w:tc>
                <w:tcPr>
                  <w:tcW w:w="539" w:type="pct"/>
                  <w:vMerge w:val="restart"/>
                  <w:vAlign w:val="center"/>
                </w:tcPr>
                <w:p w14:paraId="45F309CB">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10</w:t>
                  </w:r>
                </w:p>
              </w:tc>
              <w:tc>
                <w:tcPr>
                  <w:tcW w:w="317" w:type="pct"/>
                  <w:vMerge w:val="restart"/>
                  <w:vAlign w:val="center"/>
                </w:tcPr>
                <w:p w14:paraId="034F64D8">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2年/次</w:t>
                  </w:r>
                </w:p>
              </w:tc>
              <w:tc>
                <w:tcPr>
                  <w:tcW w:w="942" w:type="pct"/>
                  <w:vMerge w:val="restart"/>
                  <w:vAlign w:val="center"/>
                </w:tcPr>
                <w:p w14:paraId="409D8133">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吸风系统</w:t>
                  </w:r>
                  <w:r>
                    <w:rPr>
                      <w:rFonts w:hint="eastAsia" w:ascii="Times New Roman" w:hAnsi="Times New Roman" w:cs="Times New Roman"/>
                      <w:color w:val="auto"/>
                      <w:sz w:val="21"/>
                      <w:szCs w:val="21"/>
                      <w:highlight w:val="none"/>
                      <w:lang w:eastAsia="zh-CN"/>
                    </w:rPr>
                    <w:t>环保</w:t>
                  </w:r>
                  <w:r>
                    <w:rPr>
                      <w:rFonts w:hint="default" w:ascii="Times New Roman" w:hAnsi="Times New Roman" w:cs="Times New Roman"/>
                      <w:color w:val="auto"/>
                      <w:sz w:val="21"/>
                      <w:szCs w:val="21"/>
                      <w:highlight w:val="none"/>
                      <w:lang w:eastAsia="zh-CN"/>
                    </w:rPr>
                    <w:t>设备</w:t>
                  </w:r>
                  <w:r>
                    <w:rPr>
                      <w:rFonts w:hint="default" w:ascii="Times New Roman" w:hAnsi="Times New Roman" w:cs="Times New Roman"/>
                      <w:color w:val="auto"/>
                      <w:sz w:val="21"/>
                      <w:szCs w:val="21"/>
                      <w:highlight w:val="none"/>
                    </w:rPr>
                    <w:t>发生故障，造成废气未处理外排，影响大气环境处理效率由</w:t>
                  </w:r>
                  <w:r>
                    <w:rPr>
                      <w:rFonts w:hint="eastAsia" w:ascii="Times New Roman" w:hAnsi="Times New Roman" w:cs="Times New Roman"/>
                      <w:color w:val="auto"/>
                      <w:sz w:val="21"/>
                      <w:szCs w:val="21"/>
                      <w:highlight w:val="none"/>
                      <w:lang w:val="en-US" w:eastAsia="zh-CN"/>
                    </w:rPr>
                    <w:t>91</w:t>
                  </w:r>
                  <w:r>
                    <w:rPr>
                      <w:rFonts w:hint="default" w:ascii="Times New Roman" w:hAnsi="Times New Roman" w:cs="Times New Roman"/>
                      <w:color w:val="auto"/>
                      <w:sz w:val="21"/>
                      <w:szCs w:val="21"/>
                      <w:highlight w:val="none"/>
                    </w:rPr>
                    <w:t>%降至0%</w:t>
                  </w:r>
                </w:p>
              </w:tc>
              <w:tc>
                <w:tcPr>
                  <w:tcW w:w="788" w:type="pct"/>
                  <w:vMerge w:val="restart"/>
                  <w:vAlign w:val="center"/>
                </w:tcPr>
                <w:p w14:paraId="0D95563F">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停止</w:t>
                  </w:r>
                  <w:r>
                    <w:rPr>
                      <w:rFonts w:hint="default" w:ascii="Times New Roman" w:hAnsi="Times New Roman" w:cs="Times New Roman"/>
                      <w:color w:val="auto"/>
                      <w:sz w:val="21"/>
                      <w:szCs w:val="21"/>
                      <w:highlight w:val="none"/>
                      <w:lang w:eastAsia="zh-CN"/>
                    </w:rPr>
                    <w:t>生产</w:t>
                  </w:r>
                  <w:r>
                    <w:rPr>
                      <w:rFonts w:hint="default" w:ascii="Times New Roman" w:hAnsi="Times New Roman" w:cs="Times New Roman"/>
                      <w:color w:val="auto"/>
                      <w:sz w:val="21"/>
                      <w:szCs w:val="21"/>
                      <w:highlight w:val="none"/>
                    </w:rPr>
                    <w:t>，检修设备吸风系统和</w:t>
                  </w:r>
                  <w:r>
                    <w:rPr>
                      <w:rFonts w:hint="default" w:ascii="Times New Roman" w:hAnsi="Times New Roman" w:cs="Times New Roman"/>
                      <w:color w:val="auto"/>
                      <w:sz w:val="21"/>
                      <w:szCs w:val="21"/>
                      <w:highlight w:val="none"/>
                      <w:lang w:eastAsia="zh-CN"/>
                    </w:rPr>
                    <w:t>活性炭设备</w:t>
                  </w:r>
                  <w:r>
                    <w:rPr>
                      <w:rFonts w:hint="default" w:ascii="Times New Roman" w:hAnsi="Times New Roman" w:cs="Times New Roman"/>
                      <w:color w:val="auto"/>
                      <w:sz w:val="21"/>
                      <w:szCs w:val="21"/>
                      <w:highlight w:val="none"/>
                    </w:rPr>
                    <w:t>，</w:t>
                  </w:r>
                  <w:r>
                    <w:rPr>
                      <w:rFonts w:hint="default" w:ascii="Times New Roman" w:hAnsi="Times New Roman" w:cs="Times New Roman"/>
                      <w:color w:val="auto"/>
                      <w:sz w:val="21"/>
                      <w:szCs w:val="21"/>
                      <w:highlight w:val="none"/>
                      <w:lang w:eastAsia="zh-CN"/>
                    </w:rPr>
                    <w:t>恢复</w:t>
                  </w:r>
                  <w:r>
                    <w:rPr>
                      <w:rFonts w:hint="default" w:ascii="Times New Roman" w:hAnsi="Times New Roman" w:cs="Times New Roman"/>
                      <w:color w:val="auto"/>
                      <w:sz w:val="21"/>
                      <w:szCs w:val="21"/>
                      <w:highlight w:val="none"/>
                    </w:rPr>
                    <w:t>正常后再进行</w:t>
                  </w:r>
                  <w:r>
                    <w:rPr>
                      <w:rFonts w:hint="default" w:ascii="Times New Roman" w:hAnsi="Times New Roman" w:cs="Times New Roman"/>
                      <w:color w:val="auto"/>
                      <w:sz w:val="21"/>
                      <w:szCs w:val="21"/>
                      <w:highlight w:val="none"/>
                      <w:lang w:eastAsia="zh-CN"/>
                    </w:rPr>
                    <w:t>生产。</w:t>
                  </w:r>
                </w:p>
              </w:tc>
            </w:tr>
            <w:tr w14:paraId="3B84C23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57" w:type="dxa"/>
                  <w:bottom w:w="0" w:type="dxa"/>
                  <w:right w:w="57" w:type="dxa"/>
                </w:tblCellMar>
              </w:tblPrEx>
              <w:trPr>
                <w:trHeight w:val="119" w:hRule="atLeast"/>
                <w:jc w:val="center"/>
              </w:trPr>
              <w:tc>
                <w:tcPr>
                  <w:tcW w:w="504" w:type="pct"/>
                  <w:vMerge w:val="continue"/>
                  <w:vAlign w:val="center"/>
                </w:tcPr>
                <w:p w14:paraId="7794CDA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ascii="Times New Roman" w:hAnsi="Times New Roman" w:cs="Times New Roman"/>
                      <w:color w:val="auto"/>
                      <w:sz w:val="21"/>
                      <w:szCs w:val="21"/>
                      <w:highlight w:val="none"/>
                      <w:lang w:val="en-US" w:eastAsia="zh-CN"/>
                    </w:rPr>
                  </w:pPr>
                </w:p>
              </w:tc>
              <w:tc>
                <w:tcPr>
                  <w:tcW w:w="659" w:type="pct"/>
                  <w:vAlign w:val="center"/>
                </w:tcPr>
                <w:p w14:paraId="2E355BC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snapToGrid w:val="0"/>
                      <w:color w:val="auto"/>
                      <w:kern w:val="0"/>
                      <w:sz w:val="21"/>
                      <w:szCs w:val="21"/>
                      <w:highlight w:val="none"/>
                      <w:lang w:val="en-US" w:eastAsia="zh-CN"/>
                    </w:rPr>
                  </w:pPr>
                  <w:r>
                    <w:rPr>
                      <w:rFonts w:hint="eastAsia" w:ascii="Times New Roman" w:hAnsi="Times New Roman" w:cs="Times New Roman"/>
                      <w:snapToGrid w:val="0"/>
                      <w:color w:val="auto"/>
                      <w:kern w:val="0"/>
                      <w:sz w:val="21"/>
                      <w:szCs w:val="21"/>
                      <w:highlight w:val="none"/>
                      <w:lang w:val="en-US" w:eastAsia="zh-CN"/>
                    </w:rPr>
                    <w:t>臭气浓度</w:t>
                  </w:r>
                </w:p>
              </w:tc>
              <w:tc>
                <w:tcPr>
                  <w:tcW w:w="680" w:type="pct"/>
                  <w:vAlign w:val="center"/>
                </w:tcPr>
                <w:p w14:paraId="370AB60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center"/>
                    <w:rPr>
                      <w:rFonts w:hint="default" w:ascii="Times New Roman" w:hAnsi="Times New Roman" w:cs="Times New Roman"/>
                      <w:snapToGrid w:val="0"/>
                      <w:color w:val="auto"/>
                      <w:kern w:val="0"/>
                      <w:sz w:val="21"/>
                      <w:szCs w:val="21"/>
                      <w:highlight w:val="none"/>
                      <w:lang w:val="en-US" w:eastAsia="zh-CN"/>
                    </w:rPr>
                  </w:pPr>
                  <w:r>
                    <w:rPr>
                      <w:rFonts w:hint="eastAsia" w:ascii="Times New Roman" w:hAnsi="Times New Roman" w:cs="Times New Roman"/>
                      <w:snapToGrid w:val="0"/>
                      <w:color w:val="auto"/>
                      <w:kern w:val="0"/>
                      <w:sz w:val="21"/>
                      <w:szCs w:val="21"/>
                      <w:highlight w:val="none"/>
                      <w:lang w:val="en-US" w:eastAsia="zh-CN"/>
                    </w:rPr>
                    <w:t>1318（无量纲）</w:t>
                  </w:r>
                </w:p>
              </w:tc>
              <w:tc>
                <w:tcPr>
                  <w:tcW w:w="568" w:type="pct"/>
                  <w:vAlign w:val="center"/>
                </w:tcPr>
                <w:p w14:paraId="03743073">
                  <w:pPr>
                    <w:keepNext w:val="0"/>
                    <w:keepLines w:val="0"/>
                    <w:pageBreakBefore w:val="0"/>
                    <w:widowControl/>
                    <w:suppressLineNumbers w:val="0"/>
                    <w:tabs>
                      <w:tab w:val="left" w:pos="381"/>
                    </w:tabs>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center"/>
                    <w:rPr>
                      <w:rFonts w:hint="default" w:ascii="Times New Roman" w:hAnsi="Times New Roman" w:cs="Times New Roman"/>
                      <w:snapToGrid w:val="0"/>
                      <w:color w:val="auto"/>
                      <w:kern w:val="0"/>
                      <w:sz w:val="21"/>
                      <w:szCs w:val="21"/>
                      <w:highlight w:val="none"/>
                      <w:lang w:val="en-US" w:eastAsia="zh-CN"/>
                    </w:rPr>
                  </w:pPr>
                  <w:r>
                    <w:rPr>
                      <w:rFonts w:hint="eastAsia" w:ascii="Times New Roman" w:hAnsi="Times New Roman" w:cs="Times New Roman"/>
                      <w:snapToGrid w:val="0"/>
                      <w:color w:val="auto"/>
                      <w:kern w:val="0"/>
                      <w:sz w:val="21"/>
                      <w:szCs w:val="21"/>
                      <w:highlight w:val="none"/>
                      <w:lang w:val="en-US" w:eastAsia="zh-CN"/>
                    </w:rPr>
                    <w:t>/</w:t>
                  </w:r>
                </w:p>
              </w:tc>
              <w:tc>
                <w:tcPr>
                  <w:tcW w:w="539" w:type="pct"/>
                  <w:vMerge w:val="continue"/>
                  <w:vAlign w:val="center"/>
                </w:tcPr>
                <w:p w14:paraId="4A3CAC4A">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ascii="Times New Roman" w:hAnsi="Times New Roman" w:cs="Times New Roman"/>
                      <w:color w:val="auto"/>
                      <w:sz w:val="21"/>
                      <w:szCs w:val="21"/>
                      <w:highlight w:val="none"/>
                      <w:lang w:val="en-US" w:eastAsia="zh-CN"/>
                    </w:rPr>
                  </w:pPr>
                </w:p>
              </w:tc>
              <w:tc>
                <w:tcPr>
                  <w:tcW w:w="317" w:type="pct"/>
                  <w:vMerge w:val="continue"/>
                  <w:vAlign w:val="center"/>
                </w:tcPr>
                <w:p w14:paraId="202093AF">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ascii="Times New Roman" w:hAnsi="Times New Roman" w:cs="Times New Roman"/>
                      <w:color w:val="auto"/>
                      <w:sz w:val="21"/>
                      <w:szCs w:val="21"/>
                      <w:highlight w:val="none"/>
                      <w:lang w:val="en-US" w:eastAsia="zh-CN"/>
                    </w:rPr>
                  </w:pPr>
                </w:p>
              </w:tc>
              <w:tc>
                <w:tcPr>
                  <w:tcW w:w="942" w:type="pct"/>
                  <w:vMerge w:val="continue"/>
                  <w:vAlign w:val="center"/>
                </w:tcPr>
                <w:p w14:paraId="617A9D7B">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ascii="Times New Roman" w:hAnsi="Times New Roman" w:cs="Times New Roman"/>
                      <w:color w:val="auto"/>
                      <w:sz w:val="21"/>
                      <w:szCs w:val="21"/>
                      <w:highlight w:val="none"/>
                    </w:rPr>
                  </w:pPr>
                </w:p>
              </w:tc>
              <w:tc>
                <w:tcPr>
                  <w:tcW w:w="788" w:type="pct"/>
                  <w:vMerge w:val="continue"/>
                  <w:vAlign w:val="center"/>
                </w:tcPr>
                <w:p w14:paraId="7FF404E0">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ascii="Times New Roman" w:hAnsi="Times New Roman" w:cs="Times New Roman"/>
                      <w:color w:val="auto"/>
                      <w:sz w:val="21"/>
                      <w:szCs w:val="21"/>
                      <w:highlight w:val="none"/>
                    </w:rPr>
                  </w:pPr>
                </w:p>
              </w:tc>
            </w:tr>
            <w:tr w14:paraId="5166910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57" w:type="dxa"/>
                  <w:bottom w:w="0" w:type="dxa"/>
                  <w:right w:w="57" w:type="dxa"/>
                </w:tblCellMar>
              </w:tblPrEx>
              <w:trPr>
                <w:trHeight w:val="862" w:hRule="atLeast"/>
                <w:jc w:val="center"/>
              </w:trPr>
              <w:tc>
                <w:tcPr>
                  <w:tcW w:w="504" w:type="pct"/>
                  <w:vAlign w:val="center"/>
                </w:tcPr>
                <w:p w14:paraId="298E78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DA002</w:t>
                  </w:r>
                </w:p>
              </w:tc>
              <w:tc>
                <w:tcPr>
                  <w:tcW w:w="659" w:type="pct"/>
                  <w:vAlign w:val="center"/>
                </w:tcPr>
                <w:p w14:paraId="678DEB1E">
                  <w:pPr>
                    <w:pStyle w:val="9"/>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auto"/>
                      <w:sz w:val="21"/>
                      <w:szCs w:val="21"/>
                      <w:highlight w:val="none"/>
                      <w:lang w:eastAsia="zh-CN"/>
                    </w:rPr>
                  </w:pPr>
                  <w:r>
                    <w:rPr>
                      <w:rFonts w:hint="default" w:ascii="Times New Roman" w:hAnsi="Times New Roman" w:eastAsia="宋体" w:cs="Times New Roman"/>
                      <w:b w:val="0"/>
                      <w:bCs w:val="0"/>
                      <w:color w:val="auto"/>
                      <w:sz w:val="21"/>
                      <w:szCs w:val="21"/>
                      <w:highlight w:val="none"/>
                      <w:lang w:eastAsia="zh-CN"/>
                    </w:rPr>
                    <w:t>颗粒物</w:t>
                  </w:r>
                </w:p>
              </w:tc>
              <w:tc>
                <w:tcPr>
                  <w:tcW w:w="680" w:type="pct"/>
                  <w:vAlign w:val="center"/>
                </w:tcPr>
                <w:p w14:paraId="42E7370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1</w:t>
                  </w:r>
                </w:p>
              </w:tc>
              <w:tc>
                <w:tcPr>
                  <w:tcW w:w="568" w:type="pct"/>
                  <w:vAlign w:val="center"/>
                </w:tcPr>
                <w:p w14:paraId="3C1D81C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0.005</w:t>
                  </w:r>
                </w:p>
              </w:tc>
              <w:tc>
                <w:tcPr>
                  <w:tcW w:w="539" w:type="pct"/>
                  <w:vAlign w:val="center"/>
                </w:tcPr>
                <w:p w14:paraId="102FE174">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10</w:t>
                  </w:r>
                </w:p>
              </w:tc>
              <w:tc>
                <w:tcPr>
                  <w:tcW w:w="317" w:type="pct"/>
                  <w:vAlign w:val="center"/>
                </w:tcPr>
                <w:p w14:paraId="00853339">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rPr>
                    <w:t>次/年</w:t>
                  </w:r>
                </w:p>
              </w:tc>
              <w:tc>
                <w:tcPr>
                  <w:tcW w:w="942" w:type="pct"/>
                  <w:vAlign w:val="center"/>
                </w:tcPr>
                <w:p w14:paraId="3DB57D98">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吸风系统</w:t>
                  </w:r>
                  <w:r>
                    <w:rPr>
                      <w:rFonts w:hint="default" w:ascii="Times New Roman" w:hAnsi="Times New Roman" w:cs="Times New Roman"/>
                      <w:color w:val="auto"/>
                      <w:sz w:val="21"/>
                      <w:szCs w:val="21"/>
                      <w:highlight w:val="none"/>
                      <w:lang w:eastAsia="zh-CN"/>
                    </w:rPr>
                    <w:t>或布袋除尘设备</w:t>
                  </w:r>
                  <w:r>
                    <w:rPr>
                      <w:rFonts w:hint="default" w:ascii="Times New Roman" w:hAnsi="Times New Roman" w:cs="Times New Roman"/>
                      <w:color w:val="auto"/>
                      <w:sz w:val="21"/>
                      <w:szCs w:val="21"/>
                      <w:highlight w:val="none"/>
                    </w:rPr>
                    <w:t>发生故障，造成废气未处理外排，影响大气环境处理效率由</w:t>
                  </w:r>
                  <w:r>
                    <w:rPr>
                      <w:rFonts w:hint="default" w:ascii="Times New Roman" w:hAnsi="Times New Roman" w:cs="Times New Roman"/>
                      <w:color w:val="auto"/>
                      <w:sz w:val="21"/>
                      <w:szCs w:val="21"/>
                      <w:highlight w:val="none"/>
                      <w:lang w:val="en-US" w:eastAsia="zh-CN"/>
                    </w:rPr>
                    <w:t>95</w:t>
                  </w:r>
                  <w:r>
                    <w:rPr>
                      <w:rFonts w:hint="default" w:ascii="Times New Roman" w:hAnsi="Times New Roman" w:cs="Times New Roman"/>
                      <w:color w:val="auto"/>
                      <w:sz w:val="21"/>
                      <w:szCs w:val="21"/>
                      <w:highlight w:val="none"/>
                    </w:rPr>
                    <w:t>%降至0%</w:t>
                  </w:r>
                </w:p>
              </w:tc>
              <w:tc>
                <w:tcPr>
                  <w:tcW w:w="788" w:type="pct"/>
                  <w:vAlign w:val="center"/>
                </w:tcPr>
                <w:p w14:paraId="5248756F">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停止</w:t>
                  </w:r>
                  <w:r>
                    <w:rPr>
                      <w:rFonts w:hint="default" w:ascii="Times New Roman" w:hAnsi="Times New Roman" w:cs="Times New Roman"/>
                      <w:color w:val="auto"/>
                      <w:sz w:val="21"/>
                      <w:szCs w:val="21"/>
                      <w:highlight w:val="none"/>
                      <w:lang w:eastAsia="zh-CN"/>
                    </w:rPr>
                    <w:t>生产</w:t>
                  </w:r>
                  <w:r>
                    <w:rPr>
                      <w:rFonts w:hint="default" w:ascii="Times New Roman" w:hAnsi="Times New Roman" w:cs="Times New Roman"/>
                      <w:color w:val="auto"/>
                      <w:sz w:val="21"/>
                      <w:szCs w:val="21"/>
                      <w:highlight w:val="none"/>
                    </w:rPr>
                    <w:t>，检修设备吸风系统和</w:t>
                  </w:r>
                  <w:r>
                    <w:rPr>
                      <w:rFonts w:hint="default" w:ascii="Times New Roman" w:hAnsi="Times New Roman" w:cs="Times New Roman"/>
                      <w:color w:val="auto"/>
                      <w:sz w:val="21"/>
                      <w:szCs w:val="21"/>
                      <w:highlight w:val="none"/>
                      <w:lang w:eastAsia="zh-CN"/>
                    </w:rPr>
                    <w:t>布袋除尘设备</w:t>
                  </w:r>
                  <w:r>
                    <w:rPr>
                      <w:rFonts w:hint="default" w:ascii="Times New Roman" w:hAnsi="Times New Roman" w:cs="Times New Roman"/>
                      <w:color w:val="auto"/>
                      <w:sz w:val="21"/>
                      <w:szCs w:val="21"/>
                      <w:highlight w:val="none"/>
                    </w:rPr>
                    <w:t>，</w:t>
                  </w:r>
                  <w:r>
                    <w:rPr>
                      <w:rFonts w:hint="default" w:ascii="Times New Roman" w:hAnsi="Times New Roman" w:cs="Times New Roman"/>
                      <w:color w:val="auto"/>
                      <w:sz w:val="21"/>
                      <w:szCs w:val="21"/>
                      <w:highlight w:val="none"/>
                      <w:lang w:eastAsia="zh-CN"/>
                    </w:rPr>
                    <w:t>恢复</w:t>
                  </w:r>
                  <w:r>
                    <w:rPr>
                      <w:rFonts w:hint="default" w:ascii="Times New Roman" w:hAnsi="Times New Roman" w:cs="Times New Roman"/>
                      <w:color w:val="auto"/>
                      <w:sz w:val="21"/>
                      <w:szCs w:val="21"/>
                      <w:highlight w:val="none"/>
                    </w:rPr>
                    <w:t>正常后再进行</w:t>
                  </w:r>
                  <w:r>
                    <w:rPr>
                      <w:rFonts w:hint="default" w:ascii="Times New Roman" w:hAnsi="Times New Roman" w:cs="Times New Roman"/>
                      <w:color w:val="auto"/>
                      <w:sz w:val="21"/>
                      <w:szCs w:val="21"/>
                      <w:highlight w:val="none"/>
                      <w:lang w:eastAsia="zh-CN"/>
                    </w:rPr>
                    <w:t>生产。</w:t>
                  </w:r>
                </w:p>
              </w:tc>
            </w:tr>
          </w:tbl>
          <w:p w14:paraId="09DD0B46">
            <w:pPr>
              <w:pStyle w:val="15"/>
              <w:snapToGrid w:val="0"/>
              <w:spacing w:line="480" w:lineRule="atLeast"/>
              <w:ind w:firstLine="482" w:firstLineChars="200"/>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4、环境监测计划</w:t>
            </w:r>
          </w:p>
          <w:p w14:paraId="4BEBF711">
            <w:pPr>
              <w:pStyle w:val="15"/>
              <w:snapToGrid w:val="0"/>
              <w:spacing w:line="480" w:lineRule="atLeas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依据《</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"http://www.mee.gov.cn/ywgz/fgbz/bz/bzwb/pwxk/202004/W020200401327032592051.pdf" </w:instrText>
            </w:r>
            <w:r>
              <w:rPr>
                <w:rFonts w:hint="default" w:ascii="Times New Roman" w:hAnsi="Times New Roman" w:cs="Times New Roman"/>
                <w:color w:val="auto"/>
              </w:rPr>
              <w:fldChar w:fldCharType="separate"/>
            </w:r>
            <w:r>
              <w:rPr>
                <w:rFonts w:hint="default" w:ascii="Times New Roman" w:hAnsi="Times New Roman" w:cs="Times New Roman"/>
                <w:color w:val="auto"/>
                <w:sz w:val="24"/>
                <w:szCs w:val="24"/>
              </w:rPr>
              <w:t>排污许可证申请与核发技术规范橡</w:t>
            </w:r>
            <w:r>
              <w:rPr>
                <w:rFonts w:hint="default" w:ascii="Times New Roman" w:hAnsi="Times New Roman" w:cs="Times New Roman"/>
                <w:color w:val="auto"/>
                <w:sz w:val="24"/>
                <w:szCs w:val="24"/>
              </w:rPr>
              <w:fldChar w:fldCharType="end"/>
            </w:r>
            <w:r>
              <w:rPr>
                <w:rFonts w:hint="default" w:ascii="Times New Roman" w:hAnsi="Times New Roman" w:cs="Times New Roman"/>
                <w:color w:val="auto"/>
                <w:sz w:val="24"/>
                <w:szCs w:val="24"/>
              </w:rPr>
              <w:t>胶和塑料制品工业》（HJ1122-2020）和《固定污染源排污许可分类管理名录》（2019年版），本项目属于登记管理。废气污染源监测计划的依据《排污单位自行监测技术指南</w:t>
            </w:r>
            <w:r>
              <w:rPr>
                <w:rFonts w:hint="default" w:ascii="Times New Roman" w:hAnsi="Times New Roman" w:cs="Times New Roman"/>
                <w:color w:val="auto"/>
                <w:sz w:val="24"/>
                <w:szCs w:val="24"/>
                <w:lang w:eastAsia="zh-CN"/>
              </w:rPr>
              <w:t>橡胶和塑料制品业</w:t>
            </w:r>
            <w:r>
              <w:rPr>
                <w:rFonts w:hint="default" w:ascii="Times New Roman" w:hAnsi="Times New Roman" w:cs="Times New Roman"/>
                <w:color w:val="auto"/>
                <w:sz w:val="24"/>
                <w:szCs w:val="24"/>
              </w:rPr>
              <w:t>》（HJ</w:t>
            </w:r>
            <w:r>
              <w:rPr>
                <w:rFonts w:hint="default" w:ascii="Times New Roman" w:hAnsi="Times New Roman" w:cs="Times New Roman"/>
                <w:color w:val="auto"/>
                <w:sz w:val="24"/>
                <w:szCs w:val="24"/>
                <w:lang w:val="en-US" w:eastAsia="zh-CN"/>
              </w:rPr>
              <w:t>1207-2021</w:t>
            </w:r>
            <w:r>
              <w:rPr>
                <w:rFonts w:hint="default" w:ascii="Times New Roman" w:hAnsi="Times New Roman" w:cs="Times New Roman"/>
                <w:color w:val="auto"/>
                <w:sz w:val="24"/>
                <w:szCs w:val="24"/>
              </w:rPr>
              <w:t>），制定环境监测方案见表</w:t>
            </w:r>
            <w:r>
              <w:rPr>
                <w:rFonts w:hint="eastAsia" w:ascii="Times New Roman" w:hAnsi="Times New Roman" w:cs="Times New Roman"/>
                <w:color w:val="auto"/>
                <w:sz w:val="24"/>
                <w:szCs w:val="24"/>
                <w:lang w:val="en-US" w:eastAsia="zh-CN"/>
              </w:rPr>
              <w:t>23</w:t>
            </w:r>
            <w:r>
              <w:rPr>
                <w:rFonts w:hint="default" w:ascii="Times New Roman" w:hAnsi="Times New Roman" w:cs="Times New Roman"/>
                <w:color w:val="auto"/>
                <w:sz w:val="24"/>
                <w:szCs w:val="24"/>
              </w:rPr>
              <w:t>。</w:t>
            </w:r>
          </w:p>
          <w:p w14:paraId="2A07A3C4">
            <w:pPr>
              <w:pStyle w:val="15"/>
              <w:snapToGrid w:val="0"/>
              <w:spacing w:line="480" w:lineRule="atLeast"/>
              <w:ind w:firstLine="480" w:firstLineChars="200"/>
              <w:rPr>
                <w:rFonts w:hint="default" w:ascii="Times New Roman" w:hAnsi="Times New Roman" w:cs="Times New Roman"/>
                <w:color w:val="auto"/>
                <w:sz w:val="24"/>
                <w:szCs w:val="24"/>
              </w:rPr>
            </w:pPr>
          </w:p>
          <w:p w14:paraId="787A3045">
            <w:pPr>
              <w:spacing w:line="480" w:lineRule="atLeast"/>
              <w:jc w:val="center"/>
              <w:rPr>
                <w:rFonts w:hint="default" w:ascii="Times New Roman" w:hAnsi="Times New Roman" w:cs="Times New Roman"/>
                <w:color w:val="auto"/>
                <w:sz w:val="21"/>
                <w:szCs w:val="21"/>
              </w:rPr>
            </w:pPr>
            <w:r>
              <w:rPr>
                <w:rFonts w:hint="default" w:ascii="Times New Roman" w:hAnsi="Times New Roman" w:cs="Times New Roman" w:eastAsiaTheme="majorEastAsia"/>
                <w:b/>
                <w:color w:val="auto"/>
                <w:sz w:val="24"/>
                <w:szCs w:val="24"/>
              </w:rPr>
              <w:t>表</w:t>
            </w:r>
            <w:r>
              <w:rPr>
                <w:rFonts w:hint="eastAsia" w:ascii="Times New Roman" w:hAnsi="Times New Roman" w:cs="Times New Roman" w:eastAsiaTheme="majorEastAsia"/>
                <w:b/>
                <w:color w:val="auto"/>
                <w:sz w:val="24"/>
                <w:szCs w:val="24"/>
                <w:lang w:val="en-US" w:eastAsia="zh-CN"/>
              </w:rPr>
              <w:t>23</w:t>
            </w:r>
            <w:r>
              <w:rPr>
                <w:rFonts w:hint="default" w:ascii="Times New Roman" w:hAnsi="Times New Roman" w:cs="Times New Roman" w:eastAsiaTheme="majorEastAsia"/>
                <w:b/>
                <w:color w:val="auto"/>
                <w:sz w:val="24"/>
                <w:szCs w:val="24"/>
              </w:rPr>
              <w:t>废气环境监测工作计划</w:t>
            </w:r>
          </w:p>
          <w:tbl>
            <w:tblPr>
              <w:tblStyle w:val="3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573"/>
              <w:gridCol w:w="1111"/>
              <w:gridCol w:w="1292"/>
              <w:gridCol w:w="789"/>
              <w:gridCol w:w="4350"/>
            </w:tblGrid>
            <w:tr w14:paraId="25483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353" w:type="pct"/>
                  <w:vAlign w:val="center"/>
                </w:tcPr>
                <w:p w14:paraId="3CF2307A">
                  <w:pPr>
                    <w:pStyle w:val="30"/>
                    <w:keepNext w:val="0"/>
                    <w:keepLines w:val="0"/>
                    <w:pageBreakBefore w:val="0"/>
                    <w:widowControl w:val="0"/>
                    <w:suppressLineNumbers w:val="0"/>
                    <w:kinsoku/>
                    <w:wordWrap/>
                    <w:overflowPunct/>
                    <w:topLinePunct w:val="0"/>
                    <w:autoSpaceDE/>
                    <w:autoSpaceDN w:val="0"/>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b/>
                      <w:bCs/>
                      <w:color w:val="auto"/>
                      <w:sz w:val="21"/>
                      <w:szCs w:val="21"/>
                      <w:highlight w:val="none"/>
                    </w:rPr>
                    <w:t>类别</w:t>
                  </w:r>
                </w:p>
              </w:tc>
              <w:tc>
                <w:tcPr>
                  <w:tcW w:w="684" w:type="pct"/>
                  <w:vAlign w:val="center"/>
                </w:tcPr>
                <w:p w14:paraId="68C0BAAF">
                  <w:pPr>
                    <w:pStyle w:val="30"/>
                    <w:keepNext w:val="0"/>
                    <w:keepLines w:val="0"/>
                    <w:pageBreakBefore w:val="0"/>
                    <w:widowControl w:val="0"/>
                    <w:suppressLineNumbers w:val="0"/>
                    <w:kinsoku/>
                    <w:wordWrap/>
                    <w:overflowPunct/>
                    <w:topLinePunct w:val="0"/>
                    <w:autoSpaceDE/>
                    <w:autoSpaceDN w:val="0"/>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b/>
                      <w:bCs/>
                      <w:color w:val="auto"/>
                      <w:sz w:val="21"/>
                      <w:szCs w:val="21"/>
                      <w:highlight w:val="none"/>
                    </w:rPr>
                    <w:t>监测点位</w:t>
                  </w:r>
                </w:p>
              </w:tc>
              <w:tc>
                <w:tcPr>
                  <w:tcW w:w="796" w:type="pct"/>
                  <w:vAlign w:val="center"/>
                </w:tcPr>
                <w:p w14:paraId="1490D1D4">
                  <w:pPr>
                    <w:pStyle w:val="30"/>
                    <w:keepNext w:val="0"/>
                    <w:keepLines w:val="0"/>
                    <w:pageBreakBefore w:val="0"/>
                    <w:widowControl w:val="0"/>
                    <w:suppressLineNumbers w:val="0"/>
                    <w:kinsoku/>
                    <w:wordWrap/>
                    <w:overflowPunct/>
                    <w:topLinePunct w:val="0"/>
                    <w:autoSpaceDE/>
                    <w:autoSpaceDN w:val="0"/>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b/>
                      <w:bCs/>
                      <w:color w:val="auto"/>
                      <w:sz w:val="21"/>
                      <w:szCs w:val="21"/>
                      <w:highlight w:val="none"/>
                    </w:rPr>
                    <w:t>监测</w:t>
                  </w:r>
                  <w:r>
                    <w:rPr>
                      <w:rFonts w:hint="default" w:ascii="Times New Roman" w:hAnsi="Times New Roman" w:eastAsia="宋体" w:cs="Times New Roman"/>
                      <w:b/>
                      <w:bCs/>
                      <w:color w:val="auto"/>
                      <w:sz w:val="21"/>
                      <w:szCs w:val="21"/>
                      <w:highlight w:val="none"/>
                      <w:lang w:eastAsia="zh-CN"/>
                    </w:rPr>
                    <w:t>因子</w:t>
                  </w:r>
                </w:p>
              </w:tc>
              <w:tc>
                <w:tcPr>
                  <w:tcW w:w="486" w:type="pct"/>
                  <w:vAlign w:val="center"/>
                </w:tcPr>
                <w:p w14:paraId="6FB13307">
                  <w:pPr>
                    <w:pStyle w:val="30"/>
                    <w:keepNext w:val="0"/>
                    <w:keepLines w:val="0"/>
                    <w:pageBreakBefore w:val="0"/>
                    <w:widowControl w:val="0"/>
                    <w:suppressLineNumbers w:val="0"/>
                    <w:kinsoku/>
                    <w:wordWrap/>
                    <w:overflowPunct/>
                    <w:topLinePunct w:val="0"/>
                    <w:autoSpaceDE/>
                    <w:autoSpaceDN w:val="0"/>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b/>
                      <w:bCs/>
                      <w:color w:val="auto"/>
                      <w:sz w:val="21"/>
                      <w:szCs w:val="21"/>
                      <w:highlight w:val="none"/>
                    </w:rPr>
                    <w:t>监测频次</w:t>
                  </w:r>
                </w:p>
              </w:tc>
              <w:tc>
                <w:tcPr>
                  <w:tcW w:w="2680" w:type="pct"/>
                  <w:vAlign w:val="center"/>
                </w:tcPr>
                <w:p w14:paraId="6F03AA8D">
                  <w:pPr>
                    <w:pStyle w:val="30"/>
                    <w:keepNext w:val="0"/>
                    <w:keepLines w:val="0"/>
                    <w:pageBreakBefore w:val="0"/>
                    <w:widowControl w:val="0"/>
                    <w:suppressLineNumbers w:val="0"/>
                    <w:kinsoku/>
                    <w:wordWrap/>
                    <w:overflowPunct/>
                    <w:topLinePunct w:val="0"/>
                    <w:autoSpaceDE/>
                    <w:autoSpaceDN w:val="0"/>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b/>
                      <w:bCs/>
                      <w:color w:val="auto"/>
                      <w:sz w:val="21"/>
                      <w:szCs w:val="21"/>
                      <w:highlight w:val="none"/>
                    </w:rPr>
                    <w:t>执行标准</w:t>
                  </w:r>
                </w:p>
              </w:tc>
            </w:tr>
            <w:tr w14:paraId="31DD6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55" w:hRule="atLeast"/>
                <w:jc w:val="center"/>
              </w:trPr>
              <w:tc>
                <w:tcPr>
                  <w:tcW w:w="353" w:type="pct"/>
                  <w:vMerge w:val="restart"/>
                  <w:vAlign w:val="center"/>
                </w:tcPr>
                <w:p w14:paraId="4DDD26D1">
                  <w:pPr>
                    <w:pStyle w:val="1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废气</w:t>
                  </w:r>
                </w:p>
              </w:tc>
              <w:tc>
                <w:tcPr>
                  <w:tcW w:w="684" w:type="pct"/>
                  <w:vMerge w:val="restart"/>
                  <w:vAlign w:val="center"/>
                </w:tcPr>
                <w:p w14:paraId="720737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注塑废气排气筒DA001</w:t>
                  </w:r>
                </w:p>
              </w:tc>
              <w:tc>
                <w:tcPr>
                  <w:tcW w:w="796" w:type="pct"/>
                  <w:vAlign w:val="center"/>
                </w:tcPr>
                <w:p w14:paraId="448EA5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非甲烷总烃</w:t>
                  </w:r>
                </w:p>
              </w:tc>
              <w:tc>
                <w:tcPr>
                  <w:tcW w:w="486" w:type="pct"/>
                  <w:vAlign w:val="center"/>
                </w:tcPr>
                <w:p w14:paraId="0131830C">
                  <w:pPr>
                    <w:pStyle w:val="1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1次/</w:t>
                  </w:r>
                  <w:r>
                    <w:rPr>
                      <w:rFonts w:hint="eastAsia" w:ascii="Times New Roman" w:hAnsi="Times New Roman" w:cs="Times New Roman"/>
                      <w:color w:val="auto"/>
                      <w:sz w:val="21"/>
                      <w:szCs w:val="21"/>
                      <w:lang w:eastAsia="zh-CN"/>
                    </w:rPr>
                    <w:t>半</w:t>
                  </w:r>
                  <w:r>
                    <w:rPr>
                      <w:rFonts w:hint="default" w:ascii="Times New Roman" w:hAnsi="Times New Roman" w:eastAsia="宋体" w:cs="Times New Roman"/>
                      <w:color w:val="auto"/>
                      <w:sz w:val="21"/>
                      <w:szCs w:val="21"/>
                      <w:lang w:eastAsia="zh-CN"/>
                    </w:rPr>
                    <w:t>年</w:t>
                  </w:r>
                </w:p>
              </w:tc>
              <w:tc>
                <w:tcPr>
                  <w:tcW w:w="2680" w:type="pct"/>
                  <w:vAlign w:val="center"/>
                </w:tcPr>
                <w:p w14:paraId="598DBE2F">
                  <w:pPr>
                    <w:pStyle w:val="1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《合成树脂工业污染物排放标准》(GB31572-2015)及修改单</w:t>
                  </w:r>
                  <w:r>
                    <w:rPr>
                      <w:rFonts w:hint="default" w:ascii="Times New Roman" w:hAnsi="Times New Roman" w:eastAsia="宋体" w:cs="Times New Roman"/>
                      <w:color w:val="auto"/>
                      <w:sz w:val="21"/>
                      <w:szCs w:val="21"/>
                      <w:lang w:val="en-US" w:eastAsia="zh-CN"/>
                    </w:rPr>
                    <w:t>表5大气污染物特别排放限值、《工业企业挥发性有机物排放控制标准》（DB13/2322-2016）表1有机化工行业去除效率标准</w:t>
                  </w:r>
                </w:p>
              </w:tc>
            </w:tr>
            <w:tr w14:paraId="2959B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55" w:hRule="atLeast"/>
                <w:jc w:val="center"/>
              </w:trPr>
              <w:tc>
                <w:tcPr>
                  <w:tcW w:w="353" w:type="pct"/>
                  <w:vMerge w:val="continue"/>
                  <w:vAlign w:val="center"/>
                </w:tcPr>
                <w:p w14:paraId="304A9594">
                  <w:pPr>
                    <w:pStyle w:val="1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pPr>
                </w:p>
              </w:tc>
              <w:tc>
                <w:tcPr>
                  <w:tcW w:w="684" w:type="pct"/>
                  <w:vMerge w:val="continue"/>
                  <w:vAlign w:val="center"/>
                </w:tcPr>
                <w:p w14:paraId="1C82901C">
                  <w:pPr>
                    <w:pStyle w:val="1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pPr>
                </w:p>
              </w:tc>
              <w:tc>
                <w:tcPr>
                  <w:tcW w:w="796" w:type="pct"/>
                  <w:vAlign w:val="center"/>
                </w:tcPr>
                <w:p w14:paraId="3066A0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臭气浓度</w:t>
                  </w:r>
                </w:p>
              </w:tc>
              <w:tc>
                <w:tcPr>
                  <w:tcW w:w="486" w:type="pct"/>
                  <w:vAlign w:val="center"/>
                </w:tcPr>
                <w:p w14:paraId="5BA71A59">
                  <w:pPr>
                    <w:pStyle w:val="1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sz w:val="21"/>
                      <w:szCs w:val="21"/>
                      <w:lang w:eastAsia="zh-CN"/>
                    </w:rPr>
                    <w:t>1次/年</w:t>
                  </w:r>
                </w:p>
              </w:tc>
              <w:tc>
                <w:tcPr>
                  <w:tcW w:w="2680" w:type="pct"/>
                  <w:vAlign w:val="center"/>
                </w:tcPr>
                <w:p w14:paraId="05454A25">
                  <w:pPr>
                    <w:pStyle w:val="1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sz w:val="21"/>
                      <w:szCs w:val="21"/>
                      <w:lang w:val="en-US" w:eastAsia="zh-CN"/>
                    </w:rPr>
                    <w:t>《恶臭污染物排放标准》）（GB14554-93）表2中标准</w:t>
                  </w:r>
                </w:p>
              </w:tc>
            </w:tr>
            <w:tr w14:paraId="53825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353" w:type="pct"/>
                  <w:vMerge w:val="continue"/>
                  <w:vAlign w:val="center"/>
                </w:tcPr>
                <w:p w14:paraId="4E9C53EA">
                  <w:pPr>
                    <w:pStyle w:val="1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color w:val="auto"/>
                      <w:sz w:val="21"/>
                      <w:szCs w:val="21"/>
                      <w:lang w:eastAsia="zh-CN"/>
                    </w:rPr>
                  </w:pPr>
                </w:p>
              </w:tc>
              <w:tc>
                <w:tcPr>
                  <w:tcW w:w="684" w:type="pct"/>
                  <w:vAlign w:val="center"/>
                </w:tcPr>
                <w:p w14:paraId="455EC82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粉碎废气排气筒DA002</w:t>
                  </w:r>
                </w:p>
              </w:tc>
              <w:tc>
                <w:tcPr>
                  <w:tcW w:w="796" w:type="pct"/>
                  <w:vAlign w:val="center"/>
                </w:tcPr>
                <w:p w14:paraId="6C5632FC">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val="0"/>
                      <w:bCs w:val="0"/>
                      <w:color w:val="auto"/>
                      <w:sz w:val="21"/>
                      <w:szCs w:val="21"/>
                      <w:lang w:eastAsia="zh-CN"/>
                    </w:rPr>
                    <w:t>颗粒物</w:t>
                  </w:r>
                </w:p>
              </w:tc>
              <w:tc>
                <w:tcPr>
                  <w:tcW w:w="486" w:type="pct"/>
                  <w:vAlign w:val="center"/>
                </w:tcPr>
                <w:p w14:paraId="5393936D">
                  <w:pPr>
                    <w:pStyle w:val="1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1次/年</w:t>
                  </w:r>
                </w:p>
              </w:tc>
              <w:tc>
                <w:tcPr>
                  <w:tcW w:w="2680" w:type="pct"/>
                  <w:vAlign w:val="center"/>
                </w:tcPr>
                <w:p w14:paraId="161E705B">
                  <w:pPr>
                    <w:pStyle w:val="15"/>
                    <w:keepNext w:val="0"/>
                    <w:keepLines w:val="0"/>
                    <w:pageBreakBefore w:val="0"/>
                    <w:widowControl w:val="0"/>
                    <w:suppressLineNumbers w:val="0"/>
                    <w:kinsoku/>
                    <w:wordWrap w:val="0"/>
                    <w:overflowPunct w:val="0"/>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Cs/>
                      <w:color w:val="auto"/>
                      <w:sz w:val="21"/>
                      <w:szCs w:val="21"/>
                      <w:lang w:eastAsia="zh-CN"/>
                    </w:rPr>
                  </w:pPr>
                  <w:r>
                    <w:rPr>
                      <w:rFonts w:hint="eastAsia" w:ascii="Times New Roman" w:hAnsi="Times New Roman" w:cs="Times New Roman"/>
                      <w:bCs/>
                      <w:color w:val="auto"/>
                      <w:sz w:val="21"/>
                      <w:szCs w:val="21"/>
                      <w:lang w:val="en-US" w:eastAsia="zh-CN"/>
                    </w:rPr>
                    <w:t>《合成树脂工业污染物排放标准》(GB31572-2015)及修改单</w:t>
                  </w:r>
                  <w:r>
                    <w:rPr>
                      <w:rFonts w:hint="default" w:ascii="Times New Roman" w:hAnsi="Times New Roman" w:eastAsia="宋体" w:cs="Times New Roman"/>
                      <w:bCs/>
                      <w:color w:val="auto"/>
                      <w:sz w:val="21"/>
                      <w:szCs w:val="21"/>
                      <w:lang w:val="en-US" w:eastAsia="zh-CN"/>
                    </w:rPr>
                    <w:t>表5大气污染物特别排放限值</w:t>
                  </w:r>
                </w:p>
              </w:tc>
            </w:tr>
            <w:tr w14:paraId="1F6CA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353" w:type="pct"/>
                  <w:vMerge w:val="continue"/>
                </w:tcPr>
                <w:p w14:paraId="0CD3BCEF">
                  <w:pPr>
                    <w:pStyle w:val="1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color w:val="auto"/>
                      <w:sz w:val="21"/>
                      <w:szCs w:val="21"/>
                      <w:lang w:eastAsia="zh-CN"/>
                    </w:rPr>
                  </w:pPr>
                </w:p>
              </w:tc>
              <w:tc>
                <w:tcPr>
                  <w:tcW w:w="684" w:type="pct"/>
                  <w:vMerge w:val="restart"/>
                  <w:vAlign w:val="center"/>
                </w:tcPr>
                <w:p w14:paraId="1AD326C4">
                  <w:pPr>
                    <w:pStyle w:val="1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厂界上、下风向</w:t>
                  </w:r>
                </w:p>
              </w:tc>
              <w:tc>
                <w:tcPr>
                  <w:tcW w:w="796" w:type="pct"/>
                  <w:vAlign w:val="center"/>
                </w:tcPr>
                <w:p w14:paraId="67F216C2">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b w:val="0"/>
                      <w:bCs w:val="0"/>
                      <w:color w:val="auto"/>
                      <w:sz w:val="21"/>
                      <w:szCs w:val="21"/>
                      <w:lang w:eastAsia="zh-CN"/>
                    </w:rPr>
                    <w:t>颗粒物</w:t>
                  </w:r>
                </w:p>
              </w:tc>
              <w:tc>
                <w:tcPr>
                  <w:tcW w:w="486" w:type="pct"/>
                  <w:vMerge w:val="restart"/>
                  <w:vAlign w:val="center"/>
                </w:tcPr>
                <w:p w14:paraId="40A3275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cs="Times New Roman"/>
                      <w:color w:val="auto"/>
                      <w:lang w:eastAsia="zh-CN"/>
                    </w:rPr>
                  </w:pPr>
                  <w:r>
                    <w:rPr>
                      <w:rFonts w:hint="default" w:ascii="Times New Roman" w:hAnsi="Times New Roman" w:eastAsia="宋体" w:cs="Times New Roman"/>
                      <w:color w:val="auto"/>
                      <w:sz w:val="21"/>
                      <w:szCs w:val="21"/>
                      <w:lang w:eastAsia="zh-CN"/>
                    </w:rPr>
                    <w:t>1次/年</w:t>
                  </w:r>
                </w:p>
              </w:tc>
              <w:tc>
                <w:tcPr>
                  <w:tcW w:w="2680" w:type="pct"/>
                  <w:vAlign w:val="center"/>
                </w:tcPr>
                <w:p w14:paraId="1DF12FBA">
                  <w:pPr>
                    <w:pStyle w:val="15"/>
                    <w:keepNext w:val="0"/>
                    <w:keepLines w:val="0"/>
                    <w:pageBreakBefore w:val="0"/>
                    <w:widowControl w:val="0"/>
                    <w:suppressLineNumbers w:val="0"/>
                    <w:kinsoku/>
                    <w:wordWrap w:val="0"/>
                    <w:overflowPunct w:val="0"/>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cs="Times New Roman"/>
                      <w:bCs/>
                      <w:color w:val="auto"/>
                      <w:sz w:val="21"/>
                      <w:szCs w:val="21"/>
                      <w:lang w:eastAsia="zh-CN"/>
                    </w:rPr>
                    <w:t>《合成树脂工业污染物排放标准》(GB31572-2015)及修改单</w:t>
                  </w:r>
                  <w:r>
                    <w:rPr>
                      <w:rFonts w:hint="default" w:ascii="Times New Roman" w:hAnsi="Times New Roman" w:eastAsia="宋体" w:cs="Times New Roman"/>
                      <w:bCs/>
                      <w:color w:val="auto"/>
                      <w:sz w:val="21"/>
                      <w:szCs w:val="21"/>
                    </w:rPr>
                    <w:t>表9企业边界大气污染物浓度限值</w:t>
                  </w:r>
                </w:p>
              </w:tc>
            </w:tr>
            <w:tr w14:paraId="21EFA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353" w:type="pct"/>
                  <w:vMerge w:val="continue"/>
                </w:tcPr>
                <w:p w14:paraId="02742672">
                  <w:pPr>
                    <w:pStyle w:val="1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cs="Times New Roman"/>
                      <w:color w:val="auto"/>
                    </w:rPr>
                  </w:pPr>
                </w:p>
              </w:tc>
              <w:tc>
                <w:tcPr>
                  <w:tcW w:w="684" w:type="pct"/>
                  <w:vMerge w:val="continue"/>
                  <w:vAlign w:val="center"/>
                </w:tcPr>
                <w:p w14:paraId="050AADE5">
                  <w:pPr>
                    <w:pStyle w:val="1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cs="Times New Roman"/>
                      <w:color w:val="auto"/>
                    </w:rPr>
                  </w:pPr>
                </w:p>
              </w:tc>
              <w:tc>
                <w:tcPr>
                  <w:tcW w:w="796" w:type="pct"/>
                  <w:vAlign w:val="center"/>
                </w:tcPr>
                <w:p w14:paraId="203AD514">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auto"/>
                      <w:sz w:val="21"/>
                      <w:szCs w:val="21"/>
                      <w:lang w:eastAsia="zh-CN"/>
                    </w:rPr>
                  </w:pPr>
                  <w:r>
                    <w:rPr>
                      <w:rFonts w:hint="default" w:ascii="Times New Roman" w:hAnsi="Times New Roman" w:eastAsia="宋体" w:cs="Times New Roman"/>
                      <w:b w:val="0"/>
                      <w:bCs w:val="0"/>
                      <w:color w:val="auto"/>
                      <w:sz w:val="21"/>
                      <w:szCs w:val="21"/>
                      <w:lang w:eastAsia="zh-CN"/>
                    </w:rPr>
                    <w:t>非甲烷总烃</w:t>
                  </w:r>
                </w:p>
              </w:tc>
              <w:tc>
                <w:tcPr>
                  <w:tcW w:w="486" w:type="pct"/>
                  <w:vMerge w:val="continue"/>
                  <w:vAlign w:val="center"/>
                </w:tcPr>
                <w:p w14:paraId="6BE46886">
                  <w:pPr>
                    <w:pStyle w:val="1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auto"/>
                      <w:sz w:val="21"/>
                      <w:szCs w:val="21"/>
                      <w:lang w:eastAsia="zh-CN"/>
                    </w:rPr>
                  </w:pPr>
                </w:p>
              </w:tc>
              <w:tc>
                <w:tcPr>
                  <w:tcW w:w="2680" w:type="pct"/>
                  <w:vAlign w:val="center"/>
                </w:tcPr>
                <w:p w14:paraId="7C622E9C">
                  <w:pPr>
                    <w:pStyle w:val="1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Cs/>
                      <w:color w:val="auto"/>
                      <w:sz w:val="21"/>
                      <w:szCs w:val="21"/>
                    </w:rPr>
                    <w:t>《工业企业挥发性有机物排放控制标准》（DB13/2322-2016）表2其他企业标准限值</w:t>
                  </w:r>
                </w:p>
              </w:tc>
            </w:tr>
            <w:tr w14:paraId="62F53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353" w:type="pct"/>
                  <w:vMerge w:val="continue"/>
                </w:tcPr>
                <w:p w14:paraId="21543D07">
                  <w:pPr>
                    <w:pStyle w:val="1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cs="Times New Roman"/>
                      <w:color w:val="auto"/>
                    </w:rPr>
                  </w:pPr>
                </w:p>
              </w:tc>
              <w:tc>
                <w:tcPr>
                  <w:tcW w:w="684" w:type="pct"/>
                  <w:vMerge w:val="continue"/>
                  <w:vAlign w:val="center"/>
                </w:tcPr>
                <w:p w14:paraId="13825847">
                  <w:pPr>
                    <w:pStyle w:val="1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cs="Times New Roman"/>
                      <w:color w:val="auto"/>
                    </w:rPr>
                  </w:pPr>
                </w:p>
              </w:tc>
              <w:tc>
                <w:tcPr>
                  <w:tcW w:w="796" w:type="pct"/>
                  <w:vAlign w:val="center"/>
                </w:tcPr>
                <w:p w14:paraId="56C3F900">
                  <w:pPr>
                    <w:pStyle w:val="1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auto"/>
                      <w:sz w:val="21"/>
                      <w:szCs w:val="21"/>
                      <w:lang w:eastAsia="zh-CN"/>
                    </w:rPr>
                  </w:pPr>
                  <w:r>
                    <w:rPr>
                      <w:rFonts w:hint="default" w:ascii="Times New Roman" w:hAnsi="Times New Roman" w:cs="Times New Roman"/>
                      <w:color w:val="auto"/>
                      <w:sz w:val="21"/>
                      <w:szCs w:val="21"/>
                      <w:lang w:eastAsia="zh-CN"/>
                    </w:rPr>
                    <w:t>臭气浓度</w:t>
                  </w:r>
                </w:p>
              </w:tc>
              <w:tc>
                <w:tcPr>
                  <w:tcW w:w="486" w:type="pct"/>
                  <w:vMerge w:val="continue"/>
                  <w:vAlign w:val="center"/>
                </w:tcPr>
                <w:p w14:paraId="3FDE5E2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auto"/>
                      <w:sz w:val="21"/>
                      <w:szCs w:val="21"/>
                      <w:lang w:eastAsia="zh-CN"/>
                    </w:rPr>
                  </w:pPr>
                </w:p>
              </w:tc>
              <w:tc>
                <w:tcPr>
                  <w:tcW w:w="2680" w:type="pct"/>
                  <w:vAlign w:val="center"/>
                </w:tcPr>
                <w:p w14:paraId="79A7D14B">
                  <w:pPr>
                    <w:pStyle w:val="1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cs="Times New Roman"/>
                      <w:color w:val="auto"/>
                      <w:sz w:val="21"/>
                      <w:szCs w:val="21"/>
                      <w:lang w:eastAsia="zh-CN"/>
                    </w:rPr>
                    <w:t>《恶臭污染物排放标准》（GB14554-93）表1排放限值</w:t>
                  </w:r>
                </w:p>
              </w:tc>
            </w:tr>
            <w:tr w14:paraId="2D961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353" w:type="pct"/>
                  <w:vMerge w:val="continue"/>
                </w:tcPr>
                <w:p w14:paraId="10D1A031">
                  <w:pPr>
                    <w:pStyle w:val="1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cs="Times New Roman"/>
                      <w:color w:val="auto"/>
                    </w:rPr>
                  </w:pPr>
                </w:p>
              </w:tc>
              <w:tc>
                <w:tcPr>
                  <w:tcW w:w="684" w:type="pct"/>
                  <w:vAlign w:val="center"/>
                </w:tcPr>
                <w:p w14:paraId="2BA87E3E">
                  <w:pPr>
                    <w:pStyle w:val="1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厂界内监控点</w:t>
                  </w:r>
                </w:p>
              </w:tc>
              <w:tc>
                <w:tcPr>
                  <w:tcW w:w="796" w:type="pct"/>
                  <w:vAlign w:val="center"/>
                </w:tcPr>
                <w:p w14:paraId="2BE458A0">
                  <w:pPr>
                    <w:pStyle w:val="1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非甲烷总烃</w:t>
                  </w:r>
                </w:p>
              </w:tc>
              <w:tc>
                <w:tcPr>
                  <w:tcW w:w="486" w:type="pct"/>
                  <w:vAlign w:val="center"/>
                </w:tcPr>
                <w:p w14:paraId="1590F8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auto"/>
                      <w:sz w:val="21"/>
                      <w:szCs w:val="21"/>
                      <w:lang w:eastAsia="zh-CN"/>
                    </w:rPr>
                  </w:pPr>
                  <w:r>
                    <w:rPr>
                      <w:rFonts w:hint="default" w:ascii="Times New Roman" w:hAnsi="Times New Roman" w:eastAsia="宋体" w:cs="Times New Roman"/>
                      <w:color w:val="auto"/>
                      <w:sz w:val="21"/>
                      <w:szCs w:val="21"/>
                      <w:lang w:eastAsia="zh-CN"/>
                    </w:rPr>
                    <w:t>1次/年</w:t>
                  </w:r>
                </w:p>
              </w:tc>
              <w:tc>
                <w:tcPr>
                  <w:tcW w:w="2680" w:type="pct"/>
                  <w:vAlign w:val="center"/>
                </w:tcPr>
                <w:p w14:paraId="7B255549">
                  <w:pPr>
                    <w:pStyle w:val="1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Cs/>
                      <w:color w:val="auto"/>
                      <w:sz w:val="21"/>
                      <w:szCs w:val="21"/>
                      <w:lang w:val="en-US"/>
                    </w:rPr>
                  </w:pPr>
                  <w:r>
                    <w:rPr>
                      <w:rFonts w:hint="default" w:ascii="Times New Roman" w:hAnsi="Times New Roman" w:eastAsia="宋体" w:cs="Times New Roman"/>
                      <w:bCs/>
                      <w:color w:val="auto"/>
                      <w:sz w:val="21"/>
                      <w:szCs w:val="21"/>
                    </w:rPr>
                    <w:t>《挥发性有机物无组织排放控制标准》（GB37822-2019）附录A.1标准</w:t>
                  </w:r>
                </w:p>
              </w:tc>
            </w:tr>
            <w:tr w14:paraId="3FD68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5000" w:type="pct"/>
                  <w:gridSpan w:val="5"/>
                  <w:shd w:val="clear" w:color="auto" w:fill="auto"/>
                  <w:vAlign w:val="center"/>
                </w:tcPr>
                <w:p w14:paraId="4F05B31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cs="Times New Roman"/>
                      <w:color w:val="000000" w:themeColor="text1"/>
                      <w:sz w:val="21"/>
                      <w:szCs w:val="21"/>
                      <w:lang w:val="en-US" w:eastAsia="zh-CN"/>
                      <w14:textFill>
                        <w14:solidFill>
                          <w14:schemeClr w14:val="tx1"/>
                        </w14:solidFill>
                      </w14:textFill>
                    </w:rPr>
                    <w:t>注：当在排气筒去除效率不满足要求的情况下</w:t>
                  </w:r>
                  <w:r>
                    <w:rPr>
                      <w:rFonts w:hint="eastAsia" w:ascii="Times New Roman" w:hAnsi="Times New Roman" w:cs="Times New Roman"/>
                      <w:color w:val="000000" w:themeColor="text1"/>
                      <w:sz w:val="21"/>
                      <w:szCs w:val="21"/>
                      <w:lang w:val="en-US" w:eastAsia="zh-CN"/>
                      <w14:textFill>
                        <w14:solidFill>
                          <w14:schemeClr w14:val="tx1"/>
                        </w14:solidFill>
                      </w14:textFill>
                    </w:rPr>
                    <w:t>加测车间门口</w:t>
                  </w:r>
                  <w:r>
                    <w:rPr>
                      <w:rFonts w:hint="default" w:ascii="Times New Roman" w:hAnsi="Times New Roman" w:cs="Times New Roman"/>
                      <w:color w:val="000000" w:themeColor="text1"/>
                      <w:sz w:val="21"/>
                      <w:szCs w:val="21"/>
                      <w:lang w:val="en-US" w:eastAsia="zh-CN"/>
                      <w14:textFill>
                        <w14:solidFill>
                          <w14:schemeClr w14:val="tx1"/>
                        </w14:solidFill>
                      </w14:textFill>
                    </w:rPr>
                    <w:t>执行</w:t>
                  </w:r>
                  <w:r>
                    <w:rPr>
                      <w:rFonts w:hint="default" w:ascii="Times New Roman" w:hAnsi="Times New Roman" w:eastAsia="宋体" w:cs="Times New Roman"/>
                      <w:bCs/>
                      <w:color w:val="000000" w:themeColor="text1"/>
                      <w:sz w:val="21"/>
                      <w:szCs w:val="21"/>
                      <w14:textFill>
                        <w14:solidFill>
                          <w14:schemeClr w14:val="tx1"/>
                        </w14:solidFill>
                      </w14:textFill>
                    </w:rPr>
                    <w:t>《工业企业挥发性有机物排放控制标准》（DB13/2322-2016）</w:t>
                  </w:r>
                  <w:r>
                    <w:rPr>
                      <w:rFonts w:hint="default" w:ascii="Times New Roman" w:hAnsi="Times New Roman" w:cs="Times New Roman"/>
                      <w:color w:val="000000" w:themeColor="text1"/>
                      <w:sz w:val="21"/>
                      <w:szCs w:val="21"/>
                      <w:lang w:eastAsia="zh-CN"/>
                      <w14:textFill>
                        <w14:solidFill>
                          <w14:schemeClr w14:val="tx1"/>
                        </w14:solidFill>
                      </w14:textFill>
                    </w:rPr>
                    <w:t>表3生产车间或生产设备边界大气污染物浓度限值（非甲烷总烃≤</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4.0</w:t>
                  </w:r>
                  <w:r>
                    <w:rPr>
                      <w:rFonts w:hint="default" w:ascii="Times New Roman" w:hAnsi="Times New Roman" w:eastAsia="宋体" w:cs="Times New Roman"/>
                      <w:b w:val="0"/>
                      <w:bCs w:val="0"/>
                      <w:color w:val="000000" w:themeColor="text1"/>
                      <w:sz w:val="21"/>
                      <w:szCs w:val="21"/>
                      <w:lang w:eastAsia="zh-CN"/>
                      <w14:textFill>
                        <w14:solidFill>
                          <w14:schemeClr w14:val="tx1"/>
                        </w14:solidFill>
                      </w14:textFill>
                    </w:rPr>
                    <w:t>mg/m</w:t>
                  </w:r>
                  <w:r>
                    <w:rPr>
                      <w:rFonts w:hint="default" w:ascii="Times New Roman" w:hAnsi="Times New Roman" w:eastAsia="宋体" w:cs="Times New Roman"/>
                      <w:b w:val="0"/>
                      <w:bCs w:val="0"/>
                      <w:color w:val="000000" w:themeColor="text1"/>
                      <w:sz w:val="21"/>
                      <w:szCs w:val="21"/>
                      <w:vertAlign w:val="superscript"/>
                      <w:lang w:eastAsia="zh-CN"/>
                      <w14:textFill>
                        <w14:solidFill>
                          <w14:schemeClr w14:val="tx1"/>
                        </w14:solidFill>
                      </w14:textFill>
                    </w:rPr>
                    <w:t>3</w:t>
                  </w:r>
                  <w:r>
                    <w:rPr>
                      <w:rFonts w:hint="default" w:ascii="Times New Roman" w:hAnsi="Times New Roman" w:cs="Times New Roman"/>
                      <w:b w:val="0"/>
                      <w:bCs w:val="0"/>
                      <w:color w:val="000000" w:themeColor="text1"/>
                      <w:sz w:val="21"/>
                      <w:szCs w:val="21"/>
                      <w:lang w:eastAsia="zh-CN"/>
                      <w14:textFill>
                        <w14:solidFill>
                          <w14:schemeClr w14:val="tx1"/>
                        </w14:solidFill>
                      </w14:textFill>
                    </w:rPr>
                    <w:t>）</w:t>
                  </w:r>
                </w:p>
              </w:tc>
            </w:tr>
          </w:tbl>
          <w:p w14:paraId="60459CD8">
            <w:pPr>
              <w:pStyle w:val="15"/>
              <w:snapToGrid w:val="0"/>
              <w:spacing w:line="480" w:lineRule="atLeast"/>
              <w:ind w:firstLine="482" w:firstLineChars="200"/>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5、环境影响分析</w:t>
            </w:r>
          </w:p>
          <w:p w14:paraId="6FB85836">
            <w:pPr>
              <w:pStyle w:val="15"/>
              <w:spacing w:line="480" w:lineRule="atLeast"/>
              <w:ind w:firstLine="480" w:firstLineChars="200"/>
              <w:rPr>
                <w:rFonts w:ascii="Times New Roman" w:hAnsi="Times New Roman" w:cs="Times New Roman"/>
                <w:sz w:val="24"/>
                <w:szCs w:val="24"/>
              </w:rPr>
            </w:pPr>
            <w:r>
              <w:rPr>
                <w:rFonts w:ascii="Times New Roman" w:hAnsi="Times New Roman" w:cs="Times New Roman"/>
                <w:sz w:val="24"/>
              </w:rPr>
              <w:t>本项目生产过程产生的废气经对应环保措施处理后均达标排放</w:t>
            </w:r>
            <w:r>
              <w:rPr>
                <w:rFonts w:ascii="Times New Roman" w:hAnsi="Times New Roman" w:cs="Times New Roman"/>
                <w:sz w:val="24"/>
                <w:szCs w:val="24"/>
              </w:rPr>
              <w:t>，不会对周边大气环境产生明显不利影响。</w:t>
            </w:r>
          </w:p>
          <w:p w14:paraId="7FB63FEE">
            <w:pPr>
              <w:spacing w:line="480" w:lineRule="atLeast"/>
              <w:rPr>
                <w:rFonts w:hint="default" w:ascii="Times New Roman" w:hAnsi="Times New Roman" w:cs="Times New Roman"/>
                <w:b/>
                <w:color w:val="auto"/>
                <w:sz w:val="24"/>
                <w:szCs w:val="24"/>
              </w:rPr>
            </w:pPr>
            <w:r>
              <w:rPr>
                <w:rFonts w:hint="default" w:ascii="Times New Roman" w:hAnsi="Times New Roman" w:cs="Times New Roman"/>
                <w:b/>
                <w:bCs/>
                <w:color w:val="auto"/>
                <w:sz w:val="24"/>
                <w:szCs w:val="24"/>
              </w:rPr>
              <w:t>二、</w:t>
            </w:r>
            <w:r>
              <w:rPr>
                <w:rFonts w:hint="default" w:ascii="Times New Roman" w:hAnsi="Times New Roman" w:cs="Times New Roman"/>
                <w:b/>
                <w:color w:val="auto"/>
                <w:sz w:val="24"/>
                <w:szCs w:val="24"/>
              </w:rPr>
              <w:t>水环境影响分析</w:t>
            </w:r>
          </w:p>
          <w:p w14:paraId="4BECB9B1">
            <w:pPr>
              <w:pStyle w:val="15"/>
              <w:pageBreakBefore w:val="0"/>
              <w:kinsoku/>
              <w:wordWrap/>
              <w:overflowPunct/>
              <w:topLinePunct w:val="0"/>
              <w:autoSpaceDE/>
              <w:autoSpaceDN/>
              <w:bidi w:val="0"/>
              <w:adjustRightInd/>
              <w:spacing w:line="500" w:lineRule="exact"/>
              <w:ind w:firstLine="480" w:firstLineChars="200"/>
              <w:textAlignment w:val="auto"/>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rPr>
              <w:t>本项目</w:t>
            </w:r>
            <w:r>
              <w:rPr>
                <w:rFonts w:hint="default" w:ascii="Times New Roman" w:hAnsi="Times New Roman" w:cs="Times New Roman"/>
                <w:color w:val="auto"/>
                <w:sz w:val="24"/>
                <w:szCs w:val="24"/>
                <w:lang w:eastAsia="zh-CN"/>
              </w:rPr>
              <w:t>生产用水为</w:t>
            </w:r>
            <w:r>
              <w:rPr>
                <w:rFonts w:hint="default" w:ascii="Times New Roman" w:hAnsi="Times New Roman" w:cs="Times New Roman"/>
                <w:color w:val="auto"/>
                <w:sz w:val="24"/>
                <w:szCs w:val="24"/>
              </w:rPr>
              <w:t>冷却水循环使用定期补充不外排</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bidi="ar"/>
              </w:rPr>
              <w:t>生活污水排入防渗</w:t>
            </w:r>
            <w:r>
              <w:rPr>
                <w:rFonts w:hint="eastAsia" w:ascii="Times New Roman" w:hAnsi="Times New Roman" w:cs="Times New Roman"/>
                <w:color w:val="auto"/>
                <w:sz w:val="24"/>
                <w:szCs w:val="24"/>
                <w:lang w:eastAsia="zh-CN" w:bidi="ar"/>
              </w:rPr>
              <w:t>化粪池</w:t>
            </w:r>
            <w:r>
              <w:rPr>
                <w:rFonts w:hint="default" w:ascii="Times New Roman" w:hAnsi="Times New Roman" w:cs="Times New Roman"/>
                <w:color w:val="auto"/>
                <w:sz w:val="24"/>
                <w:szCs w:val="24"/>
                <w:lang w:bidi="ar"/>
              </w:rPr>
              <w:t>，</w:t>
            </w:r>
            <w:r>
              <w:rPr>
                <w:rFonts w:hint="default" w:ascii="Times New Roman" w:hAnsi="Times New Roman" w:eastAsia="宋体" w:cs="Times New Roman"/>
                <w:color w:val="auto"/>
                <w:kern w:val="0"/>
                <w:sz w:val="24"/>
                <w:szCs w:val="24"/>
                <w:highlight w:val="none"/>
                <w:lang w:val="en-US" w:eastAsia="zh-CN"/>
              </w:rPr>
              <w:t>定期清掏</w:t>
            </w:r>
            <w:r>
              <w:rPr>
                <w:rFonts w:hint="default" w:ascii="Times New Roman" w:hAnsi="Times New Roman" w:cs="Times New Roman"/>
                <w:color w:val="auto"/>
                <w:kern w:val="0"/>
                <w:sz w:val="24"/>
                <w:szCs w:val="24"/>
                <w:highlight w:val="none"/>
                <w:lang w:val="en-US" w:eastAsia="zh-CN"/>
              </w:rPr>
              <w:t>，不外排</w:t>
            </w:r>
            <w:r>
              <w:rPr>
                <w:rFonts w:hint="default" w:ascii="Times New Roman" w:hAnsi="Times New Roman" w:cs="Times New Roman"/>
                <w:color w:val="auto"/>
                <w:sz w:val="24"/>
                <w:szCs w:val="24"/>
                <w:lang w:eastAsia="zh-CN"/>
              </w:rPr>
              <w:t>。</w:t>
            </w:r>
          </w:p>
          <w:p w14:paraId="46C6A74B">
            <w:pPr>
              <w:pStyle w:val="5"/>
              <w:widowControl/>
              <w:spacing w:after="0" w:line="480" w:lineRule="atLeast"/>
              <w:ind w:firstLine="0" w:firstLineChars="0"/>
              <w:rPr>
                <w:rFonts w:hint="default" w:ascii="Times New Roman" w:hAnsi="Times New Roman" w:cs="Times New Roman"/>
                <w:b/>
                <w:bCs/>
                <w:color w:val="auto"/>
                <w:kern w:val="2"/>
                <w:szCs w:val="22"/>
              </w:rPr>
            </w:pPr>
            <w:r>
              <w:rPr>
                <w:rFonts w:hint="default" w:ascii="Times New Roman" w:hAnsi="Times New Roman" w:cs="Times New Roman"/>
                <w:b/>
                <w:bCs/>
                <w:color w:val="auto"/>
                <w:kern w:val="2"/>
                <w:szCs w:val="22"/>
              </w:rPr>
              <w:t>三、声环境影响分析</w:t>
            </w:r>
          </w:p>
          <w:p w14:paraId="0D38BC1A">
            <w:pPr>
              <w:pStyle w:val="9"/>
              <w:spacing w:before="0" w:after="0" w:line="480" w:lineRule="atLeast"/>
              <w:ind w:firstLine="480" w:firstLineChars="200"/>
              <w:outlineLvl w:val="3"/>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1、污染物源强核算</w:t>
            </w:r>
          </w:p>
          <w:p w14:paraId="310FDBCD">
            <w:pPr>
              <w:spacing w:line="480" w:lineRule="atLeast"/>
              <w:ind w:firstLine="480" w:firstLineChars="200"/>
              <w:rPr>
                <w:rFonts w:hint="default" w:ascii="Times New Roman" w:hAnsi="Times New Roman" w:eastAsia="黑体" w:cs="Times New Roman"/>
                <w:color w:val="auto"/>
                <w:sz w:val="30"/>
                <w:szCs w:val="30"/>
                <w:lang w:bidi="ar"/>
              </w:rPr>
            </w:pPr>
            <w:r>
              <w:rPr>
                <w:rFonts w:hint="default" w:ascii="Times New Roman" w:hAnsi="Times New Roman" w:cs="Times New Roman"/>
                <w:color w:val="auto"/>
                <w:sz w:val="24"/>
                <w:szCs w:val="24"/>
              </w:rPr>
              <w:t>项目噪声污染主要来源于</w:t>
            </w:r>
            <w:r>
              <w:rPr>
                <w:rFonts w:hint="default" w:ascii="Times New Roman" w:hAnsi="Times New Roman" w:cs="Times New Roman"/>
                <w:color w:val="auto"/>
                <w:sz w:val="24"/>
                <w:szCs w:val="24"/>
                <w:lang w:eastAsia="zh-CN"/>
              </w:rPr>
              <w:t>注塑机</w:t>
            </w:r>
            <w:r>
              <w:rPr>
                <w:rFonts w:hint="default" w:ascii="Times New Roman" w:hAnsi="Times New Roman" w:cs="Times New Roman"/>
                <w:color w:val="auto"/>
                <w:sz w:val="24"/>
                <w:szCs w:val="24"/>
              </w:rPr>
              <w:t>、粉碎机、环保设备风机等设备运行噪声，设备噪声声压级约为</w:t>
            </w:r>
            <w:r>
              <w:rPr>
                <w:rFonts w:hint="eastAsia" w:ascii="Times New Roman" w:hAnsi="Times New Roman" w:cs="Times New Roman"/>
                <w:color w:val="auto"/>
                <w:sz w:val="24"/>
                <w:szCs w:val="24"/>
                <w:lang w:val="en-US" w:eastAsia="zh-CN"/>
              </w:rPr>
              <w:t>75</w:t>
            </w:r>
            <w:r>
              <w:rPr>
                <w:rFonts w:hint="default" w:ascii="Times New Roman" w:hAnsi="Times New Roman" w:cs="Times New Roman"/>
                <w:color w:val="auto"/>
                <w:sz w:val="24"/>
                <w:szCs w:val="24"/>
                <w:lang w:eastAsia="zh-CN"/>
              </w:rPr>
              <w:t>~</w:t>
            </w:r>
            <w:r>
              <w:rPr>
                <w:rFonts w:hint="eastAsia" w:ascii="Times New Roman" w:hAnsi="Times New Roman" w:cs="Times New Roman"/>
                <w:color w:val="auto"/>
                <w:sz w:val="24"/>
                <w:szCs w:val="24"/>
                <w:lang w:val="en-US" w:eastAsia="zh-CN"/>
              </w:rPr>
              <w:t>90</w:t>
            </w:r>
            <w:r>
              <w:rPr>
                <w:rFonts w:hint="default" w:ascii="Times New Roman" w:hAnsi="Times New Roman" w:cs="Times New Roman"/>
                <w:color w:val="auto"/>
                <w:sz w:val="24"/>
                <w:szCs w:val="24"/>
              </w:rPr>
              <w:t>dB（A），在采取基础减震、厂房隔声措施后，对周围声环境无明显不利影响。项目噪声污染源源强核算结果及相关参数一览见表</w:t>
            </w:r>
            <w:r>
              <w:rPr>
                <w:rFonts w:hint="eastAsia" w:ascii="Times New Roman" w:hAnsi="Times New Roman" w:cs="Times New Roman"/>
                <w:color w:val="auto"/>
                <w:sz w:val="24"/>
                <w:szCs w:val="24"/>
                <w:lang w:val="en-US" w:eastAsia="zh-CN"/>
              </w:rPr>
              <w:t>25</w:t>
            </w:r>
            <w:r>
              <w:rPr>
                <w:rFonts w:hint="default" w:ascii="Times New Roman" w:hAnsi="Times New Roman" w:cs="Times New Roman"/>
                <w:color w:val="auto"/>
                <w:sz w:val="24"/>
                <w:szCs w:val="24"/>
              </w:rPr>
              <w:t>。</w:t>
            </w:r>
          </w:p>
        </w:tc>
      </w:tr>
    </w:tbl>
    <w:p w14:paraId="6DCA71D3">
      <w:pPr>
        <w:rPr>
          <w:rFonts w:hint="default" w:ascii="Times New Roman" w:hAnsi="Times New Roman" w:eastAsia="黑体" w:cs="Times New Roman"/>
          <w:color w:val="auto"/>
          <w:sz w:val="30"/>
          <w:szCs w:val="30"/>
          <w:lang w:bidi="ar"/>
        </w:rPr>
        <w:sectPr>
          <w:footerReference r:id="rId8" w:type="default"/>
          <w:pgSz w:w="11906" w:h="16838"/>
          <w:pgMar w:top="1417" w:right="1803" w:bottom="1417" w:left="1803" w:header="851" w:footer="992" w:gutter="0"/>
          <w:pgBorders>
            <w:top w:val="none" w:sz="0" w:space="0"/>
            <w:left w:val="none" w:sz="0" w:space="0"/>
            <w:bottom w:val="none" w:sz="0" w:space="0"/>
            <w:right w:val="none" w:sz="0" w:space="0"/>
          </w:pgBorders>
          <w:pgNumType w:fmt="decimal"/>
          <w:cols w:space="0" w:num="1"/>
          <w:docGrid w:type="lines" w:linePitch="395" w:charSpace="0"/>
        </w:sectPr>
      </w:pPr>
    </w:p>
    <w:tbl>
      <w:tblPr>
        <w:tblStyle w:val="35"/>
        <w:tblW w:w="134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7"/>
        <w:gridCol w:w="13105"/>
      </w:tblGrid>
      <w:tr w14:paraId="428CF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7" w:hRule="atLeast"/>
          <w:jc w:val="center"/>
        </w:trPr>
        <w:tc>
          <w:tcPr>
            <w:tcW w:w="367" w:type="dxa"/>
            <w:vAlign w:val="center"/>
          </w:tcPr>
          <w:p w14:paraId="4781A16D">
            <w:pPr>
              <w:pStyle w:val="29"/>
              <w:ind w:left="560"/>
            </w:pPr>
          </w:p>
        </w:tc>
        <w:tc>
          <w:tcPr>
            <w:tcW w:w="13105" w:type="dxa"/>
          </w:tcPr>
          <w:p w14:paraId="691212D5">
            <w:pPr>
              <w:spacing w:line="480" w:lineRule="atLeast"/>
              <w:jc w:val="center"/>
              <w:rPr>
                <w:rFonts w:ascii="Times New Roman" w:hAnsi="Times New Roman" w:cs="Times New Roman"/>
                <w:b/>
                <w:bCs/>
                <w:color w:val="000000" w:themeColor="text1"/>
                <w:sz w:val="24"/>
                <w:szCs w:val="24"/>
                <w14:textFill>
                  <w14:solidFill>
                    <w14:schemeClr w14:val="tx1"/>
                  </w14:solidFill>
                </w14:textFill>
              </w:rPr>
            </w:pPr>
            <w:r>
              <w:rPr>
                <w:rFonts w:ascii="Times New Roman" w:hAnsi="Times New Roman" w:cs="Times New Roman"/>
                <w:b/>
                <w:bCs/>
                <w:color w:val="000000" w:themeColor="text1"/>
                <w:sz w:val="24"/>
                <w:szCs w:val="24"/>
                <w14:textFill>
                  <w14:solidFill>
                    <w14:schemeClr w14:val="tx1"/>
                  </w14:solidFill>
                </w14:textFill>
              </w:rPr>
              <w:t>表</w:t>
            </w:r>
            <w:r>
              <w:rPr>
                <w:rFonts w:hint="eastAsia" w:ascii="Times New Roman" w:hAnsi="Times New Roman" w:cs="Times New Roman"/>
                <w:b/>
                <w:bCs/>
                <w:color w:val="000000" w:themeColor="text1"/>
                <w:sz w:val="24"/>
                <w:szCs w:val="24"/>
                <w:lang w:val="en-US" w:eastAsia="zh-CN"/>
                <w14:textFill>
                  <w14:solidFill>
                    <w14:schemeClr w14:val="tx1"/>
                  </w14:solidFill>
                </w14:textFill>
              </w:rPr>
              <w:t>24</w:t>
            </w:r>
            <w:r>
              <w:rPr>
                <w:rFonts w:ascii="Times New Roman" w:hAnsi="Times New Roman" w:cs="Times New Roman"/>
                <w:b/>
                <w:bCs/>
                <w:color w:val="000000" w:themeColor="text1"/>
                <w:sz w:val="24"/>
                <w:szCs w:val="24"/>
                <w14:textFill>
                  <w14:solidFill>
                    <w14:schemeClr w14:val="tx1"/>
                  </w14:solidFill>
                </w14:textFill>
              </w:rPr>
              <w:t>噪声源强</w:t>
            </w:r>
            <w:r>
              <w:rPr>
                <w:rFonts w:hint="eastAsia" w:ascii="Times New Roman" w:hAnsi="Times New Roman" w:cs="Times New Roman"/>
                <w:b/>
                <w:bCs/>
                <w:color w:val="000000" w:themeColor="text1"/>
                <w:sz w:val="24"/>
                <w:szCs w:val="24"/>
                <w14:textFill>
                  <w14:solidFill>
                    <w14:schemeClr w14:val="tx1"/>
                  </w14:solidFill>
                </w14:textFill>
              </w:rPr>
              <w:t>调查清单（室内声源）</w:t>
            </w:r>
          </w:p>
          <w:tbl>
            <w:tblPr>
              <w:tblStyle w:val="34"/>
              <w:tblW w:w="12884" w:type="dxa"/>
              <w:tblInd w:w="0" w:type="dxa"/>
              <w:tblLayout w:type="fixed"/>
              <w:tblCellMar>
                <w:top w:w="0" w:type="dxa"/>
                <w:left w:w="108" w:type="dxa"/>
                <w:bottom w:w="0" w:type="dxa"/>
                <w:right w:w="108" w:type="dxa"/>
              </w:tblCellMar>
            </w:tblPr>
            <w:tblGrid>
              <w:gridCol w:w="429"/>
              <w:gridCol w:w="1080"/>
              <w:gridCol w:w="855"/>
              <w:gridCol w:w="1290"/>
              <w:gridCol w:w="675"/>
              <w:gridCol w:w="570"/>
              <w:gridCol w:w="420"/>
              <w:gridCol w:w="555"/>
              <w:gridCol w:w="495"/>
              <w:gridCol w:w="465"/>
              <w:gridCol w:w="490"/>
              <w:gridCol w:w="488"/>
              <w:gridCol w:w="488"/>
              <w:gridCol w:w="409"/>
              <w:gridCol w:w="420"/>
              <w:gridCol w:w="480"/>
              <w:gridCol w:w="855"/>
              <w:gridCol w:w="523"/>
              <w:gridCol w:w="414"/>
              <w:gridCol w:w="402"/>
              <w:gridCol w:w="401"/>
              <w:gridCol w:w="680"/>
            </w:tblGrid>
            <w:tr w14:paraId="132CCCA9">
              <w:tblPrEx>
                <w:tblCellMar>
                  <w:top w:w="0" w:type="dxa"/>
                  <w:left w:w="108" w:type="dxa"/>
                  <w:bottom w:w="0" w:type="dxa"/>
                  <w:right w:w="108" w:type="dxa"/>
                </w:tblCellMar>
              </w:tblPrEx>
              <w:trPr>
                <w:trHeight w:val="285" w:hRule="atLeast"/>
              </w:trPr>
              <w:tc>
                <w:tcPr>
                  <w:tcW w:w="42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C3AD4">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序号</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85C7A">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声源名称</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BE352">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声源源强</w:t>
                  </w:r>
                </w:p>
              </w:tc>
              <w:tc>
                <w:tcPr>
                  <w:tcW w:w="129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2B772">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声源控制措施</w:t>
                  </w:r>
                </w:p>
              </w:tc>
              <w:tc>
                <w:tcPr>
                  <w:tcW w:w="1665" w:type="dxa"/>
                  <w:gridSpan w:val="3"/>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74564">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相对空间位置/m</w:t>
                  </w:r>
                </w:p>
              </w:tc>
              <w:tc>
                <w:tcPr>
                  <w:tcW w:w="2005" w:type="dxa"/>
                  <w:gridSpan w:val="4"/>
                  <w:vMerge w:val="restart"/>
                  <w:tcBorders>
                    <w:top w:val="single" w:color="000000" w:sz="4" w:space="0"/>
                    <w:left w:val="single" w:color="000000" w:sz="4" w:space="0"/>
                    <w:right w:val="single" w:color="000000" w:sz="4" w:space="0"/>
                  </w:tcBorders>
                  <w:shd w:val="clear" w:color="auto" w:fill="auto"/>
                  <w:noWrap/>
                  <w:vAlign w:val="center"/>
                </w:tcPr>
                <w:p w14:paraId="55DD08EB">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距室内边界距离/m</w:t>
                  </w:r>
                </w:p>
              </w:tc>
              <w:tc>
                <w:tcPr>
                  <w:tcW w:w="1805" w:type="dxa"/>
                  <w:gridSpan w:val="4"/>
                  <w:vMerge w:val="restart"/>
                  <w:tcBorders>
                    <w:top w:val="single" w:color="000000" w:sz="4" w:space="0"/>
                    <w:left w:val="single" w:color="000000" w:sz="4" w:space="0"/>
                    <w:right w:val="single" w:color="000000" w:sz="4" w:space="0"/>
                  </w:tcBorders>
                  <w:shd w:val="clear" w:color="auto" w:fill="auto"/>
                  <w:noWrap/>
                  <w:vAlign w:val="center"/>
                </w:tcPr>
                <w:p w14:paraId="66441666">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室内边界声级/dB(A)</w:t>
                  </w:r>
                </w:p>
              </w:tc>
              <w:tc>
                <w:tcPr>
                  <w:tcW w:w="48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E1AD6">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运行时段</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30828">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建筑物插入损失/dB(A)</w:t>
                  </w:r>
                </w:p>
              </w:tc>
              <w:tc>
                <w:tcPr>
                  <w:tcW w:w="242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E5CAC">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建筑物外噪声</w:t>
                  </w:r>
                </w:p>
              </w:tc>
            </w:tr>
            <w:tr w14:paraId="76A97A71">
              <w:tblPrEx>
                <w:tblCellMar>
                  <w:top w:w="0" w:type="dxa"/>
                  <w:left w:w="108" w:type="dxa"/>
                  <w:bottom w:w="0" w:type="dxa"/>
                  <w:right w:w="108" w:type="dxa"/>
                </w:tblCellMar>
              </w:tblPrEx>
              <w:trPr>
                <w:trHeight w:val="315" w:hRule="atLeast"/>
              </w:trPr>
              <w:tc>
                <w:tcPr>
                  <w:tcW w:w="42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99A76">
                  <w:pPr>
                    <w:widowControl/>
                    <w:spacing w:line="320" w:lineRule="exact"/>
                    <w:jc w:val="center"/>
                    <w:rPr>
                      <w:rFonts w:ascii="Times New Roman" w:hAnsi="Times New Roman" w:cs="Times New Roman"/>
                      <w:color w:val="000000" w:themeColor="text1"/>
                      <w:sz w:val="21"/>
                      <w:szCs w:val="21"/>
                      <w14:textFill>
                        <w14:solidFill>
                          <w14:schemeClr w14:val="tx1"/>
                        </w14:solidFill>
                      </w14:textFill>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765E2">
                  <w:pPr>
                    <w:widowControl/>
                    <w:spacing w:line="320" w:lineRule="exact"/>
                    <w:jc w:val="center"/>
                    <w:rPr>
                      <w:rFonts w:ascii="Times New Roman" w:hAnsi="Times New Roman" w:cs="Times New Roman"/>
                      <w:color w:val="000000" w:themeColor="text1"/>
                      <w:sz w:val="21"/>
                      <w:szCs w:val="21"/>
                      <w14:textFill>
                        <w14:solidFill>
                          <w14:schemeClr w14:val="tx1"/>
                        </w14:solidFill>
                      </w14:textFill>
                    </w:rPr>
                  </w:pP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3C04F">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声功率级/dB(A)</w:t>
                  </w:r>
                </w:p>
              </w:tc>
              <w:tc>
                <w:tcPr>
                  <w:tcW w:w="12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47C91">
                  <w:pPr>
                    <w:widowControl/>
                    <w:spacing w:line="320" w:lineRule="exact"/>
                    <w:jc w:val="center"/>
                    <w:rPr>
                      <w:rFonts w:ascii="Times New Roman" w:hAnsi="Times New Roman" w:cs="Times New Roman"/>
                      <w:color w:val="000000" w:themeColor="text1"/>
                      <w:sz w:val="21"/>
                      <w:szCs w:val="21"/>
                      <w14:textFill>
                        <w14:solidFill>
                          <w14:schemeClr w14:val="tx1"/>
                        </w14:solidFill>
                      </w14:textFill>
                    </w:rPr>
                  </w:pPr>
                </w:p>
              </w:tc>
              <w:tc>
                <w:tcPr>
                  <w:tcW w:w="166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2AEC5">
                  <w:pPr>
                    <w:widowControl/>
                    <w:spacing w:line="320" w:lineRule="exact"/>
                    <w:jc w:val="center"/>
                    <w:rPr>
                      <w:rFonts w:ascii="Times New Roman" w:hAnsi="Times New Roman" w:cs="Times New Roman"/>
                      <w:color w:val="000000" w:themeColor="text1"/>
                      <w:sz w:val="21"/>
                      <w:szCs w:val="21"/>
                      <w14:textFill>
                        <w14:solidFill>
                          <w14:schemeClr w14:val="tx1"/>
                        </w14:solidFill>
                      </w14:textFill>
                    </w:rPr>
                  </w:pPr>
                </w:p>
              </w:tc>
              <w:tc>
                <w:tcPr>
                  <w:tcW w:w="2005" w:type="dxa"/>
                  <w:gridSpan w:val="4"/>
                  <w:vMerge w:val="continue"/>
                  <w:tcBorders>
                    <w:left w:val="single" w:color="000000" w:sz="4" w:space="0"/>
                    <w:bottom w:val="single" w:color="000000" w:sz="4" w:space="0"/>
                    <w:right w:val="single" w:color="000000" w:sz="4" w:space="0"/>
                  </w:tcBorders>
                  <w:shd w:val="clear" w:color="auto" w:fill="auto"/>
                  <w:noWrap/>
                  <w:vAlign w:val="center"/>
                </w:tcPr>
                <w:p w14:paraId="58A27080">
                  <w:pPr>
                    <w:widowControl/>
                    <w:spacing w:line="320" w:lineRule="exact"/>
                    <w:jc w:val="center"/>
                    <w:rPr>
                      <w:rFonts w:ascii="Times New Roman" w:hAnsi="Times New Roman" w:cs="Times New Roman"/>
                      <w:color w:val="000000" w:themeColor="text1"/>
                      <w:sz w:val="21"/>
                      <w:szCs w:val="21"/>
                      <w14:textFill>
                        <w14:solidFill>
                          <w14:schemeClr w14:val="tx1"/>
                        </w14:solidFill>
                      </w14:textFill>
                    </w:rPr>
                  </w:pPr>
                </w:p>
              </w:tc>
              <w:tc>
                <w:tcPr>
                  <w:tcW w:w="1805" w:type="dxa"/>
                  <w:gridSpan w:val="4"/>
                  <w:vMerge w:val="continue"/>
                  <w:tcBorders>
                    <w:left w:val="single" w:color="000000" w:sz="4" w:space="0"/>
                    <w:bottom w:val="single" w:color="000000" w:sz="4" w:space="0"/>
                    <w:right w:val="single" w:color="000000" w:sz="4" w:space="0"/>
                  </w:tcBorders>
                  <w:shd w:val="clear" w:color="auto" w:fill="auto"/>
                  <w:noWrap/>
                  <w:vAlign w:val="center"/>
                </w:tcPr>
                <w:p w14:paraId="20C0017F">
                  <w:pPr>
                    <w:widowControl/>
                    <w:spacing w:line="320" w:lineRule="exact"/>
                    <w:jc w:val="center"/>
                    <w:rPr>
                      <w:rFonts w:ascii="Times New Roman" w:hAnsi="Times New Roman" w:cs="Times New Roman"/>
                      <w:color w:val="000000" w:themeColor="text1"/>
                      <w:sz w:val="21"/>
                      <w:szCs w:val="21"/>
                      <w14:textFill>
                        <w14:solidFill>
                          <w14:schemeClr w14:val="tx1"/>
                        </w14:solidFill>
                      </w14:textFill>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F7CBF">
                  <w:pPr>
                    <w:widowControl/>
                    <w:spacing w:line="320" w:lineRule="exact"/>
                    <w:jc w:val="center"/>
                    <w:rPr>
                      <w:rFonts w:ascii="Times New Roman" w:hAnsi="Times New Roman" w:cs="Times New Roman"/>
                      <w:color w:val="000000" w:themeColor="text1"/>
                      <w:sz w:val="21"/>
                      <w:szCs w:val="21"/>
                      <w14:textFill>
                        <w14:solidFill>
                          <w14:schemeClr w14:val="tx1"/>
                        </w14:solidFill>
                      </w14:textFill>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F6780">
                  <w:pPr>
                    <w:widowControl/>
                    <w:spacing w:line="320" w:lineRule="exact"/>
                    <w:jc w:val="center"/>
                    <w:rPr>
                      <w:rFonts w:ascii="Times New Roman" w:hAnsi="Times New Roman" w:cs="Times New Roman"/>
                      <w:color w:val="000000" w:themeColor="text1"/>
                      <w:sz w:val="21"/>
                      <w:szCs w:val="21"/>
                      <w14:textFill>
                        <w14:solidFill>
                          <w14:schemeClr w14:val="tx1"/>
                        </w14:solidFill>
                      </w14:textFill>
                    </w:rPr>
                  </w:pPr>
                </w:p>
              </w:tc>
              <w:tc>
                <w:tcPr>
                  <w:tcW w:w="174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EED53">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声压级/dB(A)</w:t>
                  </w:r>
                </w:p>
              </w:tc>
              <w:tc>
                <w:tcPr>
                  <w:tcW w:w="680" w:type="dxa"/>
                  <w:vMerge w:val="restart"/>
                  <w:tcBorders>
                    <w:top w:val="single" w:color="000000" w:sz="4" w:space="0"/>
                    <w:left w:val="single" w:color="000000" w:sz="4" w:space="0"/>
                    <w:right w:val="single" w:color="000000" w:sz="4" w:space="0"/>
                  </w:tcBorders>
                  <w:shd w:val="clear" w:color="auto" w:fill="auto"/>
                  <w:noWrap/>
                  <w:vAlign w:val="center"/>
                </w:tcPr>
                <w:p w14:paraId="141D8D1C">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建筑物外距离</w:t>
                  </w:r>
                </w:p>
              </w:tc>
            </w:tr>
            <w:tr w14:paraId="262708B0">
              <w:tblPrEx>
                <w:tblCellMar>
                  <w:top w:w="0" w:type="dxa"/>
                  <w:left w:w="108" w:type="dxa"/>
                  <w:bottom w:w="0" w:type="dxa"/>
                  <w:right w:w="108" w:type="dxa"/>
                </w:tblCellMar>
              </w:tblPrEx>
              <w:trPr>
                <w:trHeight w:val="315" w:hRule="atLeast"/>
              </w:trPr>
              <w:tc>
                <w:tcPr>
                  <w:tcW w:w="42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61680">
                  <w:pPr>
                    <w:widowControl/>
                    <w:spacing w:line="320" w:lineRule="exact"/>
                    <w:jc w:val="center"/>
                    <w:rPr>
                      <w:rFonts w:ascii="Times New Roman" w:hAnsi="Times New Roman" w:cs="Times New Roman"/>
                      <w:color w:val="000000" w:themeColor="text1"/>
                      <w:sz w:val="21"/>
                      <w:szCs w:val="21"/>
                      <w14:textFill>
                        <w14:solidFill>
                          <w14:schemeClr w14:val="tx1"/>
                        </w14:solidFill>
                      </w14:textFill>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6EAF4">
                  <w:pPr>
                    <w:widowControl/>
                    <w:spacing w:line="320" w:lineRule="exact"/>
                    <w:jc w:val="center"/>
                    <w:rPr>
                      <w:rFonts w:ascii="Times New Roman" w:hAnsi="Times New Roman" w:cs="Times New Roman"/>
                      <w:color w:val="000000" w:themeColor="text1"/>
                      <w:sz w:val="21"/>
                      <w:szCs w:val="21"/>
                      <w14:textFill>
                        <w14:solidFill>
                          <w14:schemeClr w14:val="tx1"/>
                        </w14:solidFill>
                      </w14:textFill>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2EBB4">
                  <w:pPr>
                    <w:widowControl/>
                    <w:spacing w:line="320" w:lineRule="exact"/>
                    <w:jc w:val="center"/>
                    <w:rPr>
                      <w:rFonts w:ascii="Times New Roman" w:hAnsi="Times New Roman" w:cs="Times New Roman"/>
                      <w:color w:val="000000" w:themeColor="text1"/>
                      <w:sz w:val="21"/>
                      <w:szCs w:val="21"/>
                      <w14:textFill>
                        <w14:solidFill>
                          <w14:schemeClr w14:val="tx1"/>
                        </w14:solidFill>
                      </w14:textFill>
                    </w:rPr>
                  </w:pPr>
                </w:p>
              </w:tc>
              <w:tc>
                <w:tcPr>
                  <w:tcW w:w="12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A9AB7">
                  <w:pPr>
                    <w:widowControl/>
                    <w:spacing w:line="320" w:lineRule="exact"/>
                    <w:jc w:val="center"/>
                    <w:rPr>
                      <w:rFonts w:ascii="Times New Roman" w:hAnsi="Times New Roman" w:cs="Times New Roman"/>
                      <w:color w:val="000000" w:themeColor="text1"/>
                      <w:sz w:val="21"/>
                      <w:szCs w:val="21"/>
                      <w14:textFill>
                        <w14:solidFill>
                          <w14:schemeClr w14:val="tx1"/>
                        </w14:solidFill>
                      </w14:textFill>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C0879">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X</w:t>
                  </w:r>
                </w:p>
              </w:tc>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7FCBD">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Y</w:t>
                  </w:r>
                </w:p>
              </w:tc>
              <w:tc>
                <w:tcPr>
                  <w:tcW w:w="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C6578">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Z</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708B4">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东</w:t>
                  </w:r>
                </w:p>
              </w:tc>
              <w:tc>
                <w:tcPr>
                  <w:tcW w:w="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A4D2A">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南</w:t>
                  </w:r>
                </w:p>
              </w:tc>
              <w:tc>
                <w:tcPr>
                  <w:tcW w:w="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BAA6A">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西</w:t>
                  </w:r>
                </w:p>
              </w:tc>
              <w:tc>
                <w:tcPr>
                  <w:tcW w:w="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383E9">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北</w:t>
                  </w: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6FAA5">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南</w:t>
                  </w: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4FD31">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东</w:t>
                  </w:r>
                </w:p>
              </w:tc>
              <w:tc>
                <w:tcPr>
                  <w:tcW w:w="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84EA6">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北</w:t>
                  </w:r>
                </w:p>
              </w:tc>
              <w:tc>
                <w:tcPr>
                  <w:tcW w:w="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CD150">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西</w:t>
                  </w: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DEF74">
                  <w:pPr>
                    <w:widowControl/>
                    <w:spacing w:line="320" w:lineRule="exact"/>
                    <w:jc w:val="center"/>
                    <w:rPr>
                      <w:rFonts w:ascii="Times New Roman" w:hAnsi="Times New Roman" w:cs="Times New Roman"/>
                      <w:color w:val="000000" w:themeColor="text1"/>
                      <w:sz w:val="21"/>
                      <w:szCs w:val="21"/>
                      <w14:textFill>
                        <w14:solidFill>
                          <w14:schemeClr w14:val="tx1"/>
                        </w14:solidFill>
                      </w14:textFill>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30BE6">
                  <w:pPr>
                    <w:widowControl/>
                    <w:spacing w:line="320" w:lineRule="exact"/>
                    <w:jc w:val="center"/>
                    <w:rPr>
                      <w:rFonts w:ascii="Times New Roman" w:hAnsi="Times New Roman" w:cs="Times New Roman"/>
                      <w:color w:val="000000" w:themeColor="text1"/>
                      <w:sz w:val="21"/>
                      <w:szCs w:val="21"/>
                      <w14:textFill>
                        <w14:solidFill>
                          <w14:schemeClr w14:val="tx1"/>
                        </w14:solidFill>
                      </w14:textFill>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41E995">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南</w:t>
                  </w:r>
                </w:p>
              </w:tc>
              <w:tc>
                <w:tcPr>
                  <w:tcW w:w="4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8C0B7">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东</w:t>
                  </w:r>
                </w:p>
              </w:tc>
              <w:tc>
                <w:tcPr>
                  <w:tcW w:w="402" w:type="dxa"/>
                  <w:tcBorders>
                    <w:left w:val="single" w:color="000000" w:sz="4" w:space="0"/>
                    <w:bottom w:val="single" w:color="000000" w:sz="4" w:space="0"/>
                    <w:right w:val="single" w:color="000000" w:sz="4" w:space="0"/>
                  </w:tcBorders>
                  <w:shd w:val="clear" w:color="auto" w:fill="auto"/>
                  <w:noWrap/>
                  <w:vAlign w:val="center"/>
                </w:tcPr>
                <w:p w14:paraId="71DF0421">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北</w:t>
                  </w:r>
                </w:p>
              </w:tc>
              <w:tc>
                <w:tcPr>
                  <w:tcW w:w="401" w:type="dxa"/>
                  <w:tcBorders>
                    <w:left w:val="single" w:color="000000" w:sz="4" w:space="0"/>
                    <w:bottom w:val="single" w:color="000000" w:sz="4" w:space="0"/>
                    <w:right w:val="single" w:color="000000" w:sz="4" w:space="0"/>
                  </w:tcBorders>
                  <w:shd w:val="clear" w:color="auto" w:fill="auto"/>
                  <w:noWrap/>
                  <w:vAlign w:val="center"/>
                </w:tcPr>
                <w:p w14:paraId="61EF761A">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西</w:t>
                  </w:r>
                </w:p>
              </w:tc>
              <w:tc>
                <w:tcPr>
                  <w:tcW w:w="680" w:type="dxa"/>
                  <w:vMerge w:val="continue"/>
                  <w:tcBorders>
                    <w:left w:val="single" w:color="000000" w:sz="4" w:space="0"/>
                    <w:bottom w:val="single" w:color="000000" w:sz="4" w:space="0"/>
                    <w:right w:val="single" w:color="000000" w:sz="4" w:space="0"/>
                  </w:tcBorders>
                  <w:shd w:val="clear" w:color="auto" w:fill="auto"/>
                  <w:noWrap/>
                  <w:vAlign w:val="center"/>
                </w:tcPr>
                <w:p w14:paraId="124B973B">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p>
              </w:tc>
            </w:tr>
            <w:tr w14:paraId="11D83412">
              <w:tblPrEx>
                <w:tblCellMar>
                  <w:top w:w="0" w:type="dxa"/>
                  <w:left w:w="108" w:type="dxa"/>
                  <w:bottom w:w="0" w:type="dxa"/>
                  <w:right w:w="108" w:type="dxa"/>
                </w:tblCellMar>
              </w:tblPrEx>
              <w:trPr>
                <w:trHeight w:val="315" w:hRule="atLeast"/>
              </w:trPr>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C058B">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BD6F9">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生产</w:t>
                  </w:r>
                  <w:r>
                    <w:rPr>
                      <w:rFonts w:ascii="Times New Roman" w:hAnsi="Times New Roman" w:cs="Times New Roman"/>
                      <w:color w:val="000000" w:themeColor="text1"/>
                      <w:sz w:val="21"/>
                      <w:szCs w:val="21"/>
                      <w14:textFill>
                        <w14:solidFill>
                          <w14:schemeClr w14:val="tx1"/>
                        </w14:solidFill>
                      </w14:textFill>
                    </w:rPr>
                    <w:t>车间</w:t>
                  </w:r>
                  <w:r>
                    <w:rPr>
                      <w:rFonts w:hint="eastAsia" w:ascii="Times New Roman" w:hAnsi="Times New Roman" w:cs="Times New Roman"/>
                      <w:color w:val="000000" w:themeColor="text1"/>
                      <w:sz w:val="21"/>
                      <w:szCs w:val="21"/>
                      <w:lang w:eastAsia="zh-CN"/>
                      <w14:textFill>
                        <w14:solidFill>
                          <w14:schemeClr w14:val="tx1"/>
                        </w14:solidFill>
                      </w14:textFill>
                    </w:rPr>
                    <w:t>注塑</w:t>
                  </w:r>
                  <w:r>
                    <w:rPr>
                      <w:rFonts w:ascii="Times New Roman" w:hAnsi="Times New Roman" w:cs="Times New Roman"/>
                      <w:color w:val="000000" w:themeColor="text1"/>
                      <w:sz w:val="21"/>
                      <w:szCs w:val="21"/>
                      <w14:textFill>
                        <w14:solidFill>
                          <w14:schemeClr w14:val="tx1"/>
                        </w14:solidFill>
                      </w14:textFill>
                    </w:rPr>
                    <w:t>机（</w:t>
                  </w:r>
                  <w:r>
                    <w:rPr>
                      <w:rFonts w:hint="eastAsia" w:ascii="Times New Roman" w:hAnsi="Times New Roman" w:cs="Times New Roman"/>
                      <w:color w:val="000000" w:themeColor="text1"/>
                      <w:sz w:val="21"/>
                      <w:szCs w:val="21"/>
                      <w:lang w:val="en-US" w:eastAsia="zh-CN"/>
                      <w14:textFill>
                        <w14:solidFill>
                          <w14:schemeClr w14:val="tx1"/>
                        </w14:solidFill>
                      </w14:textFill>
                    </w:rPr>
                    <w:t>56</w:t>
                  </w:r>
                  <w:r>
                    <w:rPr>
                      <w:rFonts w:ascii="Times New Roman" w:hAnsi="Times New Roman" w:cs="Times New Roman"/>
                      <w:color w:val="000000" w:themeColor="text1"/>
                      <w:sz w:val="21"/>
                      <w:szCs w:val="21"/>
                      <w14:textFill>
                        <w14:solidFill>
                          <w14:schemeClr w14:val="tx1"/>
                        </w14:solidFill>
                      </w14:textFill>
                    </w:rPr>
                    <w:t>台</w:t>
                  </w:r>
                  <w:r>
                    <w:rPr>
                      <w:rFonts w:hint="eastAsia" w:ascii="Times New Roman" w:hAnsi="Times New Roman" w:cs="Times New Roman"/>
                      <w:color w:val="000000" w:themeColor="text1"/>
                      <w:sz w:val="21"/>
                      <w:szCs w:val="21"/>
                      <w:lang w:eastAsia="zh-CN"/>
                      <w14:textFill>
                        <w14:solidFill>
                          <w14:schemeClr w14:val="tx1"/>
                        </w14:solidFill>
                      </w14:textFill>
                    </w:rPr>
                    <w:t>，按点声源组预测</w:t>
                  </w:r>
                  <w:r>
                    <w:rPr>
                      <w:rFonts w:ascii="Times New Roman" w:hAnsi="Times New Roman" w:cs="Times New Roman"/>
                      <w:color w:val="000000" w:themeColor="text1"/>
                      <w:sz w:val="21"/>
                      <w:szCs w:val="21"/>
                      <w14:textFill>
                        <w14:solidFill>
                          <w14:schemeClr w14:val="tx1"/>
                        </w14:solidFill>
                      </w14:textFill>
                    </w:rPr>
                    <w:t>）</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04E5A">
                  <w:pPr>
                    <w:widowControl/>
                    <w:spacing w:line="320" w:lineRule="exact"/>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75等效后91.9</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527E2">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基础减振，厂房隔声，距离衰减</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E4A13">
                  <w:pPr>
                    <w:widowControl/>
                    <w:spacing w:line="320" w:lineRule="exact"/>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13.34</w:t>
                  </w:r>
                </w:p>
              </w:tc>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26206">
                  <w:pPr>
                    <w:widowControl/>
                    <w:spacing w:line="320" w:lineRule="exact"/>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14.46</w:t>
                  </w:r>
                </w:p>
              </w:tc>
              <w:tc>
                <w:tcPr>
                  <w:tcW w:w="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4B132">
                  <w:pPr>
                    <w:widowControl/>
                    <w:spacing w:line="320" w:lineRule="exact"/>
                    <w:jc w:val="center"/>
                    <w:textAlignment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3B3803">
                  <w:pPr>
                    <w:widowControl/>
                    <w:spacing w:line="320" w:lineRule="exact"/>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29.36</w:t>
                  </w:r>
                </w:p>
              </w:tc>
              <w:tc>
                <w:tcPr>
                  <w:tcW w:w="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E420C">
                  <w:pPr>
                    <w:widowControl/>
                    <w:spacing w:line="320" w:lineRule="exact"/>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15.45</w:t>
                  </w:r>
                </w:p>
              </w:tc>
              <w:tc>
                <w:tcPr>
                  <w:tcW w:w="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3726F">
                  <w:pPr>
                    <w:widowControl/>
                    <w:spacing w:line="320" w:lineRule="exact"/>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14.77</w:t>
                  </w:r>
                </w:p>
              </w:tc>
              <w:tc>
                <w:tcPr>
                  <w:tcW w:w="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74A60">
                  <w:pPr>
                    <w:widowControl/>
                    <w:spacing w:line="320" w:lineRule="exact"/>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58.09</w:t>
                  </w:r>
                </w:p>
              </w:tc>
              <w:tc>
                <w:tcPr>
                  <w:tcW w:w="488" w:type="dxa"/>
                  <w:vMerge w:val="restart"/>
                  <w:tcBorders>
                    <w:top w:val="single" w:color="000000" w:sz="4" w:space="0"/>
                    <w:left w:val="single" w:color="000000" w:sz="4" w:space="0"/>
                    <w:right w:val="single" w:color="000000" w:sz="4" w:space="0"/>
                  </w:tcBorders>
                  <w:shd w:val="clear" w:color="auto" w:fill="auto"/>
                  <w:noWrap/>
                  <w:vAlign w:val="center"/>
                </w:tcPr>
                <w:p w14:paraId="275E5657">
                  <w:pPr>
                    <w:widowControl/>
                    <w:spacing w:line="320" w:lineRule="exact"/>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88.25</w:t>
                  </w:r>
                </w:p>
              </w:tc>
              <w:tc>
                <w:tcPr>
                  <w:tcW w:w="488" w:type="dxa"/>
                  <w:vMerge w:val="restart"/>
                  <w:tcBorders>
                    <w:top w:val="single" w:color="000000" w:sz="4" w:space="0"/>
                    <w:left w:val="single" w:color="000000" w:sz="4" w:space="0"/>
                    <w:right w:val="single" w:color="000000" w:sz="4" w:space="0"/>
                  </w:tcBorders>
                  <w:shd w:val="clear" w:color="auto" w:fill="auto"/>
                  <w:noWrap/>
                  <w:vAlign w:val="center"/>
                </w:tcPr>
                <w:p w14:paraId="629626D0">
                  <w:pPr>
                    <w:widowControl/>
                    <w:spacing w:line="320" w:lineRule="exact"/>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87.33</w:t>
                  </w:r>
                </w:p>
              </w:tc>
              <w:tc>
                <w:tcPr>
                  <w:tcW w:w="409" w:type="dxa"/>
                  <w:vMerge w:val="restart"/>
                  <w:tcBorders>
                    <w:top w:val="single" w:color="000000" w:sz="4" w:space="0"/>
                    <w:left w:val="single" w:color="000000" w:sz="4" w:space="0"/>
                    <w:right w:val="single" w:color="000000" w:sz="4" w:space="0"/>
                  </w:tcBorders>
                  <w:shd w:val="clear" w:color="auto" w:fill="auto"/>
                  <w:noWrap/>
                  <w:vAlign w:val="center"/>
                </w:tcPr>
                <w:p w14:paraId="422A8521">
                  <w:pPr>
                    <w:widowControl/>
                    <w:spacing w:line="320" w:lineRule="exact"/>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89.1</w:t>
                  </w:r>
                </w:p>
              </w:tc>
              <w:tc>
                <w:tcPr>
                  <w:tcW w:w="420" w:type="dxa"/>
                  <w:vMerge w:val="restart"/>
                  <w:tcBorders>
                    <w:top w:val="single" w:color="000000" w:sz="4" w:space="0"/>
                    <w:left w:val="single" w:color="000000" w:sz="4" w:space="0"/>
                    <w:right w:val="single" w:color="000000" w:sz="4" w:space="0"/>
                  </w:tcBorders>
                  <w:shd w:val="clear" w:color="auto" w:fill="auto"/>
                  <w:noWrap/>
                  <w:vAlign w:val="center"/>
                </w:tcPr>
                <w:p w14:paraId="3192FC40">
                  <w:pPr>
                    <w:widowControl/>
                    <w:spacing w:line="320" w:lineRule="exact"/>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89.15</w:t>
                  </w:r>
                </w:p>
              </w:tc>
              <w:tc>
                <w:tcPr>
                  <w:tcW w:w="48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0D09E">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8h/d</w:t>
                  </w:r>
                </w:p>
              </w:tc>
              <w:tc>
                <w:tcPr>
                  <w:tcW w:w="855" w:type="dxa"/>
                  <w:vMerge w:val="restart"/>
                  <w:tcBorders>
                    <w:top w:val="single" w:color="000000" w:sz="4" w:space="0"/>
                    <w:left w:val="single" w:color="000000" w:sz="4" w:space="0"/>
                    <w:right w:val="single" w:color="000000" w:sz="4" w:space="0"/>
                  </w:tcBorders>
                  <w:shd w:val="clear" w:color="auto" w:fill="auto"/>
                  <w:noWrap/>
                  <w:vAlign w:val="center"/>
                </w:tcPr>
                <w:p w14:paraId="12680E9C">
                  <w:pPr>
                    <w:widowControl/>
                    <w:spacing w:line="320" w:lineRule="exact"/>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30</w:t>
                  </w:r>
                </w:p>
              </w:tc>
              <w:tc>
                <w:tcPr>
                  <w:tcW w:w="523" w:type="dxa"/>
                  <w:vMerge w:val="restart"/>
                  <w:tcBorders>
                    <w:top w:val="single" w:color="000000" w:sz="4" w:space="0"/>
                    <w:left w:val="single" w:color="000000" w:sz="4" w:space="0"/>
                    <w:right w:val="single" w:color="000000" w:sz="4" w:space="0"/>
                  </w:tcBorders>
                  <w:shd w:val="clear" w:color="auto" w:fill="auto"/>
                  <w:noWrap/>
                  <w:vAlign w:val="center"/>
                </w:tcPr>
                <w:p w14:paraId="4FB7AE6C">
                  <w:pPr>
                    <w:widowControl/>
                    <w:spacing w:line="320" w:lineRule="exact"/>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58.25</w:t>
                  </w:r>
                </w:p>
              </w:tc>
              <w:tc>
                <w:tcPr>
                  <w:tcW w:w="414" w:type="dxa"/>
                  <w:vMerge w:val="restart"/>
                  <w:tcBorders>
                    <w:top w:val="single" w:color="000000" w:sz="4" w:space="0"/>
                    <w:left w:val="single" w:color="000000" w:sz="4" w:space="0"/>
                    <w:right w:val="single" w:color="000000" w:sz="4" w:space="0"/>
                  </w:tcBorders>
                  <w:shd w:val="clear" w:color="auto" w:fill="auto"/>
                  <w:noWrap/>
                  <w:vAlign w:val="center"/>
                </w:tcPr>
                <w:p w14:paraId="36B69277">
                  <w:pPr>
                    <w:widowControl/>
                    <w:spacing w:line="320" w:lineRule="exact"/>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57.33</w:t>
                  </w:r>
                </w:p>
              </w:tc>
              <w:tc>
                <w:tcPr>
                  <w:tcW w:w="402" w:type="dxa"/>
                  <w:vMerge w:val="restart"/>
                  <w:tcBorders>
                    <w:top w:val="single" w:color="000000" w:sz="4" w:space="0"/>
                    <w:left w:val="single" w:color="000000" w:sz="4" w:space="0"/>
                    <w:right w:val="single" w:color="000000" w:sz="4" w:space="0"/>
                  </w:tcBorders>
                  <w:shd w:val="clear" w:color="auto" w:fill="auto"/>
                  <w:noWrap/>
                  <w:vAlign w:val="center"/>
                </w:tcPr>
                <w:p w14:paraId="68E2FE99">
                  <w:pPr>
                    <w:widowControl/>
                    <w:spacing w:line="320" w:lineRule="exact"/>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59.1</w:t>
                  </w:r>
                </w:p>
              </w:tc>
              <w:tc>
                <w:tcPr>
                  <w:tcW w:w="401" w:type="dxa"/>
                  <w:vMerge w:val="restart"/>
                  <w:tcBorders>
                    <w:top w:val="single" w:color="000000" w:sz="4" w:space="0"/>
                    <w:left w:val="single" w:color="000000" w:sz="4" w:space="0"/>
                    <w:right w:val="single" w:color="000000" w:sz="4" w:space="0"/>
                  </w:tcBorders>
                  <w:shd w:val="clear" w:color="auto" w:fill="auto"/>
                  <w:noWrap/>
                  <w:vAlign w:val="center"/>
                </w:tcPr>
                <w:p w14:paraId="14F18428">
                  <w:pPr>
                    <w:widowControl/>
                    <w:spacing w:line="320" w:lineRule="exact"/>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59.15</w:t>
                  </w:r>
                </w:p>
              </w:tc>
              <w:tc>
                <w:tcPr>
                  <w:tcW w:w="680" w:type="dxa"/>
                  <w:vMerge w:val="restart"/>
                  <w:tcBorders>
                    <w:top w:val="single" w:color="000000" w:sz="4" w:space="0"/>
                    <w:left w:val="single" w:color="000000" w:sz="4" w:space="0"/>
                    <w:right w:val="single" w:color="000000" w:sz="4" w:space="0"/>
                  </w:tcBorders>
                  <w:shd w:val="clear" w:color="auto" w:fill="auto"/>
                  <w:noWrap/>
                  <w:vAlign w:val="center"/>
                </w:tcPr>
                <w:p w14:paraId="778BE687">
                  <w:pPr>
                    <w:widowControl/>
                    <w:spacing w:line="320" w:lineRule="exact"/>
                    <w:jc w:val="center"/>
                    <w:textAlignment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w:t>
                  </w:r>
                </w:p>
              </w:tc>
            </w:tr>
            <w:tr w14:paraId="39D922CB">
              <w:tblPrEx>
                <w:tblCellMar>
                  <w:top w:w="0" w:type="dxa"/>
                  <w:left w:w="108" w:type="dxa"/>
                  <w:bottom w:w="0" w:type="dxa"/>
                  <w:right w:w="108" w:type="dxa"/>
                </w:tblCellMar>
              </w:tblPrEx>
              <w:trPr>
                <w:trHeight w:val="315" w:hRule="atLeast"/>
              </w:trPr>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A467E">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38668">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生产</w:t>
                  </w:r>
                  <w:r>
                    <w:rPr>
                      <w:rFonts w:ascii="Times New Roman" w:hAnsi="Times New Roman" w:cs="Times New Roman"/>
                      <w:color w:val="000000" w:themeColor="text1"/>
                      <w:sz w:val="21"/>
                      <w:szCs w:val="21"/>
                      <w14:textFill>
                        <w14:solidFill>
                          <w14:schemeClr w14:val="tx1"/>
                        </w14:solidFill>
                      </w14:textFill>
                    </w:rPr>
                    <w:t>车间</w:t>
                  </w:r>
                  <w:r>
                    <w:rPr>
                      <w:rFonts w:hint="eastAsia" w:ascii="Times New Roman" w:hAnsi="Times New Roman" w:cs="Times New Roman"/>
                      <w:color w:val="000000" w:themeColor="text1"/>
                      <w:sz w:val="21"/>
                      <w:szCs w:val="21"/>
                      <w:lang w:eastAsia="zh-CN"/>
                      <w14:textFill>
                        <w14:solidFill>
                          <w14:schemeClr w14:val="tx1"/>
                        </w14:solidFill>
                      </w14:textFill>
                    </w:rPr>
                    <w:t>拌料</w:t>
                  </w:r>
                  <w:r>
                    <w:rPr>
                      <w:rFonts w:ascii="Times New Roman" w:hAnsi="Times New Roman" w:cs="Times New Roman"/>
                      <w:color w:val="000000" w:themeColor="text1"/>
                      <w:sz w:val="21"/>
                      <w:szCs w:val="21"/>
                      <w14:textFill>
                        <w14:solidFill>
                          <w14:schemeClr w14:val="tx1"/>
                        </w14:solidFill>
                      </w14:textFill>
                    </w:rPr>
                    <w:t>机（</w:t>
                  </w:r>
                  <w:r>
                    <w:rPr>
                      <w:rFonts w:hint="eastAsia" w:ascii="Times New Roman" w:hAnsi="Times New Roman" w:cs="Times New Roman"/>
                      <w:color w:val="000000" w:themeColor="text1"/>
                      <w:sz w:val="21"/>
                      <w:szCs w:val="21"/>
                      <w:lang w:val="en-US" w:eastAsia="zh-CN"/>
                      <w14:textFill>
                        <w14:solidFill>
                          <w14:schemeClr w14:val="tx1"/>
                        </w14:solidFill>
                      </w14:textFill>
                    </w:rPr>
                    <w:t>20</w:t>
                  </w:r>
                  <w:r>
                    <w:rPr>
                      <w:rFonts w:ascii="Times New Roman" w:hAnsi="Times New Roman" w:cs="Times New Roman"/>
                      <w:color w:val="000000" w:themeColor="text1"/>
                      <w:sz w:val="21"/>
                      <w:szCs w:val="21"/>
                      <w14:textFill>
                        <w14:solidFill>
                          <w14:schemeClr w14:val="tx1"/>
                        </w14:solidFill>
                      </w14:textFill>
                    </w:rPr>
                    <w:t>台</w:t>
                  </w:r>
                  <w:r>
                    <w:rPr>
                      <w:rFonts w:hint="eastAsia" w:ascii="Times New Roman" w:hAnsi="Times New Roman" w:cs="Times New Roman"/>
                      <w:color w:val="000000" w:themeColor="text1"/>
                      <w:sz w:val="21"/>
                      <w:szCs w:val="21"/>
                      <w:lang w:eastAsia="zh-CN"/>
                      <w14:textFill>
                        <w14:solidFill>
                          <w14:schemeClr w14:val="tx1"/>
                        </w14:solidFill>
                      </w14:textFill>
                    </w:rPr>
                    <w:t>，按点声源组预测</w:t>
                  </w:r>
                  <w:r>
                    <w:rPr>
                      <w:rFonts w:ascii="Times New Roman" w:hAnsi="Times New Roman" w:cs="Times New Roman"/>
                      <w:color w:val="000000" w:themeColor="text1"/>
                      <w:sz w:val="21"/>
                      <w:szCs w:val="21"/>
                      <w14:textFill>
                        <w14:solidFill>
                          <w14:schemeClr w14:val="tx1"/>
                        </w14:solidFill>
                      </w14:textFill>
                    </w:rPr>
                    <w:t>）</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FA3AE">
                  <w:pPr>
                    <w:widowControl/>
                    <w:spacing w:line="320" w:lineRule="exact"/>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75等效后88.0</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F32D9">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基础减振，厂房隔声，距离衰减</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57097">
                  <w:pPr>
                    <w:widowControl/>
                    <w:spacing w:line="320" w:lineRule="exact"/>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29.28</w:t>
                  </w:r>
                </w:p>
              </w:tc>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B607A">
                  <w:pPr>
                    <w:widowControl/>
                    <w:spacing w:line="320" w:lineRule="exact"/>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16.48</w:t>
                  </w:r>
                </w:p>
              </w:tc>
              <w:tc>
                <w:tcPr>
                  <w:tcW w:w="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26F6B">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6EF7E">
                  <w:pPr>
                    <w:widowControl/>
                    <w:spacing w:line="320" w:lineRule="exact"/>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16.37</w:t>
                  </w:r>
                </w:p>
              </w:tc>
              <w:tc>
                <w:tcPr>
                  <w:tcW w:w="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65EED">
                  <w:pPr>
                    <w:widowControl/>
                    <w:spacing w:line="320" w:lineRule="exact"/>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13.53</w:t>
                  </w:r>
                </w:p>
              </w:tc>
              <w:tc>
                <w:tcPr>
                  <w:tcW w:w="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48745">
                  <w:pPr>
                    <w:widowControl/>
                    <w:spacing w:line="320" w:lineRule="exact"/>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28.86</w:t>
                  </w:r>
                </w:p>
              </w:tc>
              <w:tc>
                <w:tcPr>
                  <w:tcW w:w="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22DA0">
                  <w:pPr>
                    <w:widowControl/>
                    <w:spacing w:line="320" w:lineRule="exact"/>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59.37</w:t>
                  </w:r>
                </w:p>
              </w:tc>
              <w:tc>
                <w:tcPr>
                  <w:tcW w:w="488" w:type="dxa"/>
                  <w:vMerge w:val="continue"/>
                  <w:tcBorders>
                    <w:left w:val="single" w:color="000000" w:sz="4" w:space="0"/>
                    <w:right w:val="single" w:color="000000" w:sz="4" w:space="0"/>
                  </w:tcBorders>
                  <w:shd w:val="clear" w:color="auto" w:fill="auto"/>
                  <w:noWrap/>
                  <w:vAlign w:val="center"/>
                </w:tcPr>
                <w:p w14:paraId="2D2D642C">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p>
              </w:tc>
              <w:tc>
                <w:tcPr>
                  <w:tcW w:w="488" w:type="dxa"/>
                  <w:vMerge w:val="continue"/>
                  <w:tcBorders>
                    <w:left w:val="single" w:color="000000" w:sz="4" w:space="0"/>
                    <w:right w:val="single" w:color="000000" w:sz="4" w:space="0"/>
                  </w:tcBorders>
                  <w:shd w:val="clear" w:color="auto" w:fill="auto"/>
                  <w:noWrap/>
                  <w:vAlign w:val="center"/>
                </w:tcPr>
                <w:p w14:paraId="3E37F301">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p>
              </w:tc>
              <w:tc>
                <w:tcPr>
                  <w:tcW w:w="409" w:type="dxa"/>
                  <w:vMerge w:val="continue"/>
                  <w:tcBorders>
                    <w:left w:val="single" w:color="000000" w:sz="4" w:space="0"/>
                    <w:right w:val="single" w:color="000000" w:sz="4" w:space="0"/>
                  </w:tcBorders>
                  <w:shd w:val="clear" w:color="auto" w:fill="auto"/>
                  <w:noWrap/>
                  <w:vAlign w:val="center"/>
                </w:tcPr>
                <w:p w14:paraId="38EE589E">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p>
              </w:tc>
              <w:tc>
                <w:tcPr>
                  <w:tcW w:w="420" w:type="dxa"/>
                  <w:vMerge w:val="continue"/>
                  <w:tcBorders>
                    <w:left w:val="single" w:color="000000" w:sz="4" w:space="0"/>
                    <w:right w:val="single" w:color="000000" w:sz="4" w:space="0"/>
                  </w:tcBorders>
                  <w:shd w:val="clear" w:color="auto" w:fill="auto"/>
                  <w:noWrap/>
                  <w:vAlign w:val="center"/>
                </w:tcPr>
                <w:p w14:paraId="3EA22D17">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E19F0">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p>
              </w:tc>
              <w:tc>
                <w:tcPr>
                  <w:tcW w:w="855" w:type="dxa"/>
                  <w:vMerge w:val="continue"/>
                  <w:tcBorders>
                    <w:left w:val="single" w:color="000000" w:sz="4" w:space="0"/>
                    <w:right w:val="single" w:color="000000" w:sz="4" w:space="0"/>
                  </w:tcBorders>
                  <w:shd w:val="clear" w:color="auto" w:fill="auto"/>
                  <w:noWrap/>
                  <w:vAlign w:val="center"/>
                </w:tcPr>
                <w:p w14:paraId="2BB39E05">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p>
              </w:tc>
              <w:tc>
                <w:tcPr>
                  <w:tcW w:w="523" w:type="dxa"/>
                  <w:vMerge w:val="continue"/>
                  <w:tcBorders>
                    <w:left w:val="single" w:color="000000" w:sz="4" w:space="0"/>
                    <w:right w:val="single" w:color="000000" w:sz="4" w:space="0"/>
                  </w:tcBorders>
                  <w:shd w:val="clear" w:color="auto" w:fill="auto"/>
                  <w:noWrap/>
                  <w:vAlign w:val="center"/>
                </w:tcPr>
                <w:p w14:paraId="38C130F5">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p>
              </w:tc>
              <w:tc>
                <w:tcPr>
                  <w:tcW w:w="414" w:type="dxa"/>
                  <w:vMerge w:val="continue"/>
                  <w:tcBorders>
                    <w:left w:val="single" w:color="000000" w:sz="4" w:space="0"/>
                    <w:right w:val="single" w:color="000000" w:sz="4" w:space="0"/>
                  </w:tcBorders>
                  <w:shd w:val="clear" w:color="auto" w:fill="auto"/>
                  <w:noWrap/>
                  <w:vAlign w:val="center"/>
                </w:tcPr>
                <w:p w14:paraId="4575D46A">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p>
              </w:tc>
              <w:tc>
                <w:tcPr>
                  <w:tcW w:w="402" w:type="dxa"/>
                  <w:vMerge w:val="continue"/>
                  <w:tcBorders>
                    <w:left w:val="single" w:color="000000" w:sz="4" w:space="0"/>
                    <w:right w:val="single" w:color="000000" w:sz="4" w:space="0"/>
                  </w:tcBorders>
                  <w:shd w:val="clear" w:color="auto" w:fill="auto"/>
                  <w:noWrap/>
                  <w:vAlign w:val="center"/>
                </w:tcPr>
                <w:p w14:paraId="3FCEB155">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p>
              </w:tc>
              <w:tc>
                <w:tcPr>
                  <w:tcW w:w="401" w:type="dxa"/>
                  <w:vMerge w:val="continue"/>
                  <w:tcBorders>
                    <w:left w:val="single" w:color="000000" w:sz="4" w:space="0"/>
                    <w:right w:val="single" w:color="000000" w:sz="4" w:space="0"/>
                  </w:tcBorders>
                  <w:shd w:val="clear" w:color="auto" w:fill="auto"/>
                  <w:noWrap/>
                  <w:vAlign w:val="center"/>
                </w:tcPr>
                <w:p w14:paraId="36D8FE26">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p>
              </w:tc>
              <w:tc>
                <w:tcPr>
                  <w:tcW w:w="680" w:type="dxa"/>
                  <w:vMerge w:val="continue"/>
                  <w:tcBorders>
                    <w:left w:val="single" w:color="000000" w:sz="4" w:space="0"/>
                    <w:right w:val="single" w:color="000000" w:sz="4" w:space="0"/>
                  </w:tcBorders>
                  <w:shd w:val="clear" w:color="auto" w:fill="auto"/>
                  <w:noWrap/>
                  <w:vAlign w:val="center"/>
                </w:tcPr>
                <w:p w14:paraId="544ACB9D">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p>
              </w:tc>
            </w:tr>
            <w:tr w14:paraId="2B19BB56">
              <w:tblPrEx>
                <w:tblCellMar>
                  <w:top w:w="0" w:type="dxa"/>
                  <w:left w:w="108" w:type="dxa"/>
                  <w:bottom w:w="0" w:type="dxa"/>
                  <w:right w:w="108" w:type="dxa"/>
                </w:tblCellMar>
              </w:tblPrEx>
              <w:trPr>
                <w:trHeight w:val="315" w:hRule="atLeast"/>
              </w:trPr>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C919D">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DDD9A">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生产</w:t>
                  </w:r>
                  <w:r>
                    <w:rPr>
                      <w:rFonts w:ascii="Times New Roman" w:hAnsi="Times New Roman" w:cs="Times New Roman"/>
                      <w:color w:val="000000" w:themeColor="text1"/>
                      <w:sz w:val="21"/>
                      <w:szCs w:val="21"/>
                      <w14:textFill>
                        <w14:solidFill>
                          <w14:schemeClr w14:val="tx1"/>
                        </w14:solidFill>
                      </w14:textFill>
                    </w:rPr>
                    <w:t>车间</w:t>
                  </w:r>
                  <w:r>
                    <w:rPr>
                      <w:rFonts w:hint="eastAsia" w:ascii="Times New Roman" w:hAnsi="Times New Roman" w:cs="Times New Roman"/>
                      <w:color w:val="000000" w:themeColor="text1"/>
                      <w:sz w:val="21"/>
                      <w:szCs w:val="21"/>
                      <w:lang w:eastAsia="zh-CN"/>
                      <w14:textFill>
                        <w14:solidFill>
                          <w14:schemeClr w14:val="tx1"/>
                        </w14:solidFill>
                      </w14:textFill>
                    </w:rPr>
                    <w:t>粉碎机</w:t>
                  </w:r>
                  <w:r>
                    <w:rPr>
                      <w:rFonts w:ascii="Times New Roman" w:hAnsi="Times New Roman" w:cs="Times New Roman"/>
                      <w:color w:val="000000" w:themeColor="text1"/>
                      <w:sz w:val="21"/>
                      <w:szCs w:val="21"/>
                      <w14:textFill>
                        <w14:solidFill>
                          <w14:schemeClr w14:val="tx1"/>
                        </w14:solidFill>
                      </w14:textFill>
                    </w:rPr>
                    <w:t>（</w:t>
                  </w:r>
                  <w:r>
                    <w:rPr>
                      <w:rFonts w:hint="eastAsia" w:ascii="Times New Roman" w:hAnsi="Times New Roman" w:cs="Times New Roman"/>
                      <w:color w:val="000000" w:themeColor="text1"/>
                      <w:sz w:val="21"/>
                      <w:szCs w:val="21"/>
                      <w:lang w:val="en-US" w:eastAsia="zh-CN"/>
                      <w14:textFill>
                        <w14:solidFill>
                          <w14:schemeClr w14:val="tx1"/>
                        </w14:solidFill>
                      </w14:textFill>
                    </w:rPr>
                    <w:t>10</w:t>
                  </w:r>
                  <w:r>
                    <w:rPr>
                      <w:rFonts w:ascii="Times New Roman" w:hAnsi="Times New Roman" w:cs="Times New Roman"/>
                      <w:color w:val="000000" w:themeColor="text1"/>
                      <w:sz w:val="21"/>
                      <w:szCs w:val="21"/>
                      <w14:textFill>
                        <w14:solidFill>
                          <w14:schemeClr w14:val="tx1"/>
                        </w14:solidFill>
                      </w14:textFill>
                    </w:rPr>
                    <w:t>台</w:t>
                  </w:r>
                  <w:r>
                    <w:rPr>
                      <w:rFonts w:hint="eastAsia" w:ascii="Times New Roman" w:hAnsi="Times New Roman" w:cs="Times New Roman"/>
                      <w:color w:val="000000" w:themeColor="text1"/>
                      <w:sz w:val="21"/>
                      <w:szCs w:val="21"/>
                      <w:lang w:eastAsia="zh-CN"/>
                      <w14:textFill>
                        <w14:solidFill>
                          <w14:schemeClr w14:val="tx1"/>
                        </w14:solidFill>
                      </w14:textFill>
                    </w:rPr>
                    <w:t>，按点声源组预测</w:t>
                  </w:r>
                  <w:r>
                    <w:rPr>
                      <w:rFonts w:ascii="Times New Roman" w:hAnsi="Times New Roman" w:cs="Times New Roman"/>
                      <w:color w:val="000000" w:themeColor="text1"/>
                      <w:sz w:val="21"/>
                      <w:szCs w:val="21"/>
                      <w14:textFill>
                        <w14:solidFill>
                          <w14:schemeClr w14:val="tx1"/>
                        </w14:solidFill>
                      </w14:textFill>
                    </w:rPr>
                    <w:t>）</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14BDF">
                  <w:pPr>
                    <w:widowControl/>
                    <w:spacing w:line="320" w:lineRule="exact"/>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80等效后90.0</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A24E2">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基础减振，厂房隔声，距离衰减</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F9C6A">
                  <w:pPr>
                    <w:widowControl/>
                    <w:spacing w:line="320" w:lineRule="exact"/>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27.3</w:t>
                  </w:r>
                </w:p>
              </w:tc>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9BD1E">
                  <w:pPr>
                    <w:widowControl/>
                    <w:spacing w:line="320" w:lineRule="exact"/>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28.37</w:t>
                  </w:r>
                </w:p>
              </w:tc>
              <w:tc>
                <w:tcPr>
                  <w:tcW w:w="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78970">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33ECB">
                  <w:pPr>
                    <w:widowControl/>
                    <w:spacing w:line="320" w:lineRule="exact"/>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16.76</w:t>
                  </w:r>
                </w:p>
              </w:tc>
              <w:tc>
                <w:tcPr>
                  <w:tcW w:w="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D5D16">
                  <w:pPr>
                    <w:widowControl/>
                    <w:spacing w:line="320" w:lineRule="exact"/>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25.74</w:t>
                  </w:r>
                </w:p>
              </w:tc>
              <w:tc>
                <w:tcPr>
                  <w:tcW w:w="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37502A">
                  <w:pPr>
                    <w:widowControl/>
                    <w:spacing w:line="320" w:lineRule="exact"/>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27.75</w:t>
                  </w:r>
                </w:p>
              </w:tc>
              <w:tc>
                <w:tcPr>
                  <w:tcW w:w="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ED4E0">
                  <w:pPr>
                    <w:widowControl/>
                    <w:spacing w:line="320" w:lineRule="exact"/>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46.67</w:t>
                  </w:r>
                </w:p>
              </w:tc>
              <w:tc>
                <w:tcPr>
                  <w:tcW w:w="488" w:type="dxa"/>
                  <w:vMerge w:val="continue"/>
                  <w:tcBorders>
                    <w:left w:val="single" w:color="000000" w:sz="4" w:space="0"/>
                    <w:right w:val="single" w:color="000000" w:sz="4" w:space="0"/>
                  </w:tcBorders>
                  <w:shd w:val="clear" w:color="auto" w:fill="auto"/>
                  <w:noWrap/>
                  <w:vAlign w:val="center"/>
                </w:tcPr>
                <w:p w14:paraId="5DB56997">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p>
              </w:tc>
              <w:tc>
                <w:tcPr>
                  <w:tcW w:w="488" w:type="dxa"/>
                  <w:vMerge w:val="continue"/>
                  <w:tcBorders>
                    <w:left w:val="single" w:color="000000" w:sz="4" w:space="0"/>
                    <w:right w:val="single" w:color="000000" w:sz="4" w:space="0"/>
                  </w:tcBorders>
                  <w:shd w:val="clear" w:color="auto" w:fill="auto"/>
                  <w:noWrap/>
                  <w:vAlign w:val="center"/>
                </w:tcPr>
                <w:p w14:paraId="362B9FF0">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p>
              </w:tc>
              <w:tc>
                <w:tcPr>
                  <w:tcW w:w="409" w:type="dxa"/>
                  <w:vMerge w:val="continue"/>
                  <w:tcBorders>
                    <w:left w:val="single" w:color="000000" w:sz="4" w:space="0"/>
                    <w:right w:val="single" w:color="000000" w:sz="4" w:space="0"/>
                  </w:tcBorders>
                  <w:shd w:val="clear" w:color="auto" w:fill="auto"/>
                  <w:noWrap/>
                  <w:vAlign w:val="center"/>
                </w:tcPr>
                <w:p w14:paraId="534778C3">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p>
              </w:tc>
              <w:tc>
                <w:tcPr>
                  <w:tcW w:w="420" w:type="dxa"/>
                  <w:vMerge w:val="continue"/>
                  <w:tcBorders>
                    <w:left w:val="single" w:color="000000" w:sz="4" w:space="0"/>
                    <w:right w:val="single" w:color="000000" w:sz="4" w:space="0"/>
                  </w:tcBorders>
                  <w:shd w:val="clear" w:color="auto" w:fill="auto"/>
                  <w:noWrap/>
                  <w:vAlign w:val="center"/>
                </w:tcPr>
                <w:p w14:paraId="3177F00A">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D1C03">
                  <w:pPr>
                    <w:widowControl/>
                    <w:spacing w:line="320" w:lineRule="exact"/>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4h/d</w:t>
                  </w:r>
                </w:p>
              </w:tc>
              <w:tc>
                <w:tcPr>
                  <w:tcW w:w="855" w:type="dxa"/>
                  <w:vMerge w:val="continue"/>
                  <w:tcBorders>
                    <w:left w:val="single" w:color="000000" w:sz="4" w:space="0"/>
                    <w:right w:val="single" w:color="000000" w:sz="4" w:space="0"/>
                  </w:tcBorders>
                  <w:shd w:val="clear" w:color="auto" w:fill="auto"/>
                  <w:noWrap/>
                  <w:vAlign w:val="center"/>
                </w:tcPr>
                <w:p w14:paraId="27AE68EC">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p>
              </w:tc>
              <w:tc>
                <w:tcPr>
                  <w:tcW w:w="523" w:type="dxa"/>
                  <w:vMerge w:val="continue"/>
                  <w:tcBorders>
                    <w:left w:val="single" w:color="000000" w:sz="4" w:space="0"/>
                    <w:right w:val="single" w:color="000000" w:sz="4" w:space="0"/>
                  </w:tcBorders>
                  <w:shd w:val="clear" w:color="auto" w:fill="auto"/>
                  <w:noWrap/>
                  <w:vAlign w:val="center"/>
                </w:tcPr>
                <w:p w14:paraId="12A5756B">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p>
              </w:tc>
              <w:tc>
                <w:tcPr>
                  <w:tcW w:w="414" w:type="dxa"/>
                  <w:vMerge w:val="continue"/>
                  <w:tcBorders>
                    <w:left w:val="single" w:color="000000" w:sz="4" w:space="0"/>
                    <w:right w:val="single" w:color="000000" w:sz="4" w:space="0"/>
                  </w:tcBorders>
                  <w:shd w:val="clear" w:color="auto" w:fill="auto"/>
                  <w:noWrap/>
                  <w:vAlign w:val="center"/>
                </w:tcPr>
                <w:p w14:paraId="50C1029B">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p>
              </w:tc>
              <w:tc>
                <w:tcPr>
                  <w:tcW w:w="402" w:type="dxa"/>
                  <w:vMerge w:val="continue"/>
                  <w:tcBorders>
                    <w:left w:val="single" w:color="000000" w:sz="4" w:space="0"/>
                    <w:right w:val="single" w:color="000000" w:sz="4" w:space="0"/>
                  </w:tcBorders>
                  <w:shd w:val="clear" w:color="auto" w:fill="auto"/>
                  <w:noWrap/>
                  <w:vAlign w:val="center"/>
                </w:tcPr>
                <w:p w14:paraId="286171EC">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p>
              </w:tc>
              <w:tc>
                <w:tcPr>
                  <w:tcW w:w="401" w:type="dxa"/>
                  <w:vMerge w:val="continue"/>
                  <w:tcBorders>
                    <w:left w:val="single" w:color="000000" w:sz="4" w:space="0"/>
                    <w:right w:val="single" w:color="000000" w:sz="4" w:space="0"/>
                  </w:tcBorders>
                  <w:shd w:val="clear" w:color="auto" w:fill="auto"/>
                  <w:noWrap/>
                  <w:vAlign w:val="center"/>
                </w:tcPr>
                <w:p w14:paraId="7C52679C">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p>
              </w:tc>
              <w:tc>
                <w:tcPr>
                  <w:tcW w:w="680" w:type="dxa"/>
                  <w:vMerge w:val="continue"/>
                  <w:tcBorders>
                    <w:left w:val="single" w:color="000000" w:sz="4" w:space="0"/>
                    <w:right w:val="single" w:color="000000" w:sz="4" w:space="0"/>
                  </w:tcBorders>
                  <w:shd w:val="clear" w:color="auto" w:fill="auto"/>
                  <w:noWrap/>
                  <w:vAlign w:val="center"/>
                </w:tcPr>
                <w:p w14:paraId="6317DD1C">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p>
              </w:tc>
            </w:tr>
            <w:tr w14:paraId="16C52C77">
              <w:tblPrEx>
                <w:tblCellMar>
                  <w:top w:w="0" w:type="dxa"/>
                  <w:left w:w="108" w:type="dxa"/>
                  <w:bottom w:w="0" w:type="dxa"/>
                  <w:right w:w="108" w:type="dxa"/>
                </w:tblCellMar>
              </w:tblPrEx>
              <w:trPr>
                <w:trHeight w:val="315" w:hRule="atLeast"/>
              </w:trPr>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7C634">
                  <w:pPr>
                    <w:widowControl/>
                    <w:spacing w:line="320" w:lineRule="exact"/>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4</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63018">
                  <w:pPr>
                    <w:widowControl/>
                    <w:spacing w:line="320" w:lineRule="exact"/>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生产</w:t>
                  </w:r>
                  <w:r>
                    <w:rPr>
                      <w:rFonts w:ascii="Times New Roman" w:hAnsi="Times New Roman" w:cs="Times New Roman"/>
                      <w:color w:val="000000" w:themeColor="text1"/>
                      <w:sz w:val="21"/>
                      <w:szCs w:val="21"/>
                      <w14:textFill>
                        <w14:solidFill>
                          <w14:schemeClr w14:val="tx1"/>
                        </w14:solidFill>
                      </w14:textFill>
                    </w:rPr>
                    <w:t>车间</w:t>
                  </w:r>
                  <w:r>
                    <w:rPr>
                      <w:rFonts w:hint="eastAsia" w:ascii="Times New Roman" w:hAnsi="Times New Roman" w:cs="Times New Roman"/>
                      <w:color w:val="000000" w:themeColor="text1"/>
                      <w:sz w:val="21"/>
                      <w:szCs w:val="21"/>
                      <w:lang w:eastAsia="zh-CN"/>
                      <w14:textFill>
                        <w14:solidFill>
                          <w14:schemeClr w14:val="tx1"/>
                        </w14:solidFill>
                      </w14:textFill>
                    </w:rPr>
                    <w:t>扎包机（</w:t>
                  </w:r>
                  <w:r>
                    <w:rPr>
                      <w:rFonts w:hint="eastAsia" w:ascii="Times New Roman" w:hAnsi="Times New Roman" w:cs="Times New Roman"/>
                      <w:color w:val="000000" w:themeColor="text1"/>
                      <w:sz w:val="21"/>
                      <w:szCs w:val="21"/>
                      <w:lang w:val="en-US" w:eastAsia="zh-CN"/>
                      <w14:textFill>
                        <w14:solidFill>
                          <w14:schemeClr w14:val="tx1"/>
                        </w14:solidFill>
                      </w14:textFill>
                    </w:rPr>
                    <w:t>1</w:t>
                  </w:r>
                  <w:r>
                    <w:rPr>
                      <w:rFonts w:ascii="Times New Roman" w:hAnsi="Times New Roman" w:cs="Times New Roman"/>
                      <w:color w:val="000000" w:themeColor="text1"/>
                      <w:sz w:val="21"/>
                      <w:szCs w:val="21"/>
                      <w14:textFill>
                        <w14:solidFill>
                          <w14:schemeClr w14:val="tx1"/>
                        </w14:solidFill>
                      </w14:textFill>
                    </w:rPr>
                    <w:t>台</w:t>
                  </w:r>
                  <w:r>
                    <w:rPr>
                      <w:rFonts w:hint="eastAsia" w:ascii="Times New Roman" w:hAnsi="Times New Roman" w:cs="Times New Roman"/>
                      <w:color w:val="000000" w:themeColor="text1"/>
                      <w:sz w:val="21"/>
                      <w:szCs w:val="21"/>
                      <w:lang w:eastAsia="zh-CN"/>
                      <w14:textFill>
                        <w14:solidFill>
                          <w14:schemeClr w14:val="tx1"/>
                        </w14:solidFill>
                      </w14:textFill>
                    </w:rPr>
                    <w:t>，按点声源组预测）</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5BABD">
                  <w:pPr>
                    <w:widowControl/>
                    <w:spacing w:line="320" w:lineRule="exact"/>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75等效后84.7</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FDA20">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基础减振，厂房隔声，距离衰减</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1FDA6">
                  <w:pPr>
                    <w:widowControl/>
                    <w:spacing w:line="320" w:lineRule="exact"/>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26.8</w:t>
                  </w:r>
                </w:p>
              </w:tc>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DDF76">
                  <w:pPr>
                    <w:widowControl/>
                    <w:spacing w:line="320" w:lineRule="exact"/>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43.24</w:t>
                  </w:r>
                </w:p>
              </w:tc>
              <w:tc>
                <w:tcPr>
                  <w:tcW w:w="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5EE6F2">
                  <w:pPr>
                    <w:widowControl/>
                    <w:spacing w:line="320" w:lineRule="exact"/>
                    <w:jc w:val="center"/>
                    <w:textAlignment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C845D">
                  <w:pPr>
                    <w:widowControl/>
                    <w:spacing w:line="320" w:lineRule="exact"/>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14.79</w:t>
                  </w:r>
                </w:p>
              </w:tc>
              <w:tc>
                <w:tcPr>
                  <w:tcW w:w="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014E8">
                  <w:pPr>
                    <w:widowControl/>
                    <w:spacing w:line="320" w:lineRule="exact"/>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39.98</w:t>
                  </w:r>
                </w:p>
              </w:tc>
              <w:tc>
                <w:tcPr>
                  <w:tcW w:w="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8E451">
                  <w:pPr>
                    <w:widowControl/>
                    <w:spacing w:line="320" w:lineRule="exact"/>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29.58</w:t>
                  </w:r>
                </w:p>
              </w:tc>
              <w:tc>
                <w:tcPr>
                  <w:tcW w:w="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D76EE">
                  <w:pPr>
                    <w:widowControl/>
                    <w:spacing w:line="320" w:lineRule="exact"/>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33.65</w:t>
                  </w:r>
                </w:p>
              </w:tc>
              <w:tc>
                <w:tcPr>
                  <w:tcW w:w="488" w:type="dxa"/>
                  <w:vMerge w:val="continue"/>
                  <w:tcBorders>
                    <w:left w:val="single" w:color="000000" w:sz="4" w:space="0"/>
                    <w:right w:val="single" w:color="000000" w:sz="4" w:space="0"/>
                  </w:tcBorders>
                  <w:shd w:val="clear" w:color="auto" w:fill="auto"/>
                  <w:noWrap/>
                  <w:vAlign w:val="center"/>
                </w:tcPr>
                <w:p w14:paraId="68E98298">
                  <w:pPr>
                    <w:widowControl/>
                    <w:spacing w:line="320" w:lineRule="exact"/>
                    <w:jc w:val="center"/>
                    <w:textAlignment w:val="center"/>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488" w:type="dxa"/>
                  <w:vMerge w:val="continue"/>
                  <w:tcBorders>
                    <w:left w:val="single" w:color="000000" w:sz="4" w:space="0"/>
                    <w:right w:val="single" w:color="000000" w:sz="4" w:space="0"/>
                  </w:tcBorders>
                  <w:shd w:val="clear" w:color="auto" w:fill="auto"/>
                  <w:noWrap/>
                  <w:vAlign w:val="center"/>
                </w:tcPr>
                <w:p w14:paraId="351C6359">
                  <w:pPr>
                    <w:widowControl/>
                    <w:spacing w:line="320" w:lineRule="exact"/>
                    <w:jc w:val="center"/>
                    <w:textAlignment w:val="center"/>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409" w:type="dxa"/>
                  <w:vMerge w:val="continue"/>
                  <w:tcBorders>
                    <w:left w:val="single" w:color="000000" w:sz="4" w:space="0"/>
                    <w:right w:val="single" w:color="000000" w:sz="4" w:space="0"/>
                  </w:tcBorders>
                  <w:shd w:val="clear" w:color="auto" w:fill="auto"/>
                  <w:noWrap/>
                  <w:vAlign w:val="center"/>
                </w:tcPr>
                <w:p w14:paraId="7BE915EC">
                  <w:pPr>
                    <w:widowControl/>
                    <w:spacing w:line="320" w:lineRule="exact"/>
                    <w:jc w:val="center"/>
                    <w:textAlignment w:val="center"/>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420" w:type="dxa"/>
                  <w:vMerge w:val="continue"/>
                  <w:tcBorders>
                    <w:left w:val="single" w:color="000000" w:sz="4" w:space="0"/>
                    <w:right w:val="single" w:color="000000" w:sz="4" w:space="0"/>
                  </w:tcBorders>
                  <w:shd w:val="clear" w:color="auto" w:fill="auto"/>
                  <w:noWrap/>
                  <w:vAlign w:val="center"/>
                </w:tcPr>
                <w:p w14:paraId="66C65CD9">
                  <w:pPr>
                    <w:widowControl/>
                    <w:spacing w:line="320" w:lineRule="exact"/>
                    <w:jc w:val="center"/>
                    <w:textAlignment w:val="center"/>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480" w:type="dxa"/>
                  <w:vMerge w:val="restart"/>
                  <w:tcBorders>
                    <w:left w:val="single" w:color="000000" w:sz="4" w:space="0"/>
                    <w:right w:val="single" w:color="000000" w:sz="4" w:space="0"/>
                  </w:tcBorders>
                  <w:shd w:val="clear" w:color="auto" w:fill="auto"/>
                  <w:noWrap/>
                  <w:vAlign w:val="center"/>
                </w:tcPr>
                <w:p w14:paraId="51EE73ED">
                  <w:pPr>
                    <w:widowControl/>
                    <w:spacing w:line="320" w:lineRule="exact"/>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8h/d</w:t>
                  </w:r>
                </w:p>
              </w:tc>
              <w:tc>
                <w:tcPr>
                  <w:tcW w:w="855" w:type="dxa"/>
                  <w:vMerge w:val="continue"/>
                  <w:tcBorders>
                    <w:left w:val="single" w:color="000000" w:sz="4" w:space="0"/>
                    <w:right w:val="single" w:color="000000" w:sz="4" w:space="0"/>
                  </w:tcBorders>
                  <w:shd w:val="clear" w:color="auto" w:fill="auto"/>
                  <w:noWrap/>
                  <w:vAlign w:val="center"/>
                </w:tcPr>
                <w:p w14:paraId="052514FE">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p>
              </w:tc>
              <w:tc>
                <w:tcPr>
                  <w:tcW w:w="523" w:type="dxa"/>
                  <w:vMerge w:val="continue"/>
                  <w:tcBorders>
                    <w:left w:val="single" w:color="000000" w:sz="4" w:space="0"/>
                    <w:right w:val="single" w:color="000000" w:sz="4" w:space="0"/>
                  </w:tcBorders>
                  <w:shd w:val="clear" w:color="auto" w:fill="auto"/>
                  <w:noWrap/>
                  <w:vAlign w:val="center"/>
                </w:tcPr>
                <w:p w14:paraId="598AD8E1">
                  <w:pPr>
                    <w:widowControl/>
                    <w:spacing w:line="320" w:lineRule="exact"/>
                    <w:jc w:val="center"/>
                    <w:textAlignment w:val="center"/>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414" w:type="dxa"/>
                  <w:vMerge w:val="continue"/>
                  <w:tcBorders>
                    <w:left w:val="single" w:color="000000" w:sz="4" w:space="0"/>
                    <w:right w:val="single" w:color="000000" w:sz="4" w:space="0"/>
                  </w:tcBorders>
                  <w:shd w:val="clear" w:color="auto" w:fill="auto"/>
                  <w:noWrap/>
                  <w:vAlign w:val="center"/>
                </w:tcPr>
                <w:p w14:paraId="1A6FB3A4">
                  <w:pPr>
                    <w:widowControl/>
                    <w:spacing w:line="320" w:lineRule="exact"/>
                    <w:jc w:val="center"/>
                    <w:textAlignment w:val="center"/>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402" w:type="dxa"/>
                  <w:vMerge w:val="continue"/>
                  <w:tcBorders>
                    <w:left w:val="single" w:color="000000" w:sz="4" w:space="0"/>
                    <w:right w:val="single" w:color="000000" w:sz="4" w:space="0"/>
                  </w:tcBorders>
                  <w:shd w:val="clear" w:color="auto" w:fill="auto"/>
                  <w:noWrap/>
                  <w:vAlign w:val="center"/>
                </w:tcPr>
                <w:p w14:paraId="2977787C">
                  <w:pPr>
                    <w:widowControl/>
                    <w:spacing w:line="320" w:lineRule="exact"/>
                    <w:jc w:val="center"/>
                    <w:textAlignment w:val="center"/>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401" w:type="dxa"/>
                  <w:vMerge w:val="continue"/>
                  <w:tcBorders>
                    <w:left w:val="single" w:color="000000" w:sz="4" w:space="0"/>
                    <w:right w:val="single" w:color="000000" w:sz="4" w:space="0"/>
                  </w:tcBorders>
                  <w:shd w:val="clear" w:color="auto" w:fill="auto"/>
                  <w:noWrap/>
                  <w:vAlign w:val="center"/>
                </w:tcPr>
                <w:p w14:paraId="06CD9EA1">
                  <w:pPr>
                    <w:widowControl/>
                    <w:spacing w:line="320" w:lineRule="exact"/>
                    <w:jc w:val="center"/>
                    <w:textAlignment w:val="center"/>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680" w:type="dxa"/>
                  <w:vMerge w:val="continue"/>
                  <w:tcBorders>
                    <w:left w:val="single" w:color="000000" w:sz="4" w:space="0"/>
                    <w:right w:val="single" w:color="000000" w:sz="4" w:space="0"/>
                  </w:tcBorders>
                  <w:shd w:val="clear" w:color="auto" w:fill="auto"/>
                  <w:noWrap/>
                  <w:vAlign w:val="center"/>
                </w:tcPr>
                <w:p w14:paraId="4AA56F13">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p>
              </w:tc>
            </w:tr>
            <w:tr w14:paraId="7AA47E40">
              <w:tblPrEx>
                <w:tblCellMar>
                  <w:top w:w="0" w:type="dxa"/>
                  <w:left w:w="108" w:type="dxa"/>
                  <w:bottom w:w="0" w:type="dxa"/>
                  <w:right w:w="108" w:type="dxa"/>
                </w:tblCellMar>
              </w:tblPrEx>
              <w:trPr>
                <w:trHeight w:val="315" w:hRule="atLeast"/>
              </w:trPr>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79AFE">
                  <w:pPr>
                    <w:widowControl/>
                    <w:spacing w:line="320" w:lineRule="exact"/>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61A60">
                  <w:pPr>
                    <w:widowControl/>
                    <w:spacing w:line="320" w:lineRule="exact"/>
                    <w:jc w:val="center"/>
                    <w:textAlignment w:val="center"/>
                    <w:rPr>
                      <w:rFonts w:hint="eastAsia" w:ascii="Times New Roman" w:hAnsi="Times New Roman"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生产</w:t>
                  </w:r>
                  <w:r>
                    <w:rPr>
                      <w:rFonts w:ascii="Times New Roman" w:hAnsi="Times New Roman" w:cs="Times New Roman"/>
                      <w:color w:val="000000" w:themeColor="text1"/>
                      <w:sz w:val="21"/>
                      <w:szCs w:val="21"/>
                      <w14:textFill>
                        <w14:solidFill>
                          <w14:schemeClr w14:val="tx1"/>
                        </w14:solidFill>
                      </w14:textFill>
                    </w:rPr>
                    <w:t>车间</w:t>
                  </w:r>
                  <w:r>
                    <w:rPr>
                      <w:rFonts w:hint="eastAsia" w:ascii="Times New Roman" w:hAnsi="Times New Roman" w:cs="Times New Roman"/>
                      <w:color w:val="000000" w:themeColor="text1"/>
                      <w:sz w:val="21"/>
                      <w:szCs w:val="21"/>
                      <w:lang w:eastAsia="zh-CN"/>
                      <w14:textFill>
                        <w14:solidFill>
                          <w14:schemeClr w14:val="tx1"/>
                        </w14:solidFill>
                      </w14:textFill>
                    </w:rPr>
                    <w:t>打包机（</w:t>
                  </w:r>
                  <w:r>
                    <w:rPr>
                      <w:rFonts w:hint="eastAsia" w:ascii="Times New Roman" w:hAnsi="Times New Roman" w:cs="Times New Roman"/>
                      <w:color w:val="000000" w:themeColor="text1"/>
                      <w:sz w:val="21"/>
                      <w:szCs w:val="21"/>
                      <w:lang w:val="en-US" w:eastAsia="zh-CN"/>
                      <w14:textFill>
                        <w14:solidFill>
                          <w14:schemeClr w14:val="tx1"/>
                        </w14:solidFill>
                      </w14:textFill>
                    </w:rPr>
                    <w:t>10</w:t>
                  </w:r>
                  <w:r>
                    <w:rPr>
                      <w:rFonts w:ascii="Times New Roman" w:hAnsi="Times New Roman" w:cs="Times New Roman"/>
                      <w:color w:val="000000" w:themeColor="text1"/>
                      <w:sz w:val="21"/>
                      <w:szCs w:val="21"/>
                      <w14:textFill>
                        <w14:solidFill>
                          <w14:schemeClr w14:val="tx1"/>
                        </w14:solidFill>
                      </w14:textFill>
                    </w:rPr>
                    <w:t>台</w:t>
                  </w:r>
                  <w:r>
                    <w:rPr>
                      <w:rFonts w:hint="eastAsia" w:ascii="Times New Roman" w:hAnsi="Times New Roman" w:cs="Times New Roman"/>
                      <w:color w:val="000000" w:themeColor="text1"/>
                      <w:sz w:val="21"/>
                      <w:szCs w:val="21"/>
                      <w:lang w:eastAsia="zh-CN"/>
                      <w14:textFill>
                        <w14:solidFill>
                          <w14:schemeClr w14:val="tx1"/>
                        </w14:solidFill>
                      </w14:textFill>
                    </w:rPr>
                    <w:t>，按点声源组预测）</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920C6">
                  <w:pPr>
                    <w:widowControl/>
                    <w:spacing w:line="320" w:lineRule="exact"/>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75等效后85</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8EDBB">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基础减振，厂房隔声，距离衰减</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633B8">
                  <w:pPr>
                    <w:widowControl/>
                    <w:spacing w:line="320" w:lineRule="exact"/>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11.94</w:t>
                  </w:r>
                </w:p>
              </w:tc>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9D459">
                  <w:pPr>
                    <w:widowControl/>
                    <w:spacing w:line="320" w:lineRule="exact"/>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45.71</w:t>
                  </w:r>
                </w:p>
              </w:tc>
              <w:tc>
                <w:tcPr>
                  <w:tcW w:w="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35A2D">
                  <w:pPr>
                    <w:widowControl/>
                    <w:spacing w:line="320" w:lineRule="exact"/>
                    <w:jc w:val="center"/>
                    <w:textAlignment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088A9">
                  <w:pPr>
                    <w:widowControl/>
                    <w:spacing w:line="320" w:lineRule="exact"/>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29.08</w:t>
                  </w:r>
                </w:p>
              </w:tc>
              <w:tc>
                <w:tcPr>
                  <w:tcW w:w="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EE8DD">
                  <w:pPr>
                    <w:widowControl/>
                    <w:spacing w:line="320" w:lineRule="exact"/>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44.69</w:t>
                  </w:r>
                </w:p>
              </w:tc>
              <w:tc>
                <w:tcPr>
                  <w:tcW w:w="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493D9">
                  <w:pPr>
                    <w:widowControl/>
                    <w:spacing w:line="320" w:lineRule="exact"/>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15.79</w:t>
                  </w:r>
                </w:p>
              </w:tc>
              <w:tc>
                <w:tcPr>
                  <w:tcW w:w="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AC6BE">
                  <w:pPr>
                    <w:widowControl/>
                    <w:spacing w:line="320" w:lineRule="exact"/>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29.44</w:t>
                  </w:r>
                </w:p>
              </w:tc>
              <w:tc>
                <w:tcPr>
                  <w:tcW w:w="488" w:type="dxa"/>
                  <w:vMerge w:val="continue"/>
                  <w:tcBorders>
                    <w:left w:val="single" w:color="000000" w:sz="4" w:space="0"/>
                    <w:right w:val="single" w:color="000000" w:sz="4" w:space="0"/>
                  </w:tcBorders>
                  <w:shd w:val="clear" w:color="auto" w:fill="auto"/>
                  <w:noWrap/>
                  <w:vAlign w:val="center"/>
                </w:tcPr>
                <w:p w14:paraId="0D4B5F7A">
                  <w:pPr>
                    <w:widowControl/>
                    <w:spacing w:line="320" w:lineRule="exact"/>
                    <w:jc w:val="center"/>
                    <w:textAlignment w:val="center"/>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488" w:type="dxa"/>
                  <w:vMerge w:val="continue"/>
                  <w:tcBorders>
                    <w:left w:val="single" w:color="000000" w:sz="4" w:space="0"/>
                    <w:right w:val="single" w:color="000000" w:sz="4" w:space="0"/>
                  </w:tcBorders>
                  <w:shd w:val="clear" w:color="auto" w:fill="auto"/>
                  <w:noWrap/>
                  <w:vAlign w:val="center"/>
                </w:tcPr>
                <w:p w14:paraId="33FD636B">
                  <w:pPr>
                    <w:widowControl/>
                    <w:spacing w:line="320" w:lineRule="exact"/>
                    <w:jc w:val="center"/>
                    <w:textAlignment w:val="center"/>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409" w:type="dxa"/>
                  <w:vMerge w:val="continue"/>
                  <w:tcBorders>
                    <w:left w:val="single" w:color="000000" w:sz="4" w:space="0"/>
                    <w:right w:val="single" w:color="000000" w:sz="4" w:space="0"/>
                  </w:tcBorders>
                  <w:shd w:val="clear" w:color="auto" w:fill="auto"/>
                  <w:noWrap/>
                  <w:vAlign w:val="center"/>
                </w:tcPr>
                <w:p w14:paraId="32FC363F">
                  <w:pPr>
                    <w:widowControl/>
                    <w:spacing w:line="320" w:lineRule="exact"/>
                    <w:jc w:val="center"/>
                    <w:textAlignment w:val="center"/>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420" w:type="dxa"/>
                  <w:vMerge w:val="continue"/>
                  <w:tcBorders>
                    <w:left w:val="single" w:color="000000" w:sz="4" w:space="0"/>
                    <w:right w:val="single" w:color="000000" w:sz="4" w:space="0"/>
                  </w:tcBorders>
                  <w:shd w:val="clear" w:color="auto" w:fill="auto"/>
                  <w:noWrap/>
                  <w:vAlign w:val="center"/>
                </w:tcPr>
                <w:p w14:paraId="0C28D14A">
                  <w:pPr>
                    <w:widowControl/>
                    <w:spacing w:line="320" w:lineRule="exact"/>
                    <w:jc w:val="center"/>
                    <w:textAlignment w:val="center"/>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480" w:type="dxa"/>
                  <w:vMerge w:val="continue"/>
                  <w:tcBorders>
                    <w:left w:val="single" w:color="000000" w:sz="4" w:space="0"/>
                    <w:bottom w:val="single" w:color="000000" w:sz="4" w:space="0"/>
                    <w:right w:val="single" w:color="000000" w:sz="4" w:space="0"/>
                  </w:tcBorders>
                  <w:shd w:val="clear" w:color="auto" w:fill="auto"/>
                  <w:noWrap/>
                  <w:vAlign w:val="center"/>
                </w:tcPr>
                <w:p w14:paraId="5EE10303">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p>
              </w:tc>
              <w:tc>
                <w:tcPr>
                  <w:tcW w:w="855" w:type="dxa"/>
                  <w:vMerge w:val="continue"/>
                  <w:tcBorders>
                    <w:left w:val="single" w:color="000000" w:sz="4" w:space="0"/>
                    <w:right w:val="single" w:color="000000" w:sz="4" w:space="0"/>
                  </w:tcBorders>
                  <w:shd w:val="clear" w:color="auto" w:fill="auto"/>
                  <w:noWrap/>
                  <w:vAlign w:val="center"/>
                </w:tcPr>
                <w:p w14:paraId="1560E2E0">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p>
              </w:tc>
              <w:tc>
                <w:tcPr>
                  <w:tcW w:w="523" w:type="dxa"/>
                  <w:vMerge w:val="continue"/>
                  <w:tcBorders>
                    <w:left w:val="single" w:color="000000" w:sz="4" w:space="0"/>
                    <w:right w:val="single" w:color="000000" w:sz="4" w:space="0"/>
                  </w:tcBorders>
                  <w:shd w:val="clear" w:color="auto" w:fill="auto"/>
                  <w:noWrap/>
                  <w:vAlign w:val="center"/>
                </w:tcPr>
                <w:p w14:paraId="272A1EDC">
                  <w:pPr>
                    <w:widowControl/>
                    <w:spacing w:line="320" w:lineRule="exact"/>
                    <w:jc w:val="center"/>
                    <w:textAlignment w:val="center"/>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414" w:type="dxa"/>
                  <w:vMerge w:val="continue"/>
                  <w:tcBorders>
                    <w:left w:val="single" w:color="000000" w:sz="4" w:space="0"/>
                    <w:right w:val="single" w:color="000000" w:sz="4" w:space="0"/>
                  </w:tcBorders>
                  <w:shd w:val="clear" w:color="auto" w:fill="auto"/>
                  <w:noWrap/>
                  <w:vAlign w:val="center"/>
                </w:tcPr>
                <w:p w14:paraId="255B0B58">
                  <w:pPr>
                    <w:widowControl/>
                    <w:spacing w:line="320" w:lineRule="exact"/>
                    <w:jc w:val="center"/>
                    <w:textAlignment w:val="center"/>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402" w:type="dxa"/>
                  <w:vMerge w:val="continue"/>
                  <w:tcBorders>
                    <w:left w:val="single" w:color="000000" w:sz="4" w:space="0"/>
                    <w:right w:val="single" w:color="000000" w:sz="4" w:space="0"/>
                  </w:tcBorders>
                  <w:shd w:val="clear" w:color="auto" w:fill="auto"/>
                  <w:noWrap/>
                  <w:vAlign w:val="center"/>
                </w:tcPr>
                <w:p w14:paraId="2B7DE807">
                  <w:pPr>
                    <w:widowControl/>
                    <w:spacing w:line="320" w:lineRule="exact"/>
                    <w:jc w:val="center"/>
                    <w:textAlignment w:val="center"/>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401" w:type="dxa"/>
                  <w:vMerge w:val="continue"/>
                  <w:tcBorders>
                    <w:left w:val="single" w:color="000000" w:sz="4" w:space="0"/>
                    <w:right w:val="single" w:color="000000" w:sz="4" w:space="0"/>
                  </w:tcBorders>
                  <w:shd w:val="clear" w:color="auto" w:fill="auto"/>
                  <w:noWrap/>
                  <w:vAlign w:val="center"/>
                </w:tcPr>
                <w:p w14:paraId="03C45E73">
                  <w:pPr>
                    <w:widowControl/>
                    <w:spacing w:line="320" w:lineRule="exact"/>
                    <w:jc w:val="center"/>
                    <w:textAlignment w:val="center"/>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680" w:type="dxa"/>
                  <w:vMerge w:val="continue"/>
                  <w:tcBorders>
                    <w:left w:val="single" w:color="000000" w:sz="4" w:space="0"/>
                    <w:right w:val="single" w:color="000000" w:sz="4" w:space="0"/>
                  </w:tcBorders>
                  <w:shd w:val="clear" w:color="auto" w:fill="auto"/>
                  <w:noWrap/>
                  <w:vAlign w:val="center"/>
                </w:tcPr>
                <w:p w14:paraId="08E0C9AB">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p>
              </w:tc>
            </w:tr>
            <w:tr w14:paraId="06859396">
              <w:tblPrEx>
                <w:tblCellMar>
                  <w:top w:w="0" w:type="dxa"/>
                  <w:left w:w="108" w:type="dxa"/>
                  <w:bottom w:w="0" w:type="dxa"/>
                  <w:right w:w="108" w:type="dxa"/>
                </w:tblCellMar>
              </w:tblPrEx>
              <w:trPr>
                <w:trHeight w:val="315" w:hRule="atLeast"/>
              </w:trPr>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EE408">
                  <w:pPr>
                    <w:widowControl/>
                    <w:spacing w:line="320" w:lineRule="exact"/>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6</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138E0">
                  <w:pPr>
                    <w:widowControl/>
                    <w:spacing w:line="320" w:lineRule="exact"/>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布袋除尘器风机</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1AD05">
                  <w:pPr>
                    <w:widowControl/>
                    <w:spacing w:line="320" w:lineRule="exact"/>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90</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A3F70">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eastAsia="宋体" w:cs="Times New Roman"/>
                      <w:snapToGrid w:val="0"/>
                      <w:color w:val="auto"/>
                      <w:kern w:val="0"/>
                      <w:sz w:val="21"/>
                      <w:szCs w:val="21"/>
                      <w:highlight w:val="none"/>
                      <w:lang w:val="en-US" w:eastAsia="zh-CN"/>
                    </w:rPr>
                    <w:t>风机进出口用软管连接</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AE659">
                  <w:pPr>
                    <w:widowControl/>
                    <w:spacing w:line="320" w:lineRule="exact"/>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36.73</w:t>
                  </w:r>
                </w:p>
              </w:tc>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6A383">
                  <w:pPr>
                    <w:widowControl/>
                    <w:spacing w:line="320" w:lineRule="exact"/>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5.28</w:t>
                  </w:r>
                </w:p>
              </w:tc>
              <w:tc>
                <w:tcPr>
                  <w:tcW w:w="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6CF6C">
                  <w:pPr>
                    <w:widowControl/>
                    <w:spacing w:line="320" w:lineRule="exact"/>
                    <w:jc w:val="center"/>
                    <w:textAlignment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AF990">
                  <w:pPr>
                    <w:widowControl/>
                    <w:spacing w:line="320" w:lineRule="exact"/>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10.16</w:t>
                  </w:r>
                </w:p>
              </w:tc>
              <w:tc>
                <w:tcPr>
                  <w:tcW w:w="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E0AB5">
                  <w:pPr>
                    <w:widowControl/>
                    <w:spacing w:line="320" w:lineRule="exact"/>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3.66</w:t>
                  </w:r>
                </w:p>
              </w:tc>
              <w:tc>
                <w:tcPr>
                  <w:tcW w:w="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C2892">
                  <w:pPr>
                    <w:widowControl/>
                    <w:spacing w:line="320" w:lineRule="exact"/>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35.53</w:t>
                  </w:r>
                </w:p>
              </w:tc>
              <w:tc>
                <w:tcPr>
                  <w:tcW w:w="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05065">
                  <w:pPr>
                    <w:widowControl/>
                    <w:spacing w:line="320" w:lineRule="exact"/>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71.61</w:t>
                  </w:r>
                </w:p>
              </w:tc>
              <w:tc>
                <w:tcPr>
                  <w:tcW w:w="488" w:type="dxa"/>
                  <w:vMerge w:val="continue"/>
                  <w:tcBorders>
                    <w:left w:val="single" w:color="000000" w:sz="4" w:space="0"/>
                    <w:right w:val="single" w:color="000000" w:sz="4" w:space="0"/>
                  </w:tcBorders>
                  <w:shd w:val="clear" w:color="auto" w:fill="auto"/>
                  <w:noWrap/>
                  <w:vAlign w:val="center"/>
                </w:tcPr>
                <w:p w14:paraId="48DE8D27">
                  <w:pPr>
                    <w:widowControl/>
                    <w:spacing w:line="320" w:lineRule="exact"/>
                    <w:jc w:val="center"/>
                    <w:textAlignment w:val="center"/>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488" w:type="dxa"/>
                  <w:vMerge w:val="continue"/>
                  <w:tcBorders>
                    <w:left w:val="single" w:color="000000" w:sz="4" w:space="0"/>
                    <w:right w:val="single" w:color="000000" w:sz="4" w:space="0"/>
                  </w:tcBorders>
                  <w:shd w:val="clear" w:color="auto" w:fill="auto"/>
                  <w:noWrap/>
                  <w:vAlign w:val="center"/>
                </w:tcPr>
                <w:p w14:paraId="3CF2555F">
                  <w:pPr>
                    <w:widowControl/>
                    <w:spacing w:line="320" w:lineRule="exact"/>
                    <w:jc w:val="center"/>
                    <w:textAlignment w:val="center"/>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409" w:type="dxa"/>
                  <w:vMerge w:val="continue"/>
                  <w:tcBorders>
                    <w:left w:val="single" w:color="000000" w:sz="4" w:space="0"/>
                    <w:right w:val="single" w:color="000000" w:sz="4" w:space="0"/>
                  </w:tcBorders>
                  <w:shd w:val="clear" w:color="auto" w:fill="auto"/>
                  <w:noWrap/>
                  <w:vAlign w:val="center"/>
                </w:tcPr>
                <w:p w14:paraId="1F8DF5CE">
                  <w:pPr>
                    <w:widowControl/>
                    <w:spacing w:line="320" w:lineRule="exact"/>
                    <w:jc w:val="center"/>
                    <w:textAlignment w:val="center"/>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420" w:type="dxa"/>
                  <w:vMerge w:val="continue"/>
                  <w:tcBorders>
                    <w:left w:val="single" w:color="000000" w:sz="4" w:space="0"/>
                    <w:right w:val="single" w:color="000000" w:sz="4" w:space="0"/>
                  </w:tcBorders>
                  <w:shd w:val="clear" w:color="auto" w:fill="auto"/>
                  <w:noWrap/>
                  <w:vAlign w:val="center"/>
                </w:tcPr>
                <w:p w14:paraId="61ECDC25">
                  <w:pPr>
                    <w:widowControl/>
                    <w:spacing w:line="320" w:lineRule="exact"/>
                    <w:jc w:val="center"/>
                    <w:textAlignment w:val="center"/>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E6674">
                  <w:pPr>
                    <w:widowControl/>
                    <w:spacing w:line="320" w:lineRule="exact"/>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4h/d</w:t>
                  </w:r>
                </w:p>
              </w:tc>
              <w:tc>
                <w:tcPr>
                  <w:tcW w:w="855" w:type="dxa"/>
                  <w:vMerge w:val="continue"/>
                  <w:tcBorders>
                    <w:left w:val="single" w:color="000000" w:sz="4" w:space="0"/>
                    <w:right w:val="single" w:color="000000" w:sz="4" w:space="0"/>
                  </w:tcBorders>
                  <w:shd w:val="clear" w:color="auto" w:fill="auto"/>
                  <w:noWrap/>
                  <w:vAlign w:val="center"/>
                </w:tcPr>
                <w:p w14:paraId="29C4AAC6">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p>
              </w:tc>
              <w:tc>
                <w:tcPr>
                  <w:tcW w:w="523" w:type="dxa"/>
                  <w:vMerge w:val="continue"/>
                  <w:tcBorders>
                    <w:left w:val="single" w:color="000000" w:sz="4" w:space="0"/>
                    <w:right w:val="single" w:color="000000" w:sz="4" w:space="0"/>
                  </w:tcBorders>
                  <w:shd w:val="clear" w:color="auto" w:fill="auto"/>
                  <w:noWrap/>
                  <w:vAlign w:val="center"/>
                </w:tcPr>
                <w:p w14:paraId="738CD3EA">
                  <w:pPr>
                    <w:widowControl/>
                    <w:spacing w:line="320" w:lineRule="exact"/>
                    <w:jc w:val="center"/>
                    <w:textAlignment w:val="center"/>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414" w:type="dxa"/>
                  <w:vMerge w:val="continue"/>
                  <w:tcBorders>
                    <w:left w:val="single" w:color="000000" w:sz="4" w:space="0"/>
                    <w:right w:val="single" w:color="000000" w:sz="4" w:space="0"/>
                  </w:tcBorders>
                  <w:shd w:val="clear" w:color="auto" w:fill="auto"/>
                  <w:noWrap/>
                  <w:vAlign w:val="center"/>
                </w:tcPr>
                <w:p w14:paraId="106B6B4C">
                  <w:pPr>
                    <w:widowControl/>
                    <w:spacing w:line="320" w:lineRule="exact"/>
                    <w:jc w:val="center"/>
                    <w:textAlignment w:val="center"/>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402" w:type="dxa"/>
                  <w:vMerge w:val="continue"/>
                  <w:tcBorders>
                    <w:left w:val="single" w:color="000000" w:sz="4" w:space="0"/>
                    <w:right w:val="single" w:color="000000" w:sz="4" w:space="0"/>
                  </w:tcBorders>
                  <w:shd w:val="clear" w:color="auto" w:fill="auto"/>
                  <w:noWrap/>
                  <w:vAlign w:val="center"/>
                </w:tcPr>
                <w:p w14:paraId="27E6A287">
                  <w:pPr>
                    <w:widowControl/>
                    <w:spacing w:line="320" w:lineRule="exact"/>
                    <w:jc w:val="center"/>
                    <w:textAlignment w:val="center"/>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401" w:type="dxa"/>
                  <w:vMerge w:val="continue"/>
                  <w:tcBorders>
                    <w:left w:val="single" w:color="000000" w:sz="4" w:space="0"/>
                    <w:right w:val="single" w:color="000000" w:sz="4" w:space="0"/>
                  </w:tcBorders>
                  <w:shd w:val="clear" w:color="auto" w:fill="auto"/>
                  <w:noWrap/>
                  <w:vAlign w:val="center"/>
                </w:tcPr>
                <w:p w14:paraId="580C62D3">
                  <w:pPr>
                    <w:widowControl/>
                    <w:spacing w:line="320" w:lineRule="exact"/>
                    <w:jc w:val="center"/>
                    <w:textAlignment w:val="center"/>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680" w:type="dxa"/>
                  <w:vMerge w:val="continue"/>
                  <w:tcBorders>
                    <w:left w:val="single" w:color="000000" w:sz="4" w:space="0"/>
                    <w:right w:val="single" w:color="000000" w:sz="4" w:space="0"/>
                  </w:tcBorders>
                  <w:shd w:val="clear" w:color="auto" w:fill="auto"/>
                  <w:noWrap/>
                  <w:vAlign w:val="center"/>
                </w:tcPr>
                <w:p w14:paraId="18129C12">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p>
              </w:tc>
            </w:tr>
            <w:tr w14:paraId="45974886">
              <w:tblPrEx>
                <w:tblCellMar>
                  <w:top w:w="0" w:type="dxa"/>
                  <w:left w:w="108" w:type="dxa"/>
                  <w:bottom w:w="0" w:type="dxa"/>
                  <w:right w:w="108" w:type="dxa"/>
                </w:tblCellMar>
              </w:tblPrEx>
              <w:trPr>
                <w:trHeight w:val="315" w:hRule="atLeast"/>
              </w:trPr>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78616">
                  <w:pPr>
                    <w:widowControl/>
                    <w:spacing w:line="320" w:lineRule="exact"/>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7</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753B2">
                  <w:pPr>
                    <w:widowControl/>
                    <w:spacing w:line="320" w:lineRule="exact"/>
                    <w:jc w:val="center"/>
                    <w:textAlignment w:val="center"/>
                    <w:rPr>
                      <w:rFonts w:hint="eastAsia" w:ascii="Times New Roman" w:hAnsi="Times New Roman"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二级活性炭装置风机</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67918">
                  <w:pPr>
                    <w:widowControl/>
                    <w:spacing w:line="320" w:lineRule="exact"/>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90</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A4C67">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eastAsia="宋体" w:cs="Times New Roman"/>
                      <w:snapToGrid w:val="0"/>
                      <w:color w:val="auto"/>
                      <w:kern w:val="0"/>
                      <w:sz w:val="21"/>
                      <w:szCs w:val="21"/>
                      <w:highlight w:val="none"/>
                      <w:lang w:val="en-US" w:eastAsia="zh-CN"/>
                    </w:rPr>
                    <w:t>风机进出口用软管连接</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0CD44">
                  <w:pPr>
                    <w:widowControl/>
                    <w:spacing w:line="320" w:lineRule="exact"/>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16.39</w:t>
                  </w:r>
                </w:p>
              </w:tc>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DA5F7">
                  <w:pPr>
                    <w:widowControl/>
                    <w:spacing w:line="320" w:lineRule="exact"/>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2.56</w:t>
                  </w:r>
                </w:p>
              </w:tc>
              <w:tc>
                <w:tcPr>
                  <w:tcW w:w="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0DD2F">
                  <w:pPr>
                    <w:widowControl/>
                    <w:spacing w:line="320" w:lineRule="exact"/>
                    <w:jc w:val="center"/>
                    <w:textAlignment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00CE5">
                  <w:pPr>
                    <w:widowControl/>
                    <w:spacing w:line="320" w:lineRule="exact"/>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30.98</w:t>
                  </w:r>
                </w:p>
              </w:tc>
              <w:tc>
                <w:tcPr>
                  <w:tcW w:w="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35034">
                  <w:pPr>
                    <w:widowControl/>
                    <w:spacing w:line="320" w:lineRule="exact"/>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3.66</w:t>
                  </w:r>
                </w:p>
              </w:tc>
              <w:tc>
                <w:tcPr>
                  <w:tcW w:w="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785CD">
                  <w:pPr>
                    <w:widowControl/>
                    <w:spacing w:line="320" w:lineRule="exact"/>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14.32</w:t>
                  </w:r>
                </w:p>
              </w:tc>
              <w:tc>
                <w:tcPr>
                  <w:tcW w:w="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EFB212">
                  <w:pPr>
                    <w:widowControl/>
                    <w:spacing w:line="320" w:lineRule="exact"/>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72.01</w:t>
                  </w:r>
                </w:p>
              </w:tc>
              <w:tc>
                <w:tcPr>
                  <w:tcW w:w="488" w:type="dxa"/>
                  <w:vMerge w:val="continue"/>
                  <w:tcBorders>
                    <w:left w:val="single" w:color="000000" w:sz="4" w:space="0"/>
                    <w:right w:val="single" w:color="000000" w:sz="4" w:space="0"/>
                  </w:tcBorders>
                  <w:shd w:val="clear" w:color="auto" w:fill="auto"/>
                  <w:noWrap/>
                  <w:vAlign w:val="center"/>
                </w:tcPr>
                <w:p w14:paraId="1D83A75C">
                  <w:pPr>
                    <w:widowControl/>
                    <w:spacing w:line="320" w:lineRule="exact"/>
                    <w:jc w:val="center"/>
                    <w:textAlignment w:val="center"/>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488" w:type="dxa"/>
                  <w:vMerge w:val="continue"/>
                  <w:tcBorders>
                    <w:left w:val="single" w:color="000000" w:sz="4" w:space="0"/>
                    <w:right w:val="single" w:color="000000" w:sz="4" w:space="0"/>
                  </w:tcBorders>
                  <w:shd w:val="clear" w:color="auto" w:fill="auto"/>
                  <w:noWrap/>
                  <w:vAlign w:val="center"/>
                </w:tcPr>
                <w:p w14:paraId="65D47D02">
                  <w:pPr>
                    <w:widowControl/>
                    <w:spacing w:line="320" w:lineRule="exact"/>
                    <w:jc w:val="center"/>
                    <w:textAlignment w:val="center"/>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409" w:type="dxa"/>
                  <w:vMerge w:val="continue"/>
                  <w:tcBorders>
                    <w:left w:val="single" w:color="000000" w:sz="4" w:space="0"/>
                    <w:right w:val="single" w:color="000000" w:sz="4" w:space="0"/>
                  </w:tcBorders>
                  <w:shd w:val="clear" w:color="auto" w:fill="auto"/>
                  <w:noWrap/>
                  <w:vAlign w:val="center"/>
                </w:tcPr>
                <w:p w14:paraId="4F0D88AF">
                  <w:pPr>
                    <w:widowControl/>
                    <w:spacing w:line="320" w:lineRule="exact"/>
                    <w:jc w:val="center"/>
                    <w:textAlignment w:val="center"/>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420" w:type="dxa"/>
                  <w:vMerge w:val="continue"/>
                  <w:tcBorders>
                    <w:left w:val="single" w:color="000000" w:sz="4" w:space="0"/>
                    <w:right w:val="single" w:color="000000" w:sz="4" w:space="0"/>
                  </w:tcBorders>
                  <w:shd w:val="clear" w:color="auto" w:fill="auto"/>
                  <w:noWrap/>
                  <w:vAlign w:val="center"/>
                </w:tcPr>
                <w:p w14:paraId="7D63251D">
                  <w:pPr>
                    <w:widowControl/>
                    <w:spacing w:line="320" w:lineRule="exact"/>
                    <w:jc w:val="center"/>
                    <w:textAlignment w:val="center"/>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A00D5">
                  <w:pPr>
                    <w:widowControl/>
                    <w:spacing w:line="320" w:lineRule="exact"/>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8h/d</w:t>
                  </w:r>
                </w:p>
              </w:tc>
              <w:tc>
                <w:tcPr>
                  <w:tcW w:w="855" w:type="dxa"/>
                  <w:vMerge w:val="continue"/>
                  <w:tcBorders>
                    <w:left w:val="single" w:color="000000" w:sz="4" w:space="0"/>
                    <w:right w:val="single" w:color="000000" w:sz="4" w:space="0"/>
                  </w:tcBorders>
                  <w:shd w:val="clear" w:color="auto" w:fill="auto"/>
                  <w:noWrap/>
                  <w:vAlign w:val="center"/>
                </w:tcPr>
                <w:p w14:paraId="33A698BB">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p>
              </w:tc>
              <w:tc>
                <w:tcPr>
                  <w:tcW w:w="523" w:type="dxa"/>
                  <w:vMerge w:val="continue"/>
                  <w:tcBorders>
                    <w:left w:val="single" w:color="000000" w:sz="4" w:space="0"/>
                    <w:right w:val="single" w:color="000000" w:sz="4" w:space="0"/>
                  </w:tcBorders>
                  <w:shd w:val="clear" w:color="auto" w:fill="auto"/>
                  <w:noWrap/>
                  <w:vAlign w:val="center"/>
                </w:tcPr>
                <w:p w14:paraId="2E10D351">
                  <w:pPr>
                    <w:widowControl/>
                    <w:spacing w:line="320" w:lineRule="exact"/>
                    <w:jc w:val="center"/>
                    <w:textAlignment w:val="center"/>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414" w:type="dxa"/>
                  <w:vMerge w:val="continue"/>
                  <w:tcBorders>
                    <w:left w:val="single" w:color="000000" w:sz="4" w:space="0"/>
                    <w:right w:val="single" w:color="000000" w:sz="4" w:space="0"/>
                  </w:tcBorders>
                  <w:shd w:val="clear" w:color="auto" w:fill="auto"/>
                  <w:noWrap/>
                  <w:vAlign w:val="center"/>
                </w:tcPr>
                <w:p w14:paraId="53358279">
                  <w:pPr>
                    <w:widowControl/>
                    <w:spacing w:line="320" w:lineRule="exact"/>
                    <w:jc w:val="center"/>
                    <w:textAlignment w:val="center"/>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402" w:type="dxa"/>
                  <w:vMerge w:val="continue"/>
                  <w:tcBorders>
                    <w:left w:val="single" w:color="000000" w:sz="4" w:space="0"/>
                    <w:right w:val="single" w:color="000000" w:sz="4" w:space="0"/>
                  </w:tcBorders>
                  <w:shd w:val="clear" w:color="auto" w:fill="auto"/>
                  <w:noWrap/>
                  <w:vAlign w:val="center"/>
                </w:tcPr>
                <w:p w14:paraId="44261BCD">
                  <w:pPr>
                    <w:widowControl/>
                    <w:spacing w:line="320" w:lineRule="exact"/>
                    <w:jc w:val="center"/>
                    <w:textAlignment w:val="center"/>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401" w:type="dxa"/>
                  <w:vMerge w:val="continue"/>
                  <w:tcBorders>
                    <w:left w:val="single" w:color="000000" w:sz="4" w:space="0"/>
                    <w:right w:val="single" w:color="000000" w:sz="4" w:space="0"/>
                  </w:tcBorders>
                  <w:shd w:val="clear" w:color="auto" w:fill="auto"/>
                  <w:noWrap/>
                  <w:vAlign w:val="center"/>
                </w:tcPr>
                <w:p w14:paraId="784DDE01">
                  <w:pPr>
                    <w:widowControl/>
                    <w:spacing w:line="320" w:lineRule="exact"/>
                    <w:jc w:val="center"/>
                    <w:textAlignment w:val="center"/>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680" w:type="dxa"/>
                  <w:vMerge w:val="continue"/>
                  <w:tcBorders>
                    <w:left w:val="single" w:color="000000" w:sz="4" w:space="0"/>
                    <w:right w:val="single" w:color="000000" w:sz="4" w:space="0"/>
                  </w:tcBorders>
                  <w:shd w:val="clear" w:color="auto" w:fill="auto"/>
                  <w:noWrap/>
                  <w:vAlign w:val="center"/>
                </w:tcPr>
                <w:p w14:paraId="76DBF95F">
                  <w:pPr>
                    <w:widowControl/>
                    <w:spacing w:line="320" w:lineRule="exact"/>
                    <w:jc w:val="center"/>
                    <w:textAlignment w:val="center"/>
                    <w:rPr>
                      <w:rFonts w:ascii="Times New Roman" w:hAnsi="Times New Roman" w:cs="Times New Roman"/>
                      <w:color w:val="000000" w:themeColor="text1"/>
                      <w:sz w:val="21"/>
                      <w:szCs w:val="21"/>
                      <w14:textFill>
                        <w14:solidFill>
                          <w14:schemeClr w14:val="tx1"/>
                        </w14:solidFill>
                      </w14:textFill>
                    </w:rPr>
                  </w:pPr>
                </w:p>
              </w:tc>
            </w:tr>
            <w:tr w14:paraId="6050D5D4">
              <w:tblPrEx>
                <w:tblCellMar>
                  <w:top w:w="0" w:type="dxa"/>
                  <w:left w:w="108" w:type="dxa"/>
                  <w:bottom w:w="0" w:type="dxa"/>
                  <w:right w:w="108" w:type="dxa"/>
                </w:tblCellMar>
              </w:tblPrEx>
              <w:trPr>
                <w:trHeight w:val="630" w:hRule="atLeast"/>
              </w:trPr>
              <w:tc>
                <w:tcPr>
                  <w:tcW w:w="12884" w:type="dxa"/>
                  <w:gridSpan w:val="2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32814">
                  <w:pPr>
                    <w:widowControl/>
                    <w:spacing w:line="320" w:lineRule="exact"/>
                    <w:jc w:val="left"/>
                    <w:textAlignment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注：以厂房西南角为坐标原点。</w:t>
                  </w:r>
                </w:p>
              </w:tc>
            </w:tr>
          </w:tbl>
          <w:p w14:paraId="435F88E8">
            <w:pPr>
              <w:autoSpaceDE w:val="0"/>
              <w:autoSpaceDN w:val="0"/>
              <w:spacing w:line="480" w:lineRule="atLeast"/>
              <w:jc w:val="center"/>
              <w:rPr>
                <w:rFonts w:ascii="Times New Roman" w:hAnsi="Times New Roman" w:cs="Times New Roman"/>
              </w:rPr>
            </w:pPr>
          </w:p>
        </w:tc>
      </w:tr>
    </w:tbl>
    <w:p w14:paraId="682325D7">
      <w:pPr>
        <w:rPr>
          <w:rFonts w:hint="default" w:ascii="Times New Roman" w:hAnsi="Times New Roman" w:eastAsia="黑体" w:cs="Times New Roman"/>
          <w:color w:val="auto"/>
          <w:sz w:val="30"/>
          <w:szCs w:val="30"/>
          <w:lang w:bidi="ar"/>
        </w:rPr>
        <w:sectPr>
          <w:pgSz w:w="16838" w:h="11906" w:orient="landscape"/>
          <w:pgMar w:top="1803" w:right="1417" w:bottom="1803" w:left="1417" w:header="851" w:footer="992" w:gutter="0"/>
          <w:pgBorders>
            <w:top w:val="none" w:sz="0" w:space="0"/>
            <w:left w:val="none" w:sz="0" w:space="0"/>
            <w:bottom w:val="none" w:sz="0" w:space="0"/>
            <w:right w:val="none" w:sz="0" w:space="0"/>
          </w:pgBorders>
          <w:pgNumType w:fmt="decimal"/>
          <w:cols w:space="0" w:num="1"/>
          <w:rtlGutter w:val="0"/>
          <w:docGrid w:type="lines" w:linePitch="395" w:charSpace="0"/>
        </w:sectPr>
      </w:pPr>
    </w:p>
    <w:tbl>
      <w:tblPr>
        <w:tblStyle w:val="35"/>
        <w:tblW w:w="90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8344"/>
      </w:tblGrid>
      <w:tr w14:paraId="43F17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81" w:hRule="atLeast"/>
          <w:jc w:val="center"/>
        </w:trPr>
        <w:tc>
          <w:tcPr>
            <w:tcW w:w="700" w:type="dxa"/>
          </w:tcPr>
          <w:p w14:paraId="76CE9FA9">
            <w:pPr>
              <w:rPr>
                <w:rFonts w:hint="default" w:ascii="Times New Roman" w:hAnsi="Times New Roman" w:eastAsia="黑体" w:cs="Times New Roman"/>
                <w:color w:val="auto"/>
                <w:sz w:val="30"/>
                <w:szCs w:val="30"/>
                <w:lang w:bidi="ar"/>
              </w:rPr>
            </w:pPr>
          </w:p>
        </w:tc>
        <w:tc>
          <w:tcPr>
            <w:tcW w:w="8344" w:type="dxa"/>
          </w:tcPr>
          <w:p w14:paraId="768F9111">
            <w:pPr>
              <w:pStyle w:val="15"/>
              <w:shd w:val="clear"/>
              <w:spacing w:line="480" w:lineRule="exact"/>
              <w:ind w:firstLine="480" w:firstLineChars="200"/>
              <w:rPr>
                <w:rFonts w:hint="default" w:ascii="Times New Roman" w:hAnsi="Times New Roman" w:cs="Times New Roman" w:eastAsiaTheme="majorEastAsia"/>
                <w:color w:val="auto"/>
                <w:sz w:val="24"/>
                <w:szCs w:val="24"/>
                <w:highlight w:val="none"/>
              </w:rPr>
            </w:pPr>
            <w:r>
              <w:rPr>
                <w:rFonts w:hint="default" w:ascii="Times New Roman" w:hAnsi="Times New Roman" w:cs="Times New Roman" w:eastAsiaTheme="majorEastAsia"/>
                <w:color w:val="auto"/>
                <w:sz w:val="24"/>
                <w:szCs w:val="24"/>
                <w:highlight w:val="none"/>
                <w:lang w:val="en-US" w:eastAsia="zh-CN"/>
              </w:rPr>
              <w:t>2、</w:t>
            </w:r>
            <w:r>
              <w:rPr>
                <w:rFonts w:hint="default" w:ascii="Times New Roman" w:hAnsi="Times New Roman" w:cs="Times New Roman" w:eastAsiaTheme="majorEastAsia"/>
                <w:color w:val="auto"/>
                <w:sz w:val="24"/>
                <w:szCs w:val="24"/>
                <w:highlight w:val="none"/>
              </w:rPr>
              <w:t>预测方法</w:t>
            </w:r>
          </w:p>
          <w:p w14:paraId="142B2865">
            <w:pPr>
              <w:keepNext w:val="0"/>
              <w:keepLines w:val="0"/>
              <w:suppressLineNumbers w:val="0"/>
              <w:spacing w:before="0" w:beforeAutospacing="0" w:after="0" w:afterAutospacing="0" w:line="480" w:lineRule="exact"/>
              <w:ind w:left="0" w:righ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依据声源的分布规律及预测点与声源之间的距离，把噪声源简化成点声源，依据已获得的声学数据，利用《环境影响的评价技术导则声环境》（HJ2.4-2021）中推荐的预测模式分别计算各声源对厂界的贡献值。</w:t>
            </w:r>
          </w:p>
          <w:p w14:paraId="500F277C">
            <w:pPr>
              <w:keepNext w:val="0"/>
              <w:keepLines w:val="0"/>
              <w:suppressLineNumbers w:val="0"/>
              <w:spacing w:before="0" w:beforeAutospacing="0" w:after="0" w:afterAutospacing="0" w:line="500" w:lineRule="exact"/>
              <w:ind w:left="0" w:right="0"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1）声级计算</w:t>
            </w:r>
          </w:p>
          <w:p w14:paraId="48A19457">
            <w:pPr>
              <w:keepNext w:val="0"/>
              <w:keepLines w:val="0"/>
              <w:suppressLineNumbers w:val="0"/>
              <w:spacing w:before="0" w:beforeAutospacing="0" w:after="0" w:afterAutospacing="0" w:line="500" w:lineRule="exact"/>
              <w:ind w:left="0" w:right="0"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建设项目声源在预测点产生的等效声级贡献值</w:t>
            </w:r>
            <w:r>
              <w:rPr>
                <w:rFonts w:hint="default" w:ascii="Times New Roman" w:hAnsi="Times New Roman" w:cs="Times New Roman"/>
                <w:color w:val="auto"/>
                <w:sz w:val="24"/>
                <w:lang w:eastAsia="zh-CN"/>
              </w:rPr>
              <w:t>（</w:t>
            </w:r>
            <w:r>
              <w:rPr>
                <w:rFonts w:hint="default" w:ascii="Times New Roman" w:hAnsi="Times New Roman" w:eastAsia="宋体" w:cs="Times New Roman"/>
                <w:color w:val="auto"/>
                <w:sz w:val="24"/>
              </w:rPr>
              <w:t>Leqg）计算公式：</w:t>
            </w:r>
          </w:p>
          <w:p w14:paraId="7318BB5D">
            <w:pPr>
              <w:keepNext w:val="0"/>
              <w:keepLines w:val="0"/>
              <w:suppressLineNumbers w:val="0"/>
              <w:spacing w:before="0" w:beforeAutospacing="0" w:after="0" w:afterAutospacing="0" w:line="480" w:lineRule="exact"/>
              <w:ind w:left="0" w:right="0" w:firstLine="48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pict>
                <v:shape id="对象 101" o:spid="_x0000_s1031" o:spt="75" type="#_x0000_t75" style="position:absolute;left:0pt;margin-left:106.2pt;margin-top:2.7pt;height:36.55pt;width:187.7pt;z-index:-251645952;mso-width-relative:page;mso-height-relative:page;" o:ole="t" filled="f" o:preferrelative="t" stroked="f" coordsize="21600,21600">
                  <v:path/>
                  <v:fill on="f" focussize="0,0"/>
                  <v:stroke on="f"/>
                  <v:imagedata r:id="rId19" o:title=""/>
                  <o:lock v:ext="edit" aspectratio="t"/>
                </v:shape>
                <o:OLEObject Type="Embed" ProgID="Equation.3" ShapeID="对象 101" DrawAspect="Content" ObjectID="_1468075726" r:id="rId18">
                  <o:LockedField>false</o:LockedField>
                </o:OLEObject>
              </w:pict>
            </w:r>
          </w:p>
          <w:p w14:paraId="51F44C7E">
            <w:pPr>
              <w:keepNext w:val="0"/>
              <w:keepLines w:val="0"/>
              <w:suppressLineNumbers w:val="0"/>
              <w:spacing w:before="0" w:beforeAutospacing="0" w:after="0" w:afterAutospacing="0" w:line="480" w:lineRule="exact"/>
              <w:ind w:left="0" w:right="0"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式中：</w:t>
            </w:r>
          </w:p>
          <w:p w14:paraId="5D471D2A">
            <w:pPr>
              <w:keepNext w:val="0"/>
              <w:keepLines w:val="0"/>
              <w:suppressLineNumbers w:val="0"/>
              <w:spacing w:before="0" w:beforeAutospacing="0" w:after="0" w:afterAutospacing="0" w:line="480" w:lineRule="exact"/>
              <w:ind w:left="0" w:right="0" w:firstLine="1080" w:firstLineChars="45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L</w:t>
            </w:r>
            <w:r>
              <w:rPr>
                <w:rFonts w:hint="default" w:ascii="Times New Roman" w:hAnsi="Times New Roman" w:eastAsia="宋体" w:cs="Times New Roman"/>
                <w:color w:val="auto"/>
                <w:sz w:val="24"/>
                <w:vertAlign w:val="subscript"/>
              </w:rPr>
              <w:t>eqg</w:t>
            </w:r>
            <w:r>
              <w:rPr>
                <w:rFonts w:hint="default" w:ascii="Times New Roman" w:hAnsi="Times New Roman" w:eastAsia="宋体" w:cs="Times New Roman"/>
                <w:color w:val="auto"/>
                <w:sz w:val="24"/>
              </w:rPr>
              <w:t>—建设项目声源在预测点的等效声级贡献值，dB</w:t>
            </w:r>
            <w:r>
              <w:rPr>
                <w:rFonts w:hint="default" w:ascii="Times New Roman" w:hAnsi="Times New Roman" w:cs="Times New Roman"/>
                <w:color w:val="auto"/>
                <w:sz w:val="24"/>
                <w:lang w:eastAsia="zh-CN"/>
              </w:rPr>
              <w:t>（</w:t>
            </w:r>
            <w:r>
              <w:rPr>
                <w:rFonts w:hint="default" w:ascii="Times New Roman" w:hAnsi="Times New Roman" w:eastAsia="宋体" w:cs="Times New Roman"/>
                <w:color w:val="auto"/>
                <w:sz w:val="24"/>
              </w:rPr>
              <w:t>A）；</w:t>
            </w:r>
          </w:p>
          <w:p w14:paraId="78762505">
            <w:pPr>
              <w:keepNext w:val="0"/>
              <w:keepLines w:val="0"/>
              <w:suppressLineNumbers w:val="0"/>
              <w:spacing w:before="0" w:beforeAutospacing="0" w:after="0" w:afterAutospacing="0" w:line="480" w:lineRule="exact"/>
              <w:ind w:left="0" w:right="0" w:firstLine="1080" w:firstLineChars="45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L</w:t>
            </w:r>
            <w:r>
              <w:rPr>
                <w:rFonts w:hint="default" w:ascii="Times New Roman" w:hAnsi="Times New Roman" w:eastAsia="宋体" w:cs="Times New Roman"/>
                <w:color w:val="auto"/>
                <w:sz w:val="24"/>
                <w:vertAlign w:val="subscript"/>
              </w:rPr>
              <w:t>Ai</w:t>
            </w:r>
            <w:r>
              <w:rPr>
                <w:rFonts w:hint="default" w:ascii="Times New Roman" w:hAnsi="Times New Roman" w:eastAsia="宋体" w:cs="Times New Roman"/>
                <w:color w:val="auto"/>
                <w:sz w:val="24"/>
              </w:rPr>
              <w:t>—i声源在预测点产生的A声级，dB</w:t>
            </w:r>
            <w:r>
              <w:rPr>
                <w:rFonts w:hint="default" w:ascii="Times New Roman" w:hAnsi="Times New Roman" w:cs="Times New Roman"/>
                <w:color w:val="auto"/>
                <w:sz w:val="24"/>
                <w:lang w:eastAsia="zh-CN"/>
              </w:rPr>
              <w:t>（</w:t>
            </w:r>
            <w:r>
              <w:rPr>
                <w:rFonts w:hint="default" w:ascii="Times New Roman" w:hAnsi="Times New Roman" w:eastAsia="宋体" w:cs="Times New Roman"/>
                <w:color w:val="auto"/>
                <w:sz w:val="24"/>
              </w:rPr>
              <w:t>A）；</w:t>
            </w:r>
          </w:p>
          <w:p w14:paraId="4E3DD167">
            <w:pPr>
              <w:keepNext w:val="0"/>
              <w:keepLines w:val="0"/>
              <w:suppressLineNumbers w:val="0"/>
              <w:spacing w:before="0" w:beforeAutospacing="0" w:after="0" w:afterAutospacing="0" w:line="480" w:lineRule="exact"/>
              <w:ind w:left="0" w:right="0" w:firstLine="1080" w:firstLineChars="45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T—预测计算的时间段，s；</w:t>
            </w:r>
          </w:p>
          <w:p w14:paraId="1B037D51">
            <w:pPr>
              <w:keepNext w:val="0"/>
              <w:keepLines w:val="0"/>
              <w:suppressLineNumbers w:val="0"/>
              <w:spacing w:before="0" w:beforeAutospacing="0" w:after="0" w:afterAutospacing="0" w:line="480" w:lineRule="exact"/>
              <w:ind w:left="0" w:right="0" w:firstLine="1080" w:firstLineChars="45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t</w:t>
            </w:r>
            <w:r>
              <w:rPr>
                <w:rFonts w:hint="default" w:ascii="Times New Roman" w:hAnsi="Times New Roman" w:eastAsia="宋体" w:cs="Times New Roman"/>
                <w:color w:val="auto"/>
                <w:sz w:val="24"/>
                <w:vertAlign w:val="subscript"/>
              </w:rPr>
              <w:t>i</w:t>
            </w:r>
            <w:r>
              <w:rPr>
                <w:rFonts w:hint="default" w:ascii="Times New Roman" w:hAnsi="Times New Roman" w:eastAsia="宋体" w:cs="Times New Roman"/>
                <w:color w:val="auto"/>
                <w:sz w:val="24"/>
              </w:rPr>
              <w:t>—i声源在T时段内的运行时间，s。</w:t>
            </w:r>
          </w:p>
          <w:p w14:paraId="022F99AC">
            <w:pPr>
              <w:keepNext w:val="0"/>
              <w:keepLines w:val="0"/>
              <w:suppressLineNumbers w:val="0"/>
              <w:spacing w:before="0" w:beforeAutospacing="0" w:after="0" w:afterAutospacing="0" w:line="480" w:lineRule="exact"/>
              <w:ind w:left="0" w:righ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2）预测点的预测等效声级</w:t>
            </w:r>
            <w:r>
              <w:rPr>
                <w:rFonts w:hint="default" w:ascii="Times New Roman" w:hAnsi="Times New Roman" w:cs="Times New Roman"/>
                <w:color w:val="auto"/>
                <w:sz w:val="24"/>
                <w:lang w:eastAsia="zh-CN"/>
              </w:rPr>
              <w:t>（</w:t>
            </w:r>
            <w:r>
              <w:rPr>
                <w:rFonts w:hint="default" w:ascii="Times New Roman" w:hAnsi="Times New Roman" w:eastAsia="宋体" w:cs="Times New Roman"/>
                <w:color w:val="auto"/>
                <w:sz w:val="24"/>
              </w:rPr>
              <w:t>Leq）计算公式</w:t>
            </w:r>
          </w:p>
          <w:p w14:paraId="19433E21">
            <w:pPr>
              <w:keepNext w:val="0"/>
              <w:keepLines w:val="0"/>
              <w:suppressLineNumbers w:val="0"/>
              <w:spacing w:before="0" w:beforeAutospacing="0" w:after="0" w:afterAutospacing="0" w:line="480" w:lineRule="exact"/>
              <w:ind w:left="0" w:right="0"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pict>
                <v:shape id="对象 102" o:spid="_x0000_s1032" o:spt="75" type="#_x0000_t75" style="position:absolute;left:0pt;margin-left:113.5pt;margin-top:5.7pt;height:22.85pt;width:155.55pt;z-index:-251644928;mso-width-relative:page;mso-height-relative:page;" o:ole="t" filled="f" o:preferrelative="t" stroked="f" coordsize="21600,21600">
                  <v:path/>
                  <v:fill on="f" focussize="0,0"/>
                  <v:stroke on="f"/>
                  <v:imagedata r:id="rId21" o:title=""/>
                  <o:lock v:ext="edit" aspectratio="t"/>
                </v:shape>
                <o:OLEObject Type="Embed" ProgID="Equation.3" ShapeID="对象 102" DrawAspect="Content" ObjectID="_1468075727" r:id="rId20">
                  <o:LockedField>false</o:LockedField>
                </o:OLEObject>
              </w:pict>
            </w:r>
          </w:p>
          <w:p w14:paraId="11971BB2">
            <w:pPr>
              <w:keepNext w:val="0"/>
              <w:keepLines w:val="0"/>
              <w:suppressLineNumbers w:val="0"/>
              <w:spacing w:before="0" w:beforeAutospacing="0" w:after="0" w:afterAutospacing="0" w:line="480" w:lineRule="exact"/>
              <w:ind w:left="0" w:right="0"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式中：</w:t>
            </w:r>
          </w:p>
          <w:p w14:paraId="6168F618">
            <w:pPr>
              <w:keepNext w:val="0"/>
              <w:keepLines w:val="0"/>
              <w:suppressLineNumbers w:val="0"/>
              <w:spacing w:before="0" w:beforeAutospacing="0" w:after="0" w:afterAutospacing="0" w:line="480" w:lineRule="exact"/>
              <w:ind w:left="0" w:right="0" w:firstLine="960" w:firstLineChars="4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L</w:t>
            </w:r>
            <w:r>
              <w:rPr>
                <w:rFonts w:hint="default" w:ascii="Times New Roman" w:hAnsi="Times New Roman" w:eastAsia="宋体" w:cs="Times New Roman"/>
                <w:color w:val="auto"/>
                <w:sz w:val="24"/>
                <w:vertAlign w:val="subscript"/>
              </w:rPr>
              <w:t>eqg</w:t>
            </w:r>
            <w:r>
              <w:rPr>
                <w:rFonts w:hint="default" w:ascii="Times New Roman" w:hAnsi="Times New Roman" w:eastAsia="宋体" w:cs="Times New Roman"/>
                <w:color w:val="auto"/>
                <w:sz w:val="24"/>
              </w:rPr>
              <w:t>—建设项目声源在预测点的等效声级贡献值，dB</w:t>
            </w:r>
            <w:r>
              <w:rPr>
                <w:rFonts w:hint="default" w:ascii="Times New Roman" w:hAnsi="Times New Roman" w:cs="Times New Roman"/>
                <w:color w:val="auto"/>
                <w:sz w:val="24"/>
                <w:lang w:eastAsia="zh-CN"/>
              </w:rPr>
              <w:t>（</w:t>
            </w:r>
            <w:r>
              <w:rPr>
                <w:rFonts w:hint="default" w:ascii="Times New Roman" w:hAnsi="Times New Roman" w:eastAsia="宋体" w:cs="Times New Roman"/>
                <w:color w:val="auto"/>
                <w:sz w:val="24"/>
              </w:rPr>
              <w:t>A）；</w:t>
            </w:r>
          </w:p>
          <w:p w14:paraId="5CF66BC1">
            <w:pPr>
              <w:keepNext w:val="0"/>
              <w:keepLines w:val="0"/>
              <w:suppressLineNumbers w:val="0"/>
              <w:spacing w:before="0" w:beforeAutospacing="0" w:after="0" w:afterAutospacing="0" w:line="480" w:lineRule="exact"/>
              <w:ind w:left="0" w:right="0" w:firstLine="960" w:firstLineChars="4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L</w:t>
            </w:r>
            <w:r>
              <w:rPr>
                <w:rFonts w:hint="default" w:ascii="Times New Roman" w:hAnsi="Times New Roman" w:eastAsia="宋体" w:cs="Times New Roman"/>
                <w:color w:val="auto"/>
                <w:sz w:val="24"/>
                <w:vertAlign w:val="subscript"/>
              </w:rPr>
              <w:t>eqb</w:t>
            </w:r>
            <w:r>
              <w:rPr>
                <w:rFonts w:hint="default" w:ascii="Times New Roman" w:hAnsi="Times New Roman" w:eastAsia="宋体" w:cs="Times New Roman"/>
                <w:color w:val="auto"/>
                <w:sz w:val="24"/>
              </w:rPr>
              <w:t>—预测点的背景值，dB</w:t>
            </w:r>
            <w:r>
              <w:rPr>
                <w:rFonts w:hint="default" w:ascii="Times New Roman" w:hAnsi="Times New Roman" w:cs="Times New Roman"/>
                <w:color w:val="auto"/>
                <w:sz w:val="24"/>
                <w:lang w:eastAsia="zh-CN"/>
              </w:rPr>
              <w:t>（</w:t>
            </w:r>
            <w:r>
              <w:rPr>
                <w:rFonts w:hint="default" w:ascii="Times New Roman" w:hAnsi="Times New Roman" w:eastAsia="宋体" w:cs="Times New Roman"/>
                <w:color w:val="auto"/>
                <w:sz w:val="24"/>
              </w:rPr>
              <w:t>A）</w:t>
            </w:r>
          </w:p>
          <w:p w14:paraId="619864EB">
            <w:pPr>
              <w:keepNext w:val="0"/>
              <w:keepLines w:val="0"/>
              <w:suppressLineNumbers w:val="0"/>
              <w:spacing w:before="0" w:beforeAutospacing="0" w:after="0" w:afterAutospacing="0" w:line="480" w:lineRule="exact"/>
              <w:ind w:left="0" w:right="0"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3）户外声传播衰减计算公式</w:t>
            </w:r>
          </w:p>
          <w:p w14:paraId="7B26447B">
            <w:pPr>
              <w:keepNext w:val="0"/>
              <w:keepLines w:val="0"/>
              <w:suppressLineNumbers w:val="0"/>
              <w:spacing w:before="0" w:beforeAutospacing="0" w:after="0" w:afterAutospacing="0" w:line="480" w:lineRule="exact"/>
              <w:ind w:left="0" w:right="0"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户外声传播衰减包括几何发散（A</w:t>
            </w:r>
            <w:r>
              <w:rPr>
                <w:rFonts w:hint="default" w:ascii="Times New Roman" w:hAnsi="Times New Roman" w:eastAsia="宋体" w:cs="Times New Roman"/>
                <w:color w:val="auto"/>
                <w:sz w:val="24"/>
                <w:vertAlign w:val="subscript"/>
              </w:rPr>
              <w:t>div</w:t>
            </w:r>
            <w:r>
              <w:rPr>
                <w:rFonts w:hint="default" w:ascii="Times New Roman" w:hAnsi="Times New Roman" w:eastAsia="宋体" w:cs="Times New Roman"/>
                <w:color w:val="auto"/>
                <w:sz w:val="24"/>
              </w:rPr>
              <w:t>）、大气吸收（A</w:t>
            </w:r>
            <w:r>
              <w:rPr>
                <w:rFonts w:hint="default" w:ascii="Times New Roman" w:hAnsi="Times New Roman" w:eastAsia="宋体" w:cs="Times New Roman"/>
                <w:color w:val="auto"/>
                <w:sz w:val="24"/>
                <w:vertAlign w:val="subscript"/>
              </w:rPr>
              <w:t>atm</w:t>
            </w:r>
            <w:r>
              <w:rPr>
                <w:rFonts w:hint="default" w:ascii="Times New Roman" w:hAnsi="Times New Roman" w:eastAsia="宋体" w:cs="Times New Roman"/>
                <w:color w:val="auto"/>
                <w:sz w:val="24"/>
              </w:rPr>
              <w:t>）、地面效应（A</w:t>
            </w:r>
            <w:r>
              <w:rPr>
                <w:rFonts w:hint="default" w:ascii="Times New Roman" w:hAnsi="Times New Roman" w:eastAsia="宋体" w:cs="Times New Roman"/>
                <w:color w:val="auto"/>
                <w:sz w:val="24"/>
                <w:vertAlign w:val="subscript"/>
              </w:rPr>
              <w:t>gr</w:t>
            </w:r>
            <w:r>
              <w:rPr>
                <w:rFonts w:hint="default" w:ascii="Times New Roman" w:hAnsi="Times New Roman" w:eastAsia="宋体" w:cs="Times New Roman"/>
                <w:color w:val="auto"/>
                <w:sz w:val="24"/>
              </w:rPr>
              <w:t>）、屏障屏蔽（A</w:t>
            </w:r>
            <w:r>
              <w:rPr>
                <w:rFonts w:hint="default" w:ascii="Times New Roman" w:hAnsi="Times New Roman" w:eastAsia="宋体" w:cs="Times New Roman"/>
                <w:color w:val="auto"/>
                <w:sz w:val="24"/>
                <w:vertAlign w:val="subscript"/>
              </w:rPr>
              <w:t>bar</w:t>
            </w:r>
            <w:r>
              <w:rPr>
                <w:rFonts w:hint="default" w:ascii="Times New Roman" w:hAnsi="Times New Roman" w:eastAsia="宋体" w:cs="Times New Roman"/>
                <w:color w:val="auto"/>
                <w:sz w:val="24"/>
              </w:rPr>
              <w:t>）、其他多方面效应（A</w:t>
            </w:r>
            <w:r>
              <w:rPr>
                <w:rFonts w:hint="default" w:ascii="Times New Roman" w:hAnsi="Times New Roman" w:eastAsia="宋体" w:cs="Times New Roman"/>
                <w:color w:val="auto"/>
                <w:sz w:val="24"/>
                <w:vertAlign w:val="subscript"/>
              </w:rPr>
              <w:t>misc</w:t>
            </w:r>
            <w:r>
              <w:rPr>
                <w:rFonts w:hint="default" w:ascii="Times New Roman" w:hAnsi="Times New Roman" w:eastAsia="宋体" w:cs="Times New Roman"/>
                <w:color w:val="auto"/>
                <w:sz w:val="24"/>
              </w:rPr>
              <w:t>）引起的衰减。</w:t>
            </w:r>
          </w:p>
          <w:p w14:paraId="00ABD71E">
            <w:pPr>
              <w:keepNext w:val="0"/>
              <w:keepLines w:val="0"/>
              <w:suppressLineNumbers w:val="0"/>
              <w:spacing w:before="0" w:beforeAutospacing="0" w:after="0" w:afterAutospacing="0" w:line="480" w:lineRule="exact"/>
              <w:ind w:left="0" w:right="0"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距声源点r处的A声级按下式计算：</w:t>
            </w:r>
          </w:p>
          <w:p w14:paraId="47775F47">
            <w:pPr>
              <w:keepNext w:val="0"/>
              <w:keepLines w:val="0"/>
              <w:suppressLineNumbers w:val="0"/>
              <w:spacing w:before="80" w:beforeAutospacing="0" w:after="0" w:afterAutospacing="0"/>
              <w:ind w:left="0" w:right="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rPr>
              <w:drawing>
                <wp:inline distT="0" distB="0" distL="114300" distR="114300">
                  <wp:extent cx="3502660" cy="276860"/>
                  <wp:effectExtent l="0" t="0" r="2540" b="8890"/>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22"/>
                          <a:stretch>
                            <a:fillRect/>
                          </a:stretch>
                        </pic:blipFill>
                        <pic:spPr>
                          <a:xfrm>
                            <a:off x="0" y="0"/>
                            <a:ext cx="3502660" cy="276860"/>
                          </a:xfrm>
                          <a:prstGeom prst="rect">
                            <a:avLst/>
                          </a:prstGeom>
                          <a:noFill/>
                          <a:ln>
                            <a:noFill/>
                          </a:ln>
                        </pic:spPr>
                      </pic:pic>
                    </a:graphicData>
                  </a:graphic>
                </wp:inline>
              </w:drawing>
            </w:r>
          </w:p>
          <w:p w14:paraId="45D6DEA1">
            <w:pPr>
              <w:keepNext w:val="0"/>
              <w:keepLines w:val="0"/>
              <w:suppressLineNumbers w:val="0"/>
              <w:spacing w:before="0" w:beforeAutospacing="0" w:after="0" w:afterAutospacing="0" w:line="480" w:lineRule="exact"/>
              <w:ind w:left="0" w:right="0"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式中：L</w:t>
            </w:r>
            <w:r>
              <w:rPr>
                <w:rFonts w:hint="default" w:ascii="Times New Roman" w:hAnsi="Times New Roman" w:eastAsia="宋体" w:cs="Times New Roman"/>
                <w:color w:val="auto"/>
                <w:sz w:val="24"/>
                <w:vertAlign w:val="subscript"/>
              </w:rPr>
              <w:t>p</w:t>
            </w:r>
            <w:r>
              <w:rPr>
                <w:rFonts w:hint="default" w:ascii="Times New Roman" w:hAnsi="Times New Roman" w:cs="Times New Roman"/>
                <w:color w:val="auto"/>
                <w:sz w:val="24"/>
                <w:lang w:eastAsia="zh-CN"/>
              </w:rPr>
              <w:t>（</w:t>
            </w:r>
            <w:r>
              <w:rPr>
                <w:rFonts w:hint="default" w:ascii="Times New Roman" w:hAnsi="Times New Roman" w:eastAsia="宋体" w:cs="Times New Roman"/>
                <w:color w:val="auto"/>
                <w:sz w:val="24"/>
              </w:rPr>
              <w:t>r）—预测点处声压级，dB；</w:t>
            </w:r>
          </w:p>
          <w:p w14:paraId="01FA5DEA">
            <w:pPr>
              <w:keepNext w:val="0"/>
              <w:keepLines w:val="0"/>
              <w:suppressLineNumbers w:val="0"/>
              <w:spacing w:before="0" w:beforeAutospacing="0" w:after="0" w:afterAutospacing="0" w:line="480" w:lineRule="exact"/>
              <w:ind w:left="0" w:right="0" w:firstLine="1200" w:firstLineChars="5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L</w:t>
            </w:r>
            <w:r>
              <w:rPr>
                <w:rFonts w:hint="default" w:ascii="Times New Roman" w:hAnsi="Times New Roman" w:eastAsia="宋体" w:cs="Times New Roman"/>
                <w:color w:val="auto"/>
                <w:sz w:val="24"/>
                <w:vertAlign w:val="subscript"/>
              </w:rPr>
              <w:t>w</w:t>
            </w:r>
            <w:r>
              <w:rPr>
                <w:rFonts w:hint="default" w:ascii="Times New Roman" w:hAnsi="Times New Roman" w:eastAsia="宋体" w:cs="Times New Roman"/>
                <w:color w:val="auto"/>
                <w:sz w:val="24"/>
              </w:rPr>
              <w:t>—由点声源产生的声功率级（A计权或倍频带），dB；</w:t>
            </w:r>
          </w:p>
          <w:p w14:paraId="21FA60C0">
            <w:pPr>
              <w:keepNext w:val="0"/>
              <w:keepLines w:val="0"/>
              <w:suppressLineNumbers w:val="0"/>
              <w:spacing w:before="0" w:beforeAutospacing="0" w:after="0" w:afterAutospacing="0" w:line="480" w:lineRule="exact"/>
              <w:ind w:left="0" w:right="0" w:firstLine="1200" w:firstLineChars="5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D</w:t>
            </w:r>
            <w:r>
              <w:rPr>
                <w:rFonts w:hint="default" w:ascii="Times New Roman" w:hAnsi="Times New Roman" w:eastAsia="宋体" w:cs="Times New Roman"/>
                <w:color w:val="auto"/>
                <w:sz w:val="24"/>
                <w:vertAlign w:val="subscript"/>
              </w:rPr>
              <w:t>C</w:t>
            </w:r>
            <w:r>
              <w:rPr>
                <w:rFonts w:hint="default" w:ascii="Times New Roman" w:hAnsi="Times New Roman" w:eastAsia="宋体" w:cs="Times New Roman"/>
                <w:color w:val="auto"/>
                <w:sz w:val="24"/>
              </w:rPr>
              <w:t>—指向性校正，它描述点声源的等效连续声压级与产生声功率级Lw的全向点声源在规定方向的声级的偏差程度，dB；</w:t>
            </w:r>
          </w:p>
          <w:p w14:paraId="46299025">
            <w:pPr>
              <w:keepNext w:val="0"/>
              <w:keepLines w:val="0"/>
              <w:suppressLineNumbers w:val="0"/>
              <w:spacing w:before="0" w:beforeAutospacing="0" w:after="0" w:afterAutospacing="0" w:line="480" w:lineRule="exact"/>
              <w:ind w:left="0" w:right="0" w:firstLine="1200" w:firstLineChars="5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A</w:t>
            </w:r>
            <w:r>
              <w:rPr>
                <w:rFonts w:hint="default" w:ascii="Times New Roman" w:hAnsi="Times New Roman" w:eastAsia="宋体" w:cs="Times New Roman"/>
                <w:color w:val="auto"/>
                <w:sz w:val="24"/>
                <w:vertAlign w:val="subscript"/>
              </w:rPr>
              <w:t>div</w:t>
            </w:r>
            <w:r>
              <w:rPr>
                <w:rFonts w:hint="default" w:ascii="Times New Roman" w:hAnsi="Times New Roman" w:eastAsia="宋体" w:cs="Times New Roman"/>
                <w:color w:val="auto"/>
                <w:sz w:val="24"/>
              </w:rPr>
              <w:t>—几何发散引起的衰减，dB；</w:t>
            </w:r>
          </w:p>
          <w:p w14:paraId="60C8D970">
            <w:pPr>
              <w:keepNext w:val="0"/>
              <w:keepLines w:val="0"/>
              <w:suppressLineNumbers w:val="0"/>
              <w:spacing w:before="0" w:beforeAutospacing="0" w:after="0" w:afterAutospacing="0" w:line="480" w:lineRule="exact"/>
              <w:ind w:left="0" w:right="0" w:firstLine="1200" w:firstLineChars="5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A</w:t>
            </w:r>
            <w:r>
              <w:rPr>
                <w:rFonts w:hint="default" w:ascii="Times New Roman" w:hAnsi="Times New Roman" w:eastAsia="宋体" w:cs="Times New Roman"/>
                <w:color w:val="auto"/>
                <w:sz w:val="24"/>
                <w:vertAlign w:val="subscript"/>
              </w:rPr>
              <w:t>atm</w:t>
            </w:r>
            <w:r>
              <w:rPr>
                <w:rFonts w:hint="default" w:ascii="Times New Roman" w:hAnsi="Times New Roman" w:eastAsia="宋体" w:cs="Times New Roman"/>
                <w:color w:val="auto"/>
                <w:sz w:val="24"/>
              </w:rPr>
              <w:t>—大气吸收引起的衰减，dB；</w:t>
            </w:r>
          </w:p>
          <w:p w14:paraId="1AE71475">
            <w:pPr>
              <w:keepNext w:val="0"/>
              <w:keepLines w:val="0"/>
              <w:suppressLineNumbers w:val="0"/>
              <w:spacing w:before="0" w:beforeAutospacing="0" w:after="0" w:afterAutospacing="0" w:line="480" w:lineRule="exact"/>
              <w:ind w:left="0" w:right="0" w:firstLine="1200" w:firstLineChars="5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A</w:t>
            </w:r>
            <w:r>
              <w:rPr>
                <w:rFonts w:hint="default" w:ascii="Times New Roman" w:hAnsi="Times New Roman" w:eastAsia="宋体" w:cs="Times New Roman"/>
                <w:color w:val="auto"/>
                <w:sz w:val="24"/>
                <w:vertAlign w:val="subscript"/>
              </w:rPr>
              <w:t>gr</w:t>
            </w:r>
            <w:r>
              <w:rPr>
                <w:rFonts w:hint="default" w:ascii="Times New Roman" w:hAnsi="Times New Roman" w:eastAsia="宋体" w:cs="Times New Roman"/>
                <w:color w:val="auto"/>
                <w:sz w:val="24"/>
              </w:rPr>
              <w:t>—地面效应引起的衰减，dB；</w:t>
            </w:r>
          </w:p>
          <w:p w14:paraId="3BAB33F5">
            <w:pPr>
              <w:keepNext w:val="0"/>
              <w:keepLines w:val="0"/>
              <w:suppressLineNumbers w:val="0"/>
              <w:spacing w:before="0" w:beforeAutospacing="0" w:after="0" w:afterAutospacing="0" w:line="480" w:lineRule="exact"/>
              <w:ind w:left="0" w:right="0" w:firstLine="1200" w:firstLineChars="5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A</w:t>
            </w:r>
            <w:r>
              <w:rPr>
                <w:rFonts w:hint="default" w:ascii="Times New Roman" w:hAnsi="Times New Roman" w:eastAsia="宋体" w:cs="Times New Roman"/>
                <w:color w:val="auto"/>
                <w:sz w:val="24"/>
                <w:vertAlign w:val="subscript"/>
              </w:rPr>
              <w:t>bar</w:t>
            </w:r>
            <w:r>
              <w:rPr>
                <w:rFonts w:hint="default" w:ascii="Times New Roman" w:hAnsi="Times New Roman" w:eastAsia="宋体" w:cs="Times New Roman"/>
                <w:color w:val="auto"/>
                <w:sz w:val="24"/>
              </w:rPr>
              <w:t>—障碍物屏蔽引起的衰减，dB；</w:t>
            </w:r>
          </w:p>
          <w:p w14:paraId="1BDC6EB1">
            <w:pPr>
              <w:keepNext w:val="0"/>
              <w:keepLines w:val="0"/>
              <w:suppressLineNumbers w:val="0"/>
              <w:spacing w:before="0" w:beforeAutospacing="0" w:after="0" w:afterAutospacing="0" w:line="480" w:lineRule="exact"/>
              <w:ind w:left="0" w:right="0" w:firstLine="1200" w:firstLineChars="5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A</w:t>
            </w:r>
            <w:r>
              <w:rPr>
                <w:rFonts w:hint="default" w:ascii="Times New Roman" w:hAnsi="Times New Roman" w:eastAsia="宋体" w:cs="Times New Roman"/>
                <w:color w:val="auto"/>
                <w:sz w:val="24"/>
                <w:vertAlign w:val="subscript"/>
              </w:rPr>
              <w:t>misc</w:t>
            </w:r>
            <w:r>
              <w:rPr>
                <w:rFonts w:hint="default" w:ascii="Times New Roman" w:hAnsi="Times New Roman" w:eastAsia="宋体" w:cs="Times New Roman"/>
                <w:color w:val="auto"/>
                <w:sz w:val="24"/>
              </w:rPr>
              <w:t>—其他多方面效应引起的衰减，dB。</w:t>
            </w:r>
          </w:p>
          <w:p w14:paraId="5697CEBE">
            <w:pPr>
              <w:keepNext w:val="0"/>
              <w:keepLines w:val="0"/>
              <w:suppressLineNumbers w:val="0"/>
              <w:spacing w:before="0" w:beforeAutospacing="0" w:after="0" w:afterAutospacing="0" w:line="480" w:lineRule="exact"/>
              <w:ind w:left="0" w:right="0"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4）噪声距离衰减公式</w:t>
            </w:r>
          </w:p>
          <w:p w14:paraId="264EA7C0">
            <w:pPr>
              <w:keepNext w:val="0"/>
              <w:keepLines w:val="0"/>
              <w:suppressLineNumbers w:val="0"/>
              <w:spacing w:before="80" w:beforeAutospacing="0" w:after="0" w:afterAutospacing="0"/>
              <w:ind w:left="0" w:right="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rPr>
              <w:drawing>
                <wp:inline distT="0" distB="0" distL="114300" distR="114300">
                  <wp:extent cx="1957705" cy="309245"/>
                  <wp:effectExtent l="0" t="0" r="4445" b="14605"/>
                  <wp:docPr id="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pic:cNvPicPr>
                            <a:picLocks noChangeAspect="1"/>
                          </pic:cNvPicPr>
                        </pic:nvPicPr>
                        <pic:blipFill>
                          <a:blip r:embed="rId23"/>
                          <a:stretch>
                            <a:fillRect/>
                          </a:stretch>
                        </pic:blipFill>
                        <pic:spPr>
                          <a:xfrm>
                            <a:off x="0" y="0"/>
                            <a:ext cx="1957705" cy="309245"/>
                          </a:xfrm>
                          <a:prstGeom prst="rect">
                            <a:avLst/>
                          </a:prstGeom>
                          <a:noFill/>
                          <a:ln>
                            <a:noFill/>
                          </a:ln>
                        </pic:spPr>
                      </pic:pic>
                    </a:graphicData>
                  </a:graphic>
                </wp:inline>
              </w:drawing>
            </w:r>
          </w:p>
          <w:p w14:paraId="1C51E1E7">
            <w:pPr>
              <w:keepNext w:val="0"/>
              <w:keepLines w:val="0"/>
              <w:suppressLineNumbers w:val="0"/>
              <w:spacing w:before="0" w:beforeAutospacing="0" w:after="0" w:afterAutospacing="0" w:line="480" w:lineRule="exact"/>
              <w:ind w:left="0" w:right="0"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式中：L</w:t>
            </w:r>
            <w:r>
              <w:rPr>
                <w:rFonts w:hint="default" w:ascii="Times New Roman" w:hAnsi="Times New Roman" w:eastAsia="宋体" w:cs="Times New Roman"/>
                <w:color w:val="auto"/>
                <w:sz w:val="24"/>
                <w:vertAlign w:val="subscript"/>
              </w:rPr>
              <w:t>p</w:t>
            </w:r>
            <w:r>
              <w:rPr>
                <w:rFonts w:hint="default" w:ascii="Times New Roman" w:hAnsi="Times New Roman" w:cs="Times New Roman"/>
                <w:color w:val="auto"/>
                <w:sz w:val="24"/>
                <w:lang w:eastAsia="zh-CN"/>
              </w:rPr>
              <w:t>（</w:t>
            </w:r>
            <w:r>
              <w:rPr>
                <w:rFonts w:hint="default" w:ascii="Times New Roman" w:hAnsi="Times New Roman" w:eastAsia="宋体" w:cs="Times New Roman"/>
                <w:color w:val="auto"/>
                <w:sz w:val="24"/>
              </w:rPr>
              <w:t>r）—预测点处声压级，dB；</w:t>
            </w:r>
          </w:p>
          <w:p w14:paraId="7A7C5B39">
            <w:pPr>
              <w:keepNext w:val="0"/>
              <w:keepLines w:val="0"/>
              <w:suppressLineNumbers w:val="0"/>
              <w:spacing w:before="0" w:beforeAutospacing="0" w:after="0" w:afterAutospacing="0" w:line="480" w:lineRule="exact"/>
              <w:ind w:left="0" w:right="0" w:firstLine="1200" w:firstLineChars="5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L</w:t>
            </w:r>
            <w:r>
              <w:rPr>
                <w:rFonts w:hint="default" w:ascii="Times New Roman" w:hAnsi="Times New Roman" w:eastAsia="宋体" w:cs="Times New Roman"/>
                <w:color w:val="auto"/>
                <w:sz w:val="24"/>
                <w:vertAlign w:val="subscript"/>
              </w:rPr>
              <w:t>p</w:t>
            </w:r>
            <w:r>
              <w:rPr>
                <w:rFonts w:hint="default" w:ascii="Times New Roman" w:hAnsi="Times New Roman" w:cs="Times New Roman"/>
                <w:color w:val="auto"/>
                <w:sz w:val="24"/>
                <w:lang w:eastAsia="zh-CN"/>
              </w:rPr>
              <w:t>（</w:t>
            </w:r>
            <w:r>
              <w:rPr>
                <w:rFonts w:hint="default" w:ascii="Times New Roman" w:hAnsi="Times New Roman" w:eastAsia="宋体" w:cs="Times New Roman"/>
                <w:color w:val="auto"/>
                <w:sz w:val="24"/>
              </w:rPr>
              <w:t>r</w:t>
            </w:r>
            <w:r>
              <w:rPr>
                <w:rFonts w:hint="default" w:ascii="Times New Roman" w:hAnsi="Times New Roman" w:eastAsia="宋体" w:cs="Times New Roman"/>
                <w:color w:val="auto"/>
                <w:sz w:val="24"/>
                <w:vertAlign w:val="subscript"/>
              </w:rPr>
              <w:t>0</w:t>
            </w:r>
            <w:r>
              <w:rPr>
                <w:rFonts w:hint="default" w:ascii="Times New Roman" w:hAnsi="Times New Roman" w:eastAsia="宋体" w:cs="Times New Roman"/>
                <w:color w:val="auto"/>
                <w:sz w:val="24"/>
              </w:rPr>
              <w:t>）—参考位置r</w:t>
            </w:r>
            <w:r>
              <w:rPr>
                <w:rFonts w:hint="default" w:ascii="Times New Roman" w:hAnsi="Times New Roman" w:eastAsia="宋体" w:cs="Times New Roman"/>
                <w:color w:val="auto"/>
                <w:sz w:val="24"/>
                <w:vertAlign w:val="subscript"/>
              </w:rPr>
              <w:t>0</w:t>
            </w:r>
            <w:r>
              <w:rPr>
                <w:rFonts w:hint="default" w:ascii="Times New Roman" w:hAnsi="Times New Roman" w:eastAsia="宋体" w:cs="Times New Roman"/>
                <w:color w:val="auto"/>
                <w:sz w:val="24"/>
              </w:rPr>
              <w:t>处的声压级，dB；</w:t>
            </w:r>
          </w:p>
          <w:p w14:paraId="3D0AAC8D">
            <w:pPr>
              <w:keepNext w:val="0"/>
              <w:keepLines w:val="0"/>
              <w:suppressLineNumbers w:val="0"/>
              <w:spacing w:before="0" w:beforeAutospacing="0" w:after="0" w:afterAutospacing="0" w:line="480" w:lineRule="exact"/>
              <w:ind w:left="0" w:right="0" w:firstLine="1200" w:firstLineChars="5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r—预测点距声源的距离；</w:t>
            </w:r>
          </w:p>
          <w:p w14:paraId="2685FD6B">
            <w:pPr>
              <w:keepNext w:val="0"/>
              <w:keepLines w:val="0"/>
              <w:suppressLineNumbers w:val="0"/>
              <w:spacing w:before="0" w:beforeAutospacing="0" w:after="0" w:afterAutospacing="0" w:line="480" w:lineRule="exact"/>
              <w:ind w:left="0" w:right="0" w:firstLine="1200" w:firstLineChars="5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r</w:t>
            </w:r>
            <w:r>
              <w:rPr>
                <w:rFonts w:hint="default" w:ascii="Times New Roman" w:hAnsi="Times New Roman" w:eastAsia="宋体" w:cs="Times New Roman"/>
                <w:color w:val="auto"/>
                <w:sz w:val="24"/>
                <w:vertAlign w:val="subscript"/>
              </w:rPr>
              <w:t>0</w:t>
            </w:r>
            <w:r>
              <w:rPr>
                <w:rFonts w:hint="default" w:ascii="Times New Roman" w:hAnsi="Times New Roman" w:eastAsia="宋体" w:cs="Times New Roman"/>
                <w:color w:val="auto"/>
                <w:sz w:val="24"/>
              </w:rPr>
              <w:t>—参考位置距声源的距离。</w:t>
            </w:r>
          </w:p>
          <w:p w14:paraId="6A54A7F8">
            <w:pPr>
              <w:keepNext w:val="0"/>
              <w:keepLines w:val="0"/>
              <w:suppressLineNumbers w:val="0"/>
              <w:spacing w:before="0" w:beforeAutospacing="0" w:after="0" w:afterAutospacing="0" w:line="480" w:lineRule="exact"/>
              <w:ind w:left="0" w:right="0"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根据预测模式及噪声源强参数及各噪声源距四周厂界的距离，预测噪声源对厂界四周的影响，具体结果见下表。</w:t>
            </w:r>
          </w:p>
          <w:p w14:paraId="493991CF">
            <w:pPr>
              <w:spacing w:line="480" w:lineRule="exact"/>
              <w:jc w:val="center"/>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表</w:t>
            </w:r>
            <w:r>
              <w:rPr>
                <w:rFonts w:hint="eastAsia" w:ascii="Times New Roman" w:hAnsi="Times New Roman" w:cs="Times New Roman"/>
                <w:b/>
                <w:bCs/>
                <w:color w:val="auto"/>
                <w:sz w:val="24"/>
                <w:szCs w:val="24"/>
                <w:lang w:val="en-US" w:eastAsia="zh-CN"/>
              </w:rPr>
              <w:t>25</w:t>
            </w:r>
            <w:r>
              <w:rPr>
                <w:rFonts w:hint="default" w:ascii="Times New Roman" w:hAnsi="Times New Roman" w:cs="Times New Roman"/>
                <w:b/>
                <w:bCs/>
                <w:color w:val="auto"/>
                <w:sz w:val="24"/>
                <w:szCs w:val="24"/>
              </w:rPr>
              <w:t>厂界噪声贡献值一览表单位：dB（A）</w:t>
            </w:r>
          </w:p>
          <w:tbl>
            <w:tblPr>
              <w:tblStyle w:val="3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4"/>
              <w:gridCol w:w="1250"/>
              <w:gridCol w:w="1604"/>
              <w:gridCol w:w="1667"/>
              <w:gridCol w:w="1360"/>
            </w:tblGrid>
            <w:tr w14:paraId="647E5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376" w:type="pct"/>
                  <w:vMerge w:val="restart"/>
                  <w:vAlign w:val="center"/>
                </w:tcPr>
                <w:p w14:paraId="304EBD49">
                  <w:pPr>
                    <w:spacing w:line="320" w:lineRule="exact"/>
                    <w:jc w:val="center"/>
                    <w:rPr>
                      <w:rFonts w:hint="default" w:ascii="Times New Roman" w:hAnsi="Times New Roman" w:cs="Times New Roman"/>
                      <w:color w:val="auto"/>
                      <w:sz w:val="21"/>
                      <w:szCs w:val="21"/>
                    </w:rPr>
                  </w:pPr>
                  <w:r>
                    <w:rPr>
                      <w:rFonts w:hint="default" w:ascii="Times New Roman" w:hAnsi="Times New Roman" w:cs="Times New Roman"/>
                      <w:b/>
                      <w:bCs/>
                      <w:color w:val="auto"/>
                      <w:sz w:val="21"/>
                      <w:szCs w:val="21"/>
                    </w:rPr>
                    <w:t>预测点位置</w:t>
                  </w:r>
                </w:p>
              </w:tc>
              <w:tc>
                <w:tcPr>
                  <w:tcW w:w="770" w:type="pct"/>
                  <w:vMerge w:val="restart"/>
                  <w:vAlign w:val="center"/>
                </w:tcPr>
                <w:p w14:paraId="250B807C">
                  <w:pPr>
                    <w:spacing w:line="320" w:lineRule="exac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车间距边界距离</w:t>
                  </w:r>
                </w:p>
              </w:tc>
              <w:tc>
                <w:tcPr>
                  <w:tcW w:w="988" w:type="pct"/>
                  <w:vMerge w:val="restart"/>
                  <w:vAlign w:val="center"/>
                </w:tcPr>
                <w:p w14:paraId="179DF459">
                  <w:pPr>
                    <w:spacing w:line="320" w:lineRule="exac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贡献值</w:t>
                  </w:r>
                </w:p>
              </w:tc>
              <w:tc>
                <w:tcPr>
                  <w:tcW w:w="1027" w:type="pct"/>
                  <w:vAlign w:val="center"/>
                </w:tcPr>
                <w:p w14:paraId="6F2DB7E1">
                  <w:pPr>
                    <w:spacing w:line="320" w:lineRule="exac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评价标准</w:t>
                  </w:r>
                </w:p>
              </w:tc>
              <w:tc>
                <w:tcPr>
                  <w:tcW w:w="837" w:type="pct"/>
                  <w:vMerge w:val="restart"/>
                  <w:vAlign w:val="center"/>
                </w:tcPr>
                <w:p w14:paraId="4B3AC9C9">
                  <w:pPr>
                    <w:spacing w:line="320" w:lineRule="exact"/>
                    <w:jc w:val="center"/>
                    <w:rPr>
                      <w:rFonts w:hint="default" w:ascii="Times New Roman" w:hAnsi="Times New Roman" w:cs="Times New Roman"/>
                      <w:color w:val="auto"/>
                      <w:sz w:val="21"/>
                      <w:szCs w:val="21"/>
                    </w:rPr>
                  </w:pPr>
                  <w:r>
                    <w:rPr>
                      <w:rFonts w:hint="default" w:ascii="Times New Roman" w:hAnsi="Times New Roman" w:cs="Times New Roman"/>
                      <w:b/>
                      <w:bCs/>
                      <w:color w:val="auto"/>
                      <w:sz w:val="21"/>
                      <w:szCs w:val="21"/>
                    </w:rPr>
                    <w:t>评价结果</w:t>
                  </w:r>
                </w:p>
              </w:tc>
            </w:tr>
            <w:tr w14:paraId="4A7240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376" w:type="pct"/>
                  <w:vMerge w:val="continue"/>
                  <w:vAlign w:val="center"/>
                </w:tcPr>
                <w:p w14:paraId="58EFA8CA">
                  <w:pPr>
                    <w:spacing w:line="320" w:lineRule="exact"/>
                    <w:jc w:val="center"/>
                    <w:rPr>
                      <w:rFonts w:hint="default" w:ascii="Times New Roman" w:hAnsi="Times New Roman" w:cs="Times New Roman"/>
                      <w:b/>
                      <w:bCs/>
                      <w:color w:val="auto"/>
                      <w:sz w:val="21"/>
                      <w:szCs w:val="21"/>
                    </w:rPr>
                  </w:pPr>
                </w:p>
              </w:tc>
              <w:tc>
                <w:tcPr>
                  <w:tcW w:w="770" w:type="pct"/>
                  <w:vMerge w:val="continue"/>
                  <w:vAlign w:val="center"/>
                </w:tcPr>
                <w:p w14:paraId="64E912C0">
                  <w:pPr>
                    <w:spacing w:line="320" w:lineRule="exact"/>
                    <w:jc w:val="center"/>
                    <w:rPr>
                      <w:rFonts w:hint="default" w:ascii="Times New Roman" w:hAnsi="Times New Roman" w:cs="Times New Roman"/>
                      <w:b/>
                      <w:bCs/>
                      <w:color w:val="auto"/>
                      <w:sz w:val="21"/>
                      <w:szCs w:val="21"/>
                    </w:rPr>
                  </w:pPr>
                </w:p>
              </w:tc>
              <w:tc>
                <w:tcPr>
                  <w:tcW w:w="988" w:type="pct"/>
                  <w:vMerge w:val="continue"/>
                  <w:vAlign w:val="center"/>
                </w:tcPr>
                <w:p w14:paraId="3DA5CE37">
                  <w:pPr>
                    <w:spacing w:line="320" w:lineRule="exact"/>
                    <w:jc w:val="center"/>
                    <w:rPr>
                      <w:rFonts w:hint="default" w:ascii="Times New Roman" w:hAnsi="Times New Roman" w:cs="Times New Roman"/>
                      <w:color w:val="auto"/>
                      <w:sz w:val="21"/>
                      <w:szCs w:val="21"/>
                    </w:rPr>
                  </w:pPr>
                </w:p>
              </w:tc>
              <w:tc>
                <w:tcPr>
                  <w:tcW w:w="1027" w:type="pct"/>
                  <w:vAlign w:val="center"/>
                </w:tcPr>
                <w:p w14:paraId="570D0E32">
                  <w:pPr>
                    <w:spacing w:line="32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昼间</w:t>
                  </w:r>
                </w:p>
              </w:tc>
              <w:tc>
                <w:tcPr>
                  <w:tcW w:w="837" w:type="pct"/>
                  <w:vMerge w:val="continue"/>
                  <w:vAlign w:val="center"/>
                </w:tcPr>
                <w:p w14:paraId="4F8AE181">
                  <w:pPr>
                    <w:spacing w:line="320" w:lineRule="exact"/>
                    <w:jc w:val="center"/>
                    <w:rPr>
                      <w:rFonts w:hint="default" w:ascii="Times New Roman" w:hAnsi="Times New Roman" w:cs="Times New Roman"/>
                      <w:b/>
                      <w:bCs/>
                      <w:color w:val="auto"/>
                      <w:sz w:val="21"/>
                      <w:szCs w:val="21"/>
                    </w:rPr>
                  </w:pPr>
                </w:p>
              </w:tc>
            </w:tr>
            <w:tr w14:paraId="05416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76" w:type="pct"/>
                  <w:vAlign w:val="center"/>
                </w:tcPr>
                <w:p w14:paraId="5D51F69C">
                  <w:pPr>
                    <w:spacing w:line="32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东厂界</w:t>
                  </w:r>
                </w:p>
              </w:tc>
              <w:tc>
                <w:tcPr>
                  <w:tcW w:w="770" w:type="pct"/>
                  <w:vAlign w:val="center"/>
                </w:tcPr>
                <w:p w14:paraId="427EA1F3">
                  <w:pPr>
                    <w:spacing w:line="320" w:lineRule="exact"/>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p>
              </w:tc>
              <w:tc>
                <w:tcPr>
                  <w:tcW w:w="988" w:type="pct"/>
                  <w:vAlign w:val="center"/>
                </w:tcPr>
                <w:p w14:paraId="2F17C08D">
                  <w:pPr>
                    <w:spacing w:line="320" w:lineRule="exact"/>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59.1</w:t>
                  </w:r>
                </w:p>
              </w:tc>
              <w:tc>
                <w:tcPr>
                  <w:tcW w:w="1027" w:type="pct"/>
                  <w:vAlign w:val="center"/>
                </w:tcPr>
                <w:p w14:paraId="4822AD43">
                  <w:pPr>
                    <w:spacing w:line="320" w:lineRule="exact"/>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60</w:t>
                  </w:r>
                </w:p>
              </w:tc>
              <w:tc>
                <w:tcPr>
                  <w:tcW w:w="837" w:type="pct"/>
                  <w:vAlign w:val="center"/>
                </w:tcPr>
                <w:p w14:paraId="40737A9D">
                  <w:pPr>
                    <w:spacing w:line="32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达标</w:t>
                  </w:r>
                </w:p>
              </w:tc>
            </w:tr>
            <w:tr w14:paraId="7EC19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376" w:type="pct"/>
                  <w:vAlign w:val="center"/>
                </w:tcPr>
                <w:p w14:paraId="4F1353BC">
                  <w:pPr>
                    <w:spacing w:line="32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南厂界</w:t>
                  </w:r>
                </w:p>
              </w:tc>
              <w:tc>
                <w:tcPr>
                  <w:tcW w:w="770" w:type="pct"/>
                  <w:vAlign w:val="center"/>
                </w:tcPr>
                <w:p w14:paraId="5AE2A31A">
                  <w:pPr>
                    <w:spacing w:line="320" w:lineRule="exact"/>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w:t>
                  </w:r>
                </w:p>
              </w:tc>
              <w:tc>
                <w:tcPr>
                  <w:tcW w:w="988" w:type="pct"/>
                  <w:vAlign w:val="center"/>
                </w:tcPr>
                <w:p w14:paraId="7B42776A">
                  <w:pPr>
                    <w:spacing w:line="320" w:lineRule="exact"/>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58.25</w:t>
                  </w:r>
                </w:p>
              </w:tc>
              <w:tc>
                <w:tcPr>
                  <w:tcW w:w="1027" w:type="pct"/>
                  <w:vAlign w:val="center"/>
                </w:tcPr>
                <w:p w14:paraId="606EDCEA">
                  <w:pPr>
                    <w:spacing w:line="320" w:lineRule="exact"/>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60</w:t>
                  </w:r>
                </w:p>
              </w:tc>
              <w:tc>
                <w:tcPr>
                  <w:tcW w:w="837" w:type="pct"/>
                  <w:vAlign w:val="center"/>
                </w:tcPr>
                <w:p w14:paraId="362BB0BD">
                  <w:pPr>
                    <w:spacing w:line="32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达标</w:t>
                  </w:r>
                </w:p>
              </w:tc>
            </w:tr>
            <w:tr w14:paraId="4C282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376" w:type="pct"/>
                  <w:vAlign w:val="center"/>
                </w:tcPr>
                <w:p w14:paraId="6C5E16B9">
                  <w:pPr>
                    <w:spacing w:line="32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西厂界</w:t>
                  </w:r>
                </w:p>
              </w:tc>
              <w:tc>
                <w:tcPr>
                  <w:tcW w:w="770" w:type="pct"/>
                  <w:vAlign w:val="center"/>
                </w:tcPr>
                <w:p w14:paraId="2DB817B1">
                  <w:pPr>
                    <w:spacing w:line="320" w:lineRule="exact"/>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w:t>
                  </w:r>
                </w:p>
              </w:tc>
              <w:tc>
                <w:tcPr>
                  <w:tcW w:w="988" w:type="pct"/>
                  <w:vAlign w:val="center"/>
                </w:tcPr>
                <w:p w14:paraId="39D4F3A7">
                  <w:pPr>
                    <w:spacing w:line="320" w:lineRule="exact"/>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59.15</w:t>
                  </w:r>
                </w:p>
              </w:tc>
              <w:tc>
                <w:tcPr>
                  <w:tcW w:w="1027" w:type="pct"/>
                  <w:vAlign w:val="center"/>
                </w:tcPr>
                <w:p w14:paraId="66E0B1CF">
                  <w:pPr>
                    <w:spacing w:line="320" w:lineRule="exact"/>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60</w:t>
                  </w:r>
                </w:p>
              </w:tc>
              <w:tc>
                <w:tcPr>
                  <w:tcW w:w="837" w:type="pct"/>
                  <w:vAlign w:val="center"/>
                </w:tcPr>
                <w:p w14:paraId="5E83405C">
                  <w:pPr>
                    <w:spacing w:line="32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达标</w:t>
                  </w:r>
                </w:p>
              </w:tc>
            </w:tr>
            <w:tr w14:paraId="278AD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376" w:type="pct"/>
                  <w:vAlign w:val="center"/>
                </w:tcPr>
                <w:p w14:paraId="2C97EEBB">
                  <w:pPr>
                    <w:spacing w:line="320" w:lineRule="exact"/>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北厂界</w:t>
                  </w:r>
                </w:p>
              </w:tc>
              <w:tc>
                <w:tcPr>
                  <w:tcW w:w="770" w:type="pct"/>
                  <w:vAlign w:val="center"/>
                </w:tcPr>
                <w:p w14:paraId="5DDB4F4E">
                  <w:pPr>
                    <w:spacing w:line="320" w:lineRule="exact"/>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p>
              </w:tc>
              <w:tc>
                <w:tcPr>
                  <w:tcW w:w="988" w:type="pct"/>
                  <w:vAlign w:val="center"/>
                </w:tcPr>
                <w:p w14:paraId="5C0FA21E">
                  <w:pPr>
                    <w:spacing w:line="320" w:lineRule="exact"/>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57.33</w:t>
                  </w:r>
                </w:p>
              </w:tc>
              <w:tc>
                <w:tcPr>
                  <w:tcW w:w="1027" w:type="pct"/>
                  <w:vAlign w:val="center"/>
                </w:tcPr>
                <w:p w14:paraId="589B7D3E">
                  <w:pPr>
                    <w:spacing w:line="320" w:lineRule="exact"/>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60</w:t>
                  </w:r>
                </w:p>
              </w:tc>
              <w:tc>
                <w:tcPr>
                  <w:tcW w:w="837" w:type="pct"/>
                  <w:vAlign w:val="center"/>
                </w:tcPr>
                <w:p w14:paraId="103D775C">
                  <w:pPr>
                    <w:spacing w:line="32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达标</w:t>
                  </w:r>
                </w:p>
              </w:tc>
            </w:tr>
          </w:tbl>
          <w:p w14:paraId="13CED9A4">
            <w:pPr>
              <w:spacing w:line="480" w:lineRule="atLeast"/>
              <w:ind w:firstLine="480" w:firstLineChars="200"/>
              <w:rPr>
                <w:rFonts w:hint="eastAsia" w:ascii="Times New Roman" w:hAnsi="Times New Roman" w:eastAsia="宋体" w:cs="Times New Roman"/>
                <w:color w:val="auto"/>
                <w:sz w:val="24"/>
                <w:szCs w:val="24"/>
                <w:lang w:eastAsia="zh-CN"/>
              </w:rPr>
            </w:pPr>
            <w:r>
              <w:rPr>
                <w:rFonts w:hint="default" w:ascii="Times New Roman" w:hAnsi="Times New Roman" w:cs="Times New Roman"/>
                <w:color w:val="000000" w:themeColor="text1"/>
                <w:sz w:val="24"/>
                <w:szCs w:val="24"/>
                <w14:textFill>
                  <w14:solidFill>
                    <w14:schemeClr w14:val="tx1"/>
                  </w14:solidFill>
                </w14:textFill>
              </w:rPr>
              <w:t>由上表可知，设备噪声昼间对厂界预测值的范围为</w:t>
            </w:r>
            <w:r>
              <w:rPr>
                <w:rFonts w:hint="eastAsia" w:ascii="Times New Roman" w:hAnsi="Times New Roman" w:cs="Times New Roman"/>
                <w:color w:val="000000" w:themeColor="text1"/>
                <w:sz w:val="24"/>
                <w:szCs w:val="24"/>
                <w:lang w:val="en-US" w:eastAsia="zh-CN"/>
                <w14:textFill>
                  <w14:solidFill>
                    <w14:schemeClr w14:val="tx1"/>
                  </w14:solidFill>
                </w14:textFill>
              </w:rPr>
              <w:t>57.33-59.15dB</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A</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，本项目对产生噪声设备采取了选用低噪声设备、基础减振、厂</w:t>
            </w:r>
            <w:r>
              <w:rPr>
                <w:rFonts w:hint="default" w:ascii="Times New Roman" w:hAnsi="Times New Roman" w:cs="Times New Roman"/>
                <w:color w:val="auto"/>
                <w:sz w:val="24"/>
                <w:szCs w:val="24"/>
              </w:rPr>
              <w:t>房隔声等措施后，厂界噪声符合《工业企业厂界环境噪声排放标准》</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GB12348-08</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表1中</w:t>
            </w:r>
            <w:r>
              <w:rPr>
                <w:rFonts w:hint="eastAsia" w:ascii="Times New Roman" w:hAnsi="Times New Roman" w:cs="Times New Roman"/>
                <w:color w:val="auto"/>
                <w:sz w:val="24"/>
                <w:szCs w:val="24"/>
                <w:lang w:val="en-US" w:eastAsia="zh-CN"/>
              </w:rPr>
              <w:t>2</w:t>
            </w:r>
            <w:r>
              <w:rPr>
                <w:rFonts w:hint="eastAsia" w:ascii="Times New Roman" w:hAnsi="Times New Roman" w:cs="Times New Roman"/>
                <w:color w:val="auto"/>
                <w:sz w:val="24"/>
                <w:szCs w:val="24"/>
                <w:lang w:eastAsia="zh-CN"/>
              </w:rPr>
              <w:t>类</w:t>
            </w:r>
            <w:r>
              <w:rPr>
                <w:rFonts w:hint="default" w:ascii="Times New Roman" w:hAnsi="Times New Roman" w:cs="Times New Roman"/>
                <w:color w:val="auto"/>
                <w:sz w:val="24"/>
                <w:szCs w:val="24"/>
              </w:rPr>
              <w:t>标准。</w:t>
            </w:r>
            <w:r>
              <w:rPr>
                <w:rFonts w:hint="eastAsia" w:ascii="Times New Roman" w:hAnsi="Times New Roman" w:cs="Times New Roman"/>
                <w:color w:val="auto"/>
                <w:sz w:val="24"/>
                <w:szCs w:val="24"/>
                <w:lang w:eastAsia="zh-CN"/>
              </w:rPr>
              <w:t>本项目夜间不生产。</w:t>
            </w:r>
          </w:p>
          <w:p w14:paraId="1B8C262D">
            <w:pPr>
              <w:spacing w:line="480" w:lineRule="atLeas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综上所述，项目不会对周围声环境产生明显影响。</w:t>
            </w:r>
          </w:p>
          <w:p w14:paraId="47F4168B">
            <w:pPr>
              <w:tabs>
                <w:tab w:val="left" w:pos="0"/>
              </w:tabs>
              <w:spacing w:line="480" w:lineRule="atLeast"/>
              <w:ind w:firstLine="480" w:firstLineChars="200"/>
              <w:rPr>
                <w:rFonts w:hint="default"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lang w:val="en-US" w:eastAsia="zh-CN" w:bidi="ar"/>
              </w:rPr>
              <w:t>2</w:t>
            </w:r>
            <w:r>
              <w:rPr>
                <w:rFonts w:hint="default" w:ascii="Times New Roman" w:hAnsi="Times New Roman" w:cs="Times New Roman"/>
                <w:color w:val="auto"/>
                <w:sz w:val="24"/>
                <w:szCs w:val="24"/>
                <w:lang w:bidi="ar"/>
              </w:rPr>
              <w:t>、</w:t>
            </w:r>
            <w:r>
              <w:rPr>
                <w:rFonts w:hint="default" w:ascii="Times New Roman" w:hAnsi="Times New Roman" w:cs="Times New Roman"/>
                <w:color w:val="auto"/>
                <w:sz w:val="24"/>
                <w:szCs w:val="24"/>
              </w:rPr>
              <w:t>监测频次</w:t>
            </w:r>
          </w:p>
          <w:p w14:paraId="247B47E3">
            <w:pPr>
              <w:tabs>
                <w:tab w:val="left" w:pos="0"/>
              </w:tabs>
              <w:spacing w:line="480" w:lineRule="atLeast"/>
              <w:ind w:firstLine="480" w:firstLineChars="200"/>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rPr>
              <w:t>该厂根据实际工作需要可委托当地检测公司，对本企业污染源、污染物进行监测。</w:t>
            </w:r>
            <w:r>
              <w:rPr>
                <w:rFonts w:hint="default" w:ascii="Times New Roman" w:hAnsi="Times New Roman" w:cs="Times New Roman"/>
                <w:sz w:val="24"/>
                <w:szCs w:val="24"/>
                <w:highlight w:val="none"/>
              </w:rPr>
              <w:t>《排污许可证申请与核发技术规范</w:t>
            </w:r>
            <w:r>
              <w:rPr>
                <w:rFonts w:hint="eastAsia" w:ascii="Times New Roman" w:hAnsi="Times New Roman" w:cs="Times New Roman"/>
                <w:sz w:val="24"/>
                <w:szCs w:val="24"/>
                <w:highlight w:val="none"/>
              </w:rPr>
              <w:t>工业噪声</w:t>
            </w:r>
            <w:r>
              <w:rPr>
                <w:rFonts w:hint="default" w:ascii="Times New Roman" w:hAnsi="Times New Roman" w:cs="Times New Roman"/>
                <w:sz w:val="24"/>
                <w:szCs w:val="24"/>
                <w:highlight w:val="none"/>
              </w:rPr>
              <w:t>》（HJ</w:t>
            </w:r>
            <w:r>
              <w:rPr>
                <w:rFonts w:hint="eastAsia" w:ascii="Times New Roman" w:hAnsi="Times New Roman" w:cs="Times New Roman"/>
                <w:sz w:val="24"/>
                <w:szCs w:val="24"/>
                <w:highlight w:val="none"/>
              </w:rPr>
              <w:t>1301</w:t>
            </w:r>
            <w:r>
              <w:rPr>
                <w:rFonts w:hint="default" w:ascii="Times New Roman" w:hAnsi="Times New Roman" w:cs="Times New Roman"/>
                <w:sz w:val="24"/>
                <w:szCs w:val="24"/>
                <w:highlight w:val="none"/>
              </w:rPr>
              <w:t>-20</w:t>
            </w:r>
            <w:r>
              <w:rPr>
                <w:rFonts w:hint="eastAsia" w:ascii="Times New Roman" w:hAnsi="Times New Roman" w:cs="Times New Roman"/>
                <w:sz w:val="24"/>
                <w:szCs w:val="24"/>
                <w:highlight w:val="none"/>
              </w:rPr>
              <w:t>23</w:t>
            </w:r>
            <w:r>
              <w:rPr>
                <w:rFonts w:hint="default" w:ascii="Times New Roman" w:hAnsi="Times New Roman" w:cs="Times New Roman"/>
                <w:sz w:val="24"/>
                <w:szCs w:val="24"/>
                <w:highlight w:val="none"/>
              </w:rPr>
              <w:t>）</w:t>
            </w:r>
            <w:r>
              <w:rPr>
                <w:rFonts w:hint="default" w:ascii="Times New Roman" w:hAnsi="Times New Roman" w:cs="Times New Roman"/>
                <w:color w:val="auto"/>
                <w:sz w:val="24"/>
                <w:szCs w:val="24"/>
              </w:rPr>
              <w:t>，项目噪声监测点位、监测频率情况见表</w:t>
            </w:r>
            <w:r>
              <w:rPr>
                <w:rFonts w:hint="eastAsia" w:ascii="Times New Roman" w:hAnsi="Times New Roman" w:cs="Times New Roman"/>
                <w:color w:val="auto"/>
                <w:sz w:val="24"/>
                <w:szCs w:val="24"/>
                <w:lang w:val="en-US" w:eastAsia="zh-CN"/>
              </w:rPr>
              <w:t>28</w:t>
            </w:r>
            <w:r>
              <w:rPr>
                <w:rFonts w:hint="default" w:ascii="Times New Roman" w:hAnsi="Times New Roman" w:cs="Times New Roman"/>
                <w:color w:val="auto"/>
                <w:sz w:val="24"/>
                <w:szCs w:val="24"/>
              </w:rPr>
              <w:t>。</w:t>
            </w:r>
          </w:p>
          <w:p w14:paraId="2CED87F1">
            <w:pPr>
              <w:spacing w:line="480" w:lineRule="atLeast"/>
              <w:jc w:val="center"/>
              <w:rPr>
                <w:rFonts w:hint="default" w:ascii="Times New Roman" w:hAnsi="Times New Roman" w:cs="Times New Roman"/>
                <w:color w:val="auto"/>
                <w:sz w:val="21"/>
                <w:szCs w:val="21"/>
              </w:rPr>
            </w:pPr>
            <w:r>
              <w:rPr>
                <w:rFonts w:hint="default" w:ascii="Times New Roman" w:hAnsi="Times New Roman" w:cs="Times New Roman"/>
                <w:b/>
                <w:bCs/>
                <w:color w:val="auto"/>
                <w:sz w:val="24"/>
                <w:szCs w:val="24"/>
              </w:rPr>
              <w:t>表</w:t>
            </w:r>
            <w:r>
              <w:rPr>
                <w:rFonts w:hint="eastAsia" w:ascii="Times New Roman" w:hAnsi="Times New Roman" w:cs="Times New Roman"/>
                <w:b/>
                <w:bCs/>
                <w:color w:val="auto"/>
                <w:sz w:val="24"/>
                <w:szCs w:val="24"/>
                <w:lang w:val="en-US" w:eastAsia="zh-CN"/>
              </w:rPr>
              <w:t>26</w:t>
            </w:r>
            <w:r>
              <w:rPr>
                <w:rFonts w:hint="default" w:ascii="Times New Roman" w:hAnsi="Times New Roman" w:cs="Times New Roman"/>
                <w:b/>
                <w:bCs/>
                <w:color w:val="auto"/>
                <w:sz w:val="24"/>
                <w:szCs w:val="24"/>
              </w:rPr>
              <w:t>噪声</w:t>
            </w:r>
            <w:r>
              <w:rPr>
                <w:rFonts w:hint="default" w:ascii="Times New Roman" w:hAnsi="Times New Roman" w:cs="Times New Roman" w:eastAsiaTheme="majorEastAsia"/>
                <w:b/>
                <w:color w:val="auto"/>
                <w:sz w:val="24"/>
                <w:szCs w:val="24"/>
              </w:rPr>
              <w:t>环境监测工作计划</w:t>
            </w:r>
          </w:p>
          <w:tbl>
            <w:tblPr>
              <w:tblStyle w:val="34"/>
              <w:tblW w:w="8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34" w:type="dxa"/>
                <w:bottom w:w="0" w:type="dxa"/>
                <w:right w:w="34" w:type="dxa"/>
              </w:tblCellMar>
            </w:tblPr>
            <w:tblGrid>
              <w:gridCol w:w="623"/>
              <w:gridCol w:w="1346"/>
              <w:gridCol w:w="1547"/>
              <w:gridCol w:w="1052"/>
              <w:gridCol w:w="3630"/>
            </w:tblGrid>
            <w:tr w14:paraId="41429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4" w:type="dxa"/>
                  <w:bottom w:w="0" w:type="dxa"/>
                  <w:right w:w="34" w:type="dxa"/>
                </w:tblCellMar>
              </w:tblPrEx>
              <w:trPr>
                <w:trHeight w:val="469" w:hRule="atLeast"/>
                <w:jc w:val="center"/>
              </w:trPr>
              <w:tc>
                <w:tcPr>
                  <w:tcW w:w="623" w:type="dxa"/>
                  <w:vAlign w:val="center"/>
                </w:tcPr>
                <w:p w14:paraId="502D86BC">
                  <w:pPr>
                    <w:spacing w:line="280" w:lineRule="atLeast"/>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类别</w:t>
                  </w:r>
                </w:p>
              </w:tc>
              <w:tc>
                <w:tcPr>
                  <w:tcW w:w="1346" w:type="dxa"/>
                  <w:vAlign w:val="center"/>
                </w:tcPr>
                <w:p w14:paraId="7F36C75F">
                  <w:pPr>
                    <w:spacing w:line="280" w:lineRule="atLeast"/>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监测位置</w:t>
                  </w:r>
                </w:p>
              </w:tc>
              <w:tc>
                <w:tcPr>
                  <w:tcW w:w="1547" w:type="dxa"/>
                  <w:vAlign w:val="center"/>
                </w:tcPr>
                <w:p w14:paraId="1E7902AE">
                  <w:pPr>
                    <w:spacing w:line="280" w:lineRule="atLeast"/>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监测因子</w:t>
                  </w:r>
                </w:p>
              </w:tc>
              <w:tc>
                <w:tcPr>
                  <w:tcW w:w="1052" w:type="dxa"/>
                  <w:vAlign w:val="center"/>
                </w:tcPr>
                <w:p w14:paraId="57DAD500">
                  <w:pPr>
                    <w:spacing w:line="280" w:lineRule="atLeast"/>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监测频率</w:t>
                  </w:r>
                </w:p>
              </w:tc>
              <w:tc>
                <w:tcPr>
                  <w:tcW w:w="3630" w:type="dxa"/>
                  <w:vAlign w:val="center"/>
                </w:tcPr>
                <w:p w14:paraId="5883EC9A">
                  <w:pPr>
                    <w:spacing w:line="280" w:lineRule="atLeast"/>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执行标准</w:t>
                  </w:r>
                </w:p>
              </w:tc>
            </w:tr>
            <w:tr w14:paraId="4A0A3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4" w:type="dxa"/>
                  <w:bottom w:w="0" w:type="dxa"/>
                  <w:right w:w="34" w:type="dxa"/>
                </w:tblCellMar>
              </w:tblPrEx>
              <w:trPr>
                <w:trHeight w:val="819" w:hRule="atLeast"/>
                <w:jc w:val="center"/>
              </w:trPr>
              <w:tc>
                <w:tcPr>
                  <w:tcW w:w="623" w:type="dxa"/>
                  <w:vAlign w:val="center"/>
                </w:tcPr>
                <w:p w14:paraId="2BEB5CA5">
                  <w:pPr>
                    <w:spacing w:line="28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噪声</w:t>
                  </w:r>
                </w:p>
              </w:tc>
              <w:tc>
                <w:tcPr>
                  <w:tcW w:w="1346" w:type="dxa"/>
                  <w:vAlign w:val="center"/>
                </w:tcPr>
                <w:p w14:paraId="2F8829E9">
                  <w:pPr>
                    <w:spacing w:line="28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厂界四周</w:t>
                  </w:r>
                </w:p>
              </w:tc>
              <w:tc>
                <w:tcPr>
                  <w:tcW w:w="1547" w:type="dxa"/>
                  <w:vAlign w:val="center"/>
                </w:tcPr>
                <w:p w14:paraId="3B8BE8D0">
                  <w:pPr>
                    <w:spacing w:line="28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等效连续A声级</w:t>
                  </w:r>
                </w:p>
              </w:tc>
              <w:tc>
                <w:tcPr>
                  <w:tcW w:w="1052" w:type="dxa"/>
                  <w:vAlign w:val="center"/>
                </w:tcPr>
                <w:p w14:paraId="4F91CFD4">
                  <w:pPr>
                    <w:spacing w:line="28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1次/季度</w:t>
                  </w:r>
                </w:p>
              </w:tc>
              <w:tc>
                <w:tcPr>
                  <w:tcW w:w="3630" w:type="dxa"/>
                  <w:vAlign w:val="center"/>
                </w:tcPr>
                <w:p w14:paraId="7BA1418B">
                  <w:pPr>
                    <w:tabs>
                      <w:tab w:val="left" w:pos="731"/>
                    </w:tabs>
                    <w:spacing w:line="28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《工业企业厂界环境噪声排放标准》（GB12348-2008）中的</w:t>
                  </w:r>
                  <w:r>
                    <w:rPr>
                      <w:rFonts w:hint="eastAsia" w:ascii="Times New Roman" w:hAnsi="Times New Roman" w:cs="Times New Roman"/>
                      <w:color w:val="auto"/>
                      <w:sz w:val="21"/>
                      <w:szCs w:val="21"/>
                      <w:lang w:val="en-US" w:eastAsia="zh-CN"/>
                    </w:rPr>
                    <w:t>2</w:t>
                  </w:r>
                  <w:r>
                    <w:rPr>
                      <w:rFonts w:hint="eastAsia" w:ascii="Times New Roman" w:hAnsi="Times New Roman" w:cs="Times New Roman"/>
                      <w:color w:val="auto"/>
                      <w:sz w:val="21"/>
                      <w:szCs w:val="21"/>
                      <w:lang w:eastAsia="zh-CN"/>
                    </w:rPr>
                    <w:t>类</w:t>
                  </w:r>
                  <w:r>
                    <w:rPr>
                      <w:rFonts w:hint="default" w:ascii="Times New Roman" w:hAnsi="Times New Roman" w:cs="Times New Roman"/>
                      <w:color w:val="auto"/>
                      <w:sz w:val="21"/>
                      <w:szCs w:val="21"/>
                    </w:rPr>
                    <w:t>标准</w:t>
                  </w:r>
                </w:p>
              </w:tc>
            </w:tr>
          </w:tbl>
          <w:p w14:paraId="1B65D32E">
            <w:pPr>
              <w:spacing w:line="480" w:lineRule="atLeast"/>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四、固体废物</w:t>
            </w:r>
            <w:r>
              <w:rPr>
                <w:rFonts w:hint="default" w:ascii="Times New Roman" w:hAnsi="Times New Roman" w:cs="Times New Roman"/>
                <w:b/>
                <w:bCs/>
                <w:color w:val="auto"/>
                <w:sz w:val="24"/>
                <w:szCs w:val="24"/>
              </w:rPr>
              <w:t>环境影响分析</w:t>
            </w:r>
          </w:p>
          <w:p w14:paraId="25A8F978">
            <w:pPr>
              <w:spacing w:line="500" w:lineRule="atLeas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项目产生的固体废物主要为一般固体废物、危险废物和职工生活垃圾。</w:t>
            </w:r>
          </w:p>
          <w:p w14:paraId="103577C0">
            <w:pPr>
              <w:spacing w:line="500" w:lineRule="atLeas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一般固体废物包括塑料废边角料和不合格品、除尘灰、废包装物</w:t>
            </w:r>
            <w:r>
              <w:rPr>
                <w:rFonts w:hint="eastAsia" w:ascii="Times New Roman" w:hAnsi="Times New Roman" w:cs="Times New Roman"/>
                <w:color w:val="auto"/>
                <w:sz w:val="24"/>
                <w:szCs w:val="24"/>
                <w:lang w:eastAsia="zh-CN"/>
              </w:rPr>
              <w:t>、废布袋</w:t>
            </w:r>
            <w:r>
              <w:rPr>
                <w:rFonts w:hint="default" w:ascii="Times New Roman" w:hAnsi="Times New Roman" w:cs="Times New Roman"/>
                <w:color w:val="auto"/>
                <w:sz w:val="24"/>
                <w:szCs w:val="24"/>
              </w:rPr>
              <w:t>，危险废物包括</w:t>
            </w:r>
            <w:r>
              <w:rPr>
                <w:rFonts w:hint="eastAsia" w:ascii="Times New Roman" w:hAnsi="Times New Roman" w:cs="Times New Roman"/>
                <w:color w:val="auto"/>
                <w:sz w:val="24"/>
                <w:szCs w:val="24"/>
                <w:lang w:eastAsia="zh-CN"/>
              </w:rPr>
              <w:t>废机油</w:t>
            </w:r>
            <w:r>
              <w:rPr>
                <w:rFonts w:hint="default" w:ascii="Times New Roman" w:hAnsi="Times New Roman" w:cs="Times New Roman"/>
                <w:color w:val="auto"/>
                <w:sz w:val="24"/>
                <w:szCs w:val="24"/>
                <w:lang w:eastAsia="zh-CN"/>
              </w:rPr>
              <w:t>、废油桶、废活性炭</w:t>
            </w:r>
            <w:r>
              <w:rPr>
                <w:rFonts w:hint="default" w:ascii="Times New Roman" w:hAnsi="Times New Roman" w:cs="Times New Roman"/>
                <w:color w:val="auto"/>
                <w:sz w:val="24"/>
                <w:szCs w:val="24"/>
              </w:rPr>
              <w:t>。</w:t>
            </w:r>
          </w:p>
          <w:p w14:paraId="1EA52A4C">
            <w:pPr>
              <w:spacing w:line="500" w:lineRule="atLeas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项目运营期固体废物产生情况如下。</w:t>
            </w:r>
          </w:p>
          <w:p w14:paraId="27A27AAF">
            <w:pPr>
              <w:tabs>
                <w:tab w:val="left" w:pos="0"/>
              </w:tabs>
              <w:spacing w:line="500" w:lineRule="atLeas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1、生活垃圾</w:t>
            </w:r>
          </w:p>
          <w:p w14:paraId="383DAC13">
            <w:pPr>
              <w:widowControl/>
              <w:spacing w:line="500" w:lineRule="atLeast"/>
              <w:ind w:firstLine="480" w:firstLineChars="200"/>
              <w:jc w:val="left"/>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rPr>
              <w:t>本项目区内共有人员</w:t>
            </w:r>
            <w:r>
              <w:rPr>
                <w:rFonts w:hint="eastAsia" w:ascii="Times New Roman" w:hAnsi="Times New Roman" w:cs="Times New Roman"/>
                <w:color w:val="auto"/>
                <w:sz w:val="24"/>
                <w:szCs w:val="24"/>
                <w:lang w:val="en-US" w:eastAsia="zh-CN"/>
              </w:rPr>
              <w:t>12</w:t>
            </w:r>
            <w:r>
              <w:rPr>
                <w:rFonts w:hint="default" w:ascii="Times New Roman" w:hAnsi="Times New Roman" w:cs="Times New Roman"/>
                <w:color w:val="auto"/>
                <w:sz w:val="24"/>
                <w:szCs w:val="24"/>
              </w:rPr>
              <w:t>名，年生产300天，生活垃圾产生量按每人每天0.5kg/d计，生活垃圾产生量为</w:t>
            </w:r>
            <w:r>
              <w:rPr>
                <w:rFonts w:hint="eastAsia"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rPr>
              <w:t>kg/d（</w:t>
            </w:r>
            <w:r>
              <w:rPr>
                <w:rFonts w:hint="eastAsia" w:ascii="Times New Roman" w:hAnsi="Times New Roman" w:cs="Times New Roman"/>
                <w:color w:val="auto"/>
                <w:sz w:val="24"/>
                <w:szCs w:val="24"/>
                <w:lang w:val="en-US" w:eastAsia="zh-CN"/>
              </w:rPr>
              <w:t>1.8</w:t>
            </w:r>
            <w:r>
              <w:rPr>
                <w:rFonts w:hint="default" w:ascii="Times New Roman" w:hAnsi="Times New Roman" w:cs="Times New Roman"/>
                <w:color w:val="auto"/>
                <w:sz w:val="24"/>
                <w:szCs w:val="24"/>
              </w:rPr>
              <w:t>t/a），集中收集后交环卫部门处理。</w:t>
            </w:r>
          </w:p>
          <w:p w14:paraId="641428C1">
            <w:pPr>
              <w:tabs>
                <w:tab w:val="left" w:pos="0"/>
              </w:tabs>
              <w:spacing w:line="500" w:lineRule="atLeast"/>
              <w:ind w:firstLine="480" w:firstLineChars="200"/>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rPr>
              <w:t>2、一般固废</w:t>
            </w:r>
          </w:p>
          <w:p w14:paraId="6908078B">
            <w:pPr>
              <w:pStyle w:val="15"/>
              <w:spacing w:line="500" w:lineRule="atLeas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根据企业提供数据：</w:t>
            </w:r>
          </w:p>
          <w:p w14:paraId="4F442CB8">
            <w:pPr>
              <w:pStyle w:val="15"/>
              <w:numPr>
                <w:ilvl w:val="0"/>
                <w:numId w:val="0"/>
              </w:numPr>
              <w:spacing w:line="500" w:lineRule="atLeast"/>
              <w:ind w:firstLine="480" w:firstLineChars="200"/>
              <w:rPr>
                <w:rFonts w:hint="default" w:ascii="Times New Roman" w:hAnsi="Times New Roman" w:cs="Times New Roman"/>
                <w:color w:val="auto"/>
                <w:sz w:val="24"/>
                <w:szCs w:val="24"/>
              </w:rPr>
            </w:pPr>
            <w:r>
              <w:rPr>
                <w:rFonts w:hint="default" w:ascii="Times New Roman" w:hAnsi="Times New Roman" w:eastAsia="宋体" w:cs="Times New Roman"/>
                <w:snapToGrid w:val="0"/>
                <w:color w:val="auto"/>
                <w:sz w:val="24"/>
                <w:szCs w:val="24"/>
                <w:lang w:val="en-US" w:eastAsia="zh-CN" w:bidi="ar-SA"/>
              </w:rPr>
              <w:t>（1）</w:t>
            </w:r>
            <w:r>
              <w:rPr>
                <w:rFonts w:hint="default" w:ascii="Times New Roman" w:hAnsi="Times New Roman" w:cs="Times New Roman"/>
                <w:color w:val="auto"/>
                <w:sz w:val="24"/>
                <w:szCs w:val="24"/>
              </w:rPr>
              <w:t>本项目废边角料和不合格品产生量约为</w:t>
            </w:r>
            <w:r>
              <w:rPr>
                <w:rFonts w:hint="eastAsia" w:ascii="Times New Roman" w:hAnsi="Times New Roman" w:cs="Times New Roman"/>
                <w:color w:val="auto"/>
                <w:sz w:val="24"/>
                <w:szCs w:val="24"/>
                <w:lang w:val="en-US" w:eastAsia="zh-CN"/>
              </w:rPr>
              <w:t>5</w:t>
            </w:r>
            <w:r>
              <w:rPr>
                <w:rFonts w:hint="default" w:ascii="Times New Roman" w:hAnsi="Times New Roman" w:cs="Times New Roman"/>
                <w:color w:val="auto"/>
                <w:sz w:val="24"/>
                <w:szCs w:val="24"/>
              </w:rPr>
              <w:t>t/a，粉碎后</w:t>
            </w:r>
            <w:r>
              <w:rPr>
                <w:rFonts w:hint="default" w:ascii="Times New Roman" w:hAnsi="Times New Roman" w:cs="Times New Roman"/>
                <w:color w:val="auto"/>
                <w:sz w:val="24"/>
                <w:szCs w:val="24"/>
                <w:lang w:eastAsia="zh-CN"/>
              </w:rPr>
              <w:t>回用生产</w:t>
            </w:r>
            <w:r>
              <w:rPr>
                <w:rFonts w:hint="default" w:ascii="Times New Roman" w:hAnsi="Times New Roman" w:cs="Times New Roman"/>
                <w:color w:val="auto"/>
                <w:sz w:val="24"/>
                <w:szCs w:val="24"/>
              </w:rPr>
              <w:t>；</w:t>
            </w:r>
          </w:p>
          <w:p w14:paraId="1634B337">
            <w:pPr>
              <w:pStyle w:val="15"/>
              <w:numPr>
                <w:ilvl w:val="0"/>
                <w:numId w:val="0"/>
              </w:numPr>
              <w:spacing w:line="500" w:lineRule="atLeast"/>
              <w:ind w:firstLine="480" w:firstLineChars="200"/>
              <w:rPr>
                <w:rFonts w:hint="default" w:ascii="Times New Roman" w:hAnsi="Times New Roman" w:cs="Times New Roman"/>
                <w:color w:val="auto"/>
                <w:sz w:val="24"/>
                <w:szCs w:val="24"/>
              </w:rPr>
            </w:pPr>
            <w:r>
              <w:rPr>
                <w:rFonts w:hint="default" w:ascii="Times New Roman" w:hAnsi="Times New Roman" w:eastAsia="宋体" w:cs="Times New Roman"/>
                <w:snapToGrid w:val="0"/>
                <w:color w:val="auto"/>
                <w:sz w:val="24"/>
                <w:szCs w:val="24"/>
                <w:lang w:val="en-US" w:eastAsia="zh-CN" w:bidi="ar-SA"/>
              </w:rPr>
              <w:t>（2）</w:t>
            </w:r>
            <w:r>
              <w:rPr>
                <w:rFonts w:hint="default" w:ascii="Times New Roman" w:hAnsi="Times New Roman" w:cs="Times New Roman"/>
                <w:color w:val="auto"/>
                <w:sz w:val="24"/>
                <w:szCs w:val="24"/>
                <w:lang w:eastAsia="zh-CN"/>
              </w:rPr>
              <w:t>除尘灰</w:t>
            </w:r>
            <w:r>
              <w:rPr>
                <w:rFonts w:hint="default" w:ascii="Times New Roman" w:hAnsi="Times New Roman" w:cs="Times New Roman"/>
                <w:color w:val="auto"/>
                <w:sz w:val="24"/>
                <w:szCs w:val="24"/>
              </w:rPr>
              <w:t>：收集到的</w:t>
            </w:r>
            <w:r>
              <w:rPr>
                <w:rFonts w:hint="default" w:ascii="Times New Roman" w:hAnsi="Times New Roman" w:cs="Times New Roman"/>
                <w:color w:val="000000" w:themeColor="text1"/>
                <w:sz w:val="24"/>
                <w:szCs w:val="24"/>
                <w14:textFill>
                  <w14:solidFill>
                    <w14:schemeClr w14:val="tx1"/>
                  </w14:solidFill>
                </w14:textFill>
              </w:rPr>
              <w:t>除尘灰约</w:t>
            </w:r>
            <w:r>
              <w:rPr>
                <w:rFonts w:hint="eastAsia" w:ascii="Times New Roman" w:hAnsi="Times New Roman" w:cs="Times New Roman"/>
                <w:color w:val="000000" w:themeColor="text1"/>
                <w:sz w:val="24"/>
                <w:szCs w:val="24"/>
                <w:lang w:val="en-US" w:eastAsia="zh-CN"/>
                <w14:textFill>
                  <w14:solidFill>
                    <w14:schemeClr w14:val="tx1"/>
                  </w14:solidFill>
                </w14:textFill>
              </w:rPr>
              <w:t>0.00133</w:t>
            </w:r>
            <w:r>
              <w:rPr>
                <w:rFonts w:hint="default" w:ascii="Times New Roman" w:hAnsi="Times New Roman" w:cs="Times New Roman"/>
                <w:color w:val="000000" w:themeColor="text1"/>
                <w:sz w:val="24"/>
                <w:szCs w:val="24"/>
                <w14:textFill>
                  <w14:solidFill>
                    <w14:schemeClr w14:val="tx1"/>
                  </w14:solidFill>
                </w14:textFill>
              </w:rPr>
              <w:t>t/a，</w:t>
            </w:r>
            <w:r>
              <w:rPr>
                <w:rFonts w:hint="default" w:ascii="Times New Roman" w:hAnsi="Times New Roman" w:cs="Times New Roman"/>
                <w:color w:val="auto"/>
                <w:sz w:val="24"/>
                <w:szCs w:val="24"/>
              </w:rPr>
              <w:t>集中收集后外售综合利用；</w:t>
            </w:r>
          </w:p>
          <w:p w14:paraId="25F62C65">
            <w:pPr>
              <w:pStyle w:val="15"/>
              <w:numPr>
                <w:ilvl w:val="0"/>
                <w:numId w:val="0"/>
              </w:numPr>
              <w:spacing w:line="500" w:lineRule="atLeast"/>
              <w:ind w:firstLine="480" w:firstLineChars="200"/>
              <w:rPr>
                <w:rFonts w:hint="default" w:ascii="Times New Roman" w:hAnsi="Times New Roman" w:cs="Times New Roman"/>
                <w:color w:val="auto"/>
                <w:sz w:val="24"/>
                <w:szCs w:val="24"/>
              </w:rPr>
            </w:pPr>
            <w:r>
              <w:rPr>
                <w:rFonts w:hint="default" w:ascii="Times New Roman" w:hAnsi="Times New Roman" w:eastAsia="宋体" w:cs="Times New Roman"/>
                <w:snapToGrid w:val="0"/>
                <w:color w:val="auto"/>
                <w:sz w:val="24"/>
                <w:szCs w:val="24"/>
                <w:lang w:val="en-US" w:eastAsia="zh-CN" w:bidi="ar-SA"/>
              </w:rPr>
              <w:t>（3）</w:t>
            </w:r>
            <w:r>
              <w:rPr>
                <w:rFonts w:hint="default" w:ascii="Times New Roman" w:hAnsi="Times New Roman" w:cs="Times New Roman"/>
                <w:color w:val="auto"/>
                <w:sz w:val="24"/>
                <w:szCs w:val="24"/>
              </w:rPr>
              <w:t>废包装物</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eastAsia" w:ascii="Times New Roman" w:hAnsi="Times New Roman" w:cs="Times New Roman"/>
                <w:color w:val="000000" w:themeColor="text1"/>
                <w:sz w:val="24"/>
                <w:szCs w:val="24"/>
                <w:lang w:eastAsia="zh-CN"/>
                <w14:textFill>
                  <w14:solidFill>
                    <w14:schemeClr w14:val="tx1"/>
                  </w14:solidFill>
                </w14:textFill>
              </w:rPr>
              <w:t>本项目</w:t>
            </w:r>
            <w:r>
              <w:rPr>
                <w:rFonts w:hint="default" w:ascii="Times New Roman" w:hAnsi="Times New Roman" w:cs="Times New Roman"/>
                <w:color w:val="000000" w:themeColor="text1"/>
                <w:sz w:val="24"/>
                <w:szCs w:val="24"/>
                <w14:textFill>
                  <w14:solidFill>
                    <w14:schemeClr w14:val="tx1"/>
                  </w14:solidFill>
                </w14:textFill>
              </w:rPr>
              <w:t>废包装袋</w:t>
            </w:r>
            <w:r>
              <w:rPr>
                <w:rFonts w:hint="eastAsia" w:ascii="Times New Roman" w:hAnsi="Times New Roman" w:cs="Times New Roman"/>
                <w:color w:val="000000" w:themeColor="text1"/>
                <w:sz w:val="24"/>
                <w:szCs w:val="24"/>
                <w:lang w:eastAsia="zh-CN"/>
                <w14:textFill>
                  <w14:solidFill>
                    <w14:schemeClr w14:val="tx1"/>
                  </w14:solidFill>
                </w14:textFill>
              </w:rPr>
              <w:t>产生量约为</w:t>
            </w:r>
            <w:r>
              <w:rPr>
                <w:rFonts w:hint="eastAsia" w:ascii="Times New Roman" w:hAnsi="Times New Roman" w:cs="Times New Roman"/>
                <w:color w:val="000000" w:themeColor="text1"/>
                <w:sz w:val="24"/>
                <w:szCs w:val="24"/>
                <w:lang w:val="en-US" w:eastAsia="zh-CN"/>
                <w14:textFill>
                  <w14:solidFill>
                    <w14:schemeClr w14:val="tx1"/>
                  </w14:solidFill>
                </w14:textFill>
              </w:rPr>
              <w:t>1</w:t>
            </w:r>
            <w:r>
              <w:rPr>
                <w:rFonts w:hint="default" w:ascii="Times New Roman" w:hAnsi="Times New Roman" w:cs="Times New Roman"/>
                <w:color w:val="000000" w:themeColor="text1"/>
                <w:sz w:val="24"/>
                <w:szCs w:val="24"/>
                <w14:textFill>
                  <w14:solidFill>
                    <w14:schemeClr w14:val="tx1"/>
                  </w14:solidFill>
                </w14:textFill>
              </w:rPr>
              <w:t>t/a，收集后外售</w:t>
            </w:r>
            <w:r>
              <w:rPr>
                <w:rFonts w:hint="default" w:ascii="Times New Roman" w:hAnsi="Times New Roman" w:cs="Times New Roman"/>
                <w:color w:val="auto"/>
                <w:sz w:val="24"/>
                <w:szCs w:val="24"/>
              </w:rPr>
              <w:t>综合利用</w:t>
            </w:r>
            <w:r>
              <w:rPr>
                <w:rFonts w:hint="default" w:ascii="Times New Roman" w:hAnsi="Times New Roman" w:cs="Times New Roman"/>
                <w:color w:val="auto"/>
                <w:sz w:val="24"/>
                <w:szCs w:val="24"/>
                <w:lang w:eastAsia="zh-CN"/>
              </w:rPr>
              <w:t>；</w:t>
            </w:r>
          </w:p>
          <w:p w14:paraId="4A109ED1">
            <w:pPr>
              <w:spacing w:line="500" w:lineRule="atLeast"/>
              <w:ind w:firstLine="480" w:firstLineChars="200"/>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lang w:val="en-US" w:eastAsia="zh-CN"/>
              </w:rPr>
              <w:t>4</w:t>
            </w:r>
            <w:r>
              <w:rPr>
                <w:rFonts w:hint="eastAsia" w:ascii="Times New Roman" w:hAnsi="Times New Roman" w:cs="Times New Roman"/>
                <w:color w:val="auto"/>
                <w:sz w:val="24"/>
                <w:szCs w:val="24"/>
                <w:lang w:eastAsia="zh-CN"/>
              </w:rPr>
              <w:t>）废布袋：本项目废布袋产生量为</w:t>
            </w:r>
            <w:r>
              <w:rPr>
                <w:rFonts w:hint="eastAsia" w:ascii="Times New Roman" w:hAnsi="Times New Roman" w:cs="Times New Roman"/>
                <w:color w:val="auto"/>
                <w:sz w:val="24"/>
                <w:szCs w:val="24"/>
                <w:lang w:val="en-US" w:eastAsia="zh-CN"/>
              </w:rPr>
              <w:t>0.05t/a，集中收集后外售。</w:t>
            </w:r>
          </w:p>
          <w:p w14:paraId="5FA4C2C8">
            <w:pPr>
              <w:spacing w:line="500" w:lineRule="atLeas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3、危险废物</w:t>
            </w:r>
          </w:p>
          <w:p w14:paraId="34E6C069">
            <w:pPr>
              <w:spacing w:line="500" w:lineRule="atLeas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根据《国家危险废物名录》（2</w:t>
            </w:r>
            <w:r>
              <w:rPr>
                <w:rFonts w:hint="eastAsia" w:ascii="Times New Roman" w:hAnsi="Times New Roman" w:cs="Times New Roman"/>
                <w:color w:val="auto"/>
                <w:sz w:val="24"/>
                <w:szCs w:val="24"/>
                <w:lang w:val="en-US" w:eastAsia="zh-CN"/>
              </w:rPr>
              <w:t>025</w:t>
            </w:r>
            <w:r>
              <w:rPr>
                <w:rFonts w:hint="default" w:ascii="Times New Roman" w:hAnsi="Times New Roman" w:cs="Times New Roman"/>
                <w:color w:val="auto"/>
                <w:sz w:val="24"/>
                <w:szCs w:val="24"/>
              </w:rPr>
              <w:t>年版）中公布的危险废物名录，对拟建项目产生的各固体废物进行危险类别界定后可知，项目危险废物包括</w:t>
            </w:r>
            <w:r>
              <w:rPr>
                <w:rFonts w:hint="eastAsia" w:ascii="Times New Roman" w:hAnsi="Times New Roman" w:cs="Times New Roman"/>
                <w:color w:val="auto"/>
                <w:sz w:val="24"/>
                <w:szCs w:val="24"/>
                <w:lang w:eastAsia="zh-CN"/>
              </w:rPr>
              <w:t>废机油</w:t>
            </w:r>
            <w:r>
              <w:rPr>
                <w:rFonts w:hint="default" w:ascii="Times New Roman" w:hAnsi="Times New Roman" w:cs="Times New Roman"/>
                <w:color w:val="auto"/>
                <w:sz w:val="24"/>
                <w:szCs w:val="24"/>
              </w:rPr>
              <w:t>、废油桶、废活性炭。</w:t>
            </w:r>
          </w:p>
          <w:p w14:paraId="1A4B1E78">
            <w:pPr>
              <w:spacing w:line="500" w:lineRule="atLeas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根据企业提供数据：</w:t>
            </w:r>
          </w:p>
          <w:p w14:paraId="09075BC7">
            <w:pPr>
              <w:numPr>
                <w:ilvl w:val="0"/>
                <w:numId w:val="0"/>
              </w:numPr>
              <w:spacing w:line="500" w:lineRule="atLeast"/>
              <w:ind w:firstLine="480" w:firstLineChars="200"/>
              <w:rPr>
                <w:rFonts w:hint="default" w:ascii="Times New Roman" w:hAnsi="Times New Roman" w:cs="Times New Roman"/>
                <w:color w:val="auto"/>
                <w:sz w:val="24"/>
                <w:szCs w:val="24"/>
              </w:rPr>
            </w:pPr>
            <w:r>
              <w:rPr>
                <w:rFonts w:hint="default" w:ascii="Times New Roman" w:hAnsi="Times New Roman" w:eastAsia="宋体" w:cs="Times New Roman"/>
                <w:snapToGrid w:val="0"/>
                <w:color w:val="auto"/>
                <w:sz w:val="24"/>
                <w:szCs w:val="24"/>
                <w:lang w:val="en-US" w:eastAsia="zh-CN" w:bidi="ar-SA"/>
              </w:rPr>
              <w:t>（1）</w:t>
            </w:r>
            <w:r>
              <w:rPr>
                <w:rFonts w:hint="default" w:ascii="Times New Roman" w:hAnsi="Times New Roman" w:cs="Times New Roman"/>
                <w:color w:val="auto"/>
                <w:sz w:val="24"/>
                <w:szCs w:val="24"/>
              </w:rPr>
              <w:t>本项目</w:t>
            </w:r>
            <w:r>
              <w:rPr>
                <w:rFonts w:hint="eastAsia" w:ascii="Times New Roman" w:hAnsi="Times New Roman" w:cs="Times New Roman"/>
                <w:color w:val="auto"/>
                <w:sz w:val="24"/>
                <w:szCs w:val="24"/>
                <w:lang w:eastAsia="zh-CN"/>
              </w:rPr>
              <w:t>机油</w:t>
            </w:r>
            <w:r>
              <w:rPr>
                <w:rFonts w:hint="default" w:ascii="Times New Roman" w:hAnsi="Times New Roman" w:cs="Times New Roman"/>
                <w:color w:val="auto"/>
                <w:sz w:val="24"/>
                <w:szCs w:val="24"/>
                <w:lang w:val="en-US" w:eastAsia="zh-CN"/>
              </w:rPr>
              <w:t>20</w:t>
            </w:r>
            <w:r>
              <w:rPr>
                <w:rFonts w:hint="default" w:ascii="Times New Roman" w:hAnsi="Times New Roman" w:cs="Times New Roman"/>
                <w:color w:val="auto"/>
                <w:sz w:val="24"/>
                <w:szCs w:val="24"/>
              </w:rPr>
              <w:t>0kg/桶，年使用</w:t>
            </w:r>
            <w:r>
              <w:rPr>
                <w:rFonts w:hint="default" w:ascii="Times New Roman" w:hAnsi="Times New Roman" w:cs="Times New Roman"/>
                <w:color w:val="auto"/>
                <w:sz w:val="24"/>
                <w:szCs w:val="24"/>
                <w:lang w:val="en-US" w:eastAsia="zh-CN"/>
              </w:rPr>
              <w:t>5</w:t>
            </w:r>
            <w:r>
              <w:rPr>
                <w:rFonts w:hint="default" w:ascii="Times New Roman" w:hAnsi="Times New Roman" w:cs="Times New Roman"/>
                <w:color w:val="auto"/>
                <w:sz w:val="24"/>
                <w:szCs w:val="24"/>
              </w:rPr>
              <w:t>桶，</w:t>
            </w:r>
            <w:r>
              <w:rPr>
                <w:rFonts w:hint="eastAsia" w:ascii="Times New Roman" w:hAnsi="Times New Roman" w:cs="Times New Roman"/>
                <w:color w:val="auto"/>
                <w:sz w:val="24"/>
                <w:szCs w:val="24"/>
                <w:lang w:eastAsia="zh-CN"/>
              </w:rPr>
              <w:t>经损耗废机油</w:t>
            </w:r>
            <w:r>
              <w:rPr>
                <w:rFonts w:hint="default" w:ascii="Times New Roman" w:hAnsi="Times New Roman" w:cs="Times New Roman"/>
                <w:color w:val="auto"/>
                <w:sz w:val="24"/>
                <w:szCs w:val="24"/>
              </w:rPr>
              <w:t>产生量约</w:t>
            </w:r>
            <w:r>
              <w:rPr>
                <w:rFonts w:hint="eastAsia" w:ascii="Times New Roman" w:hAnsi="Times New Roman" w:cs="Times New Roman"/>
                <w:color w:val="auto"/>
                <w:sz w:val="24"/>
                <w:szCs w:val="24"/>
                <w:lang w:val="en-US" w:eastAsia="zh-CN"/>
              </w:rPr>
              <w:t>0.8</w:t>
            </w:r>
            <w:r>
              <w:rPr>
                <w:rFonts w:hint="default" w:ascii="Times New Roman" w:hAnsi="Times New Roman" w:cs="Times New Roman"/>
                <w:color w:val="auto"/>
                <w:sz w:val="24"/>
                <w:szCs w:val="24"/>
              </w:rPr>
              <w:t>t/a，暂存于危废贮存间，定期由有资质单位处置；</w:t>
            </w:r>
          </w:p>
          <w:p w14:paraId="238EEB2A">
            <w:pPr>
              <w:numPr>
                <w:ilvl w:val="0"/>
                <w:numId w:val="0"/>
              </w:numPr>
              <w:spacing w:line="500" w:lineRule="atLeast"/>
              <w:ind w:firstLine="480" w:firstLineChars="200"/>
              <w:rPr>
                <w:rFonts w:hint="default" w:ascii="Times New Roman" w:hAnsi="Times New Roman" w:cs="Times New Roman"/>
                <w:color w:val="auto"/>
                <w:sz w:val="24"/>
                <w:szCs w:val="24"/>
                <w:highlight w:val="none"/>
              </w:rPr>
            </w:pPr>
            <w:r>
              <w:rPr>
                <w:rFonts w:hint="default" w:ascii="Times New Roman" w:hAnsi="Times New Roman" w:eastAsia="宋体" w:cs="Times New Roman"/>
                <w:snapToGrid w:val="0"/>
                <w:color w:val="auto"/>
                <w:sz w:val="24"/>
                <w:szCs w:val="24"/>
                <w:lang w:val="en-US" w:eastAsia="zh-CN" w:bidi="ar-SA"/>
              </w:rPr>
              <w:t>（2）</w:t>
            </w:r>
            <w:r>
              <w:rPr>
                <w:rFonts w:hint="default" w:ascii="Times New Roman" w:hAnsi="Times New Roman" w:cs="Times New Roman"/>
                <w:color w:val="auto"/>
                <w:sz w:val="24"/>
                <w:szCs w:val="24"/>
              </w:rPr>
              <w:t>废油桶16kg/个，年使用</w:t>
            </w:r>
            <w:r>
              <w:rPr>
                <w:rFonts w:hint="default" w:ascii="Times New Roman" w:hAnsi="Times New Roman" w:cs="Times New Roman"/>
                <w:color w:val="auto"/>
                <w:sz w:val="24"/>
                <w:szCs w:val="24"/>
                <w:lang w:val="en-US" w:eastAsia="zh-CN"/>
              </w:rPr>
              <w:t>5</w:t>
            </w:r>
            <w:r>
              <w:rPr>
                <w:rFonts w:hint="default" w:ascii="Times New Roman" w:hAnsi="Times New Roman" w:cs="Times New Roman"/>
                <w:color w:val="auto"/>
                <w:sz w:val="24"/>
                <w:szCs w:val="24"/>
              </w:rPr>
              <w:t>桶，废油桶产生量0.0</w:t>
            </w:r>
            <w:r>
              <w:rPr>
                <w:rFonts w:hint="default" w:ascii="Times New Roman" w:hAnsi="Times New Roman" w:cs="Times New Roman"/>
                <w:color w:val="auto"/>
                <w:sz w:val="24"/>
                <w:szCs w:val="24"/>
                <w:lang w:val="en-US" w:eastAsia="zh-CN"/>
              </w:rPr>
              <w:t>8</w:t>
            </w:r>
            <w:r>
              <w:rPr>
                <w:rFonts w:hint="default" w:ascii="Times New Roman" w:hAnsi="Times New Roman" w:cs="Times New Roman"/>
                <w:color w:val="auto"/>
                <w:sz w:val="24"/>
                <w:szCs w:val="24"/>
              </w:rPr>
              <w:t>t/a，暂存于危废贮存间，定</w:t>
            </w:r>
            <w:r>
              <w:rPr>
                <w:rFonts w:hint="default" w:ascii="Times New Roman" w:hAnsi="Times New Roman" w:cs="Times New Roman"/>
                <w:color w:val="auto"/>
                <w:sz w:val="24"/>
                <w:szCs w:val="24"/>
                <w:highlight w:val="none"/>
              </w:rPr>
              <w:t>期由有资质单位处置；</w:t>
            </w:r>
          </w:p>
          <w:p w14:paraId="5A594B5E">
            <w:pPr>
              <w:numPr>
                <w:ilvl w:val="0"/>
                <w:numId w:val="0"/>
              </w:numPr>
              <w:spacing w:line="500" w:lineRule="atLeast"/>
              <w:ind w:firstLine="480" w:firstLineChars="200"/>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snapToGrid w:val="0"/>
                <w:color w:val="000000" w:themeColor="text1"/>
                <w:sz w:val="24"/>
                <w:szCs w:val="24"/>
                <w:highlight w:val="none"/>
                <w:lang w:val="en-US" w:eastAsia="zh-CN" w:bidi="ar-SA"/>
                <w14:textFill>
                  <w14:solidFill>
                    <w14:schemeClr w14:val="tx1"/>
                  </w14:solidFill>
                </w14:textFill>
              </w:rPr>
              <w:t>（3）</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废活性炭：</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15</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000</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m</w:t>
            </w:r>
            <w:r>
              <w:rPr>
                <w:rFonts w:hint="default" w:ascii="Times New Roman" w:hAnsi="Times New Roman" w:eastAsia="宋体" w:cs="Times New Roman"/>
                <w:color w:val="000000" w:themeColor="text1"/>
                <w:sz w:val="24"/>
                <w:szCs w:val="24"/>
                <w:highlight w:val="none"/>
                <w:vertAlign w:val="superscript"/>
                <w14:textFill>
                  <w14:solidFill>
                    <w14:schemeClr w14:val="tx1"/>
                  </w14:solidFill>
                </w14:textFill>
              </w:rPr>
              <w:t>3</w:t>
            </w:r>
            <w:r>
              <w:rPr>
                <w:rFonts w:hint="default" w:ascii="Times New Roman" w:hAnsi="Times New Roman" w:eastAsia="宋体" w:cs="Times New Roman"/>
                <w:color w:val="000000" w:themeColor="text1"/>
                <w:sz w:val="24"/>
                <w:szCs w:val="24"/>
                <w:highlight w:val="none"/>
                <w14:textFill>
                  <w14:solidFill>
                    <w14:schemeClr w14:val="tx1"/>
                  </w14:solidFill>
                </w14:textFill>
              </w:rPr>
              <w:t>/h</w:t>
            </w:r>
            <w:r>
              <w:rPr>
                <w:rFonts w:hint="eastAsia" w:ascii="Times New Roman" w:hAnsi="Times New Roman" w:cs="Times New Roman"/>
                <w:color w:val="000000" w:themeColor="text1"/>
                <w:sz w:val="24"/>
                <w:szCs w:val="24"/>
                <w:highlight w:val="none"/>
                <w:lang w:eastAsia="zh-CN"/>
                <w14:textFill>
                  <w14:solidFill>
                    <w14:schemeClr w14:val="tx1"/>
                  </w14:solidFill>
                </w14:textFill>
              </w:rPr>
              <w:t>二级活性炭装置</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设计尺寸为每处理1万m</w:t>
            </w:r>
            <w:r>
              <w:rPr>
                <w:rFonts w:hint="eastAsia" w:ascii="Times New Roman" w:hAnsi="Times New Roman" w:eastAsia="宋体" w:cs="Times New Roman"/>
                <w:color w:val="000000" w:themeColor="text1"/>
                <w:sz w:val="24"/>
                <w:szCs w:val="24"/>
                <w:highlight w:val="none"/>
                <w:vertAlign w:val="superscript"/>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/h废气装填2m</w:t>
            </w:r>
            <w:r>
              <w:rPr>
                <w:rFonts w:hint="default" w:ascii="Times New Roman" w:hAnsi="Times New Roman" w:eastAsia="宋体" w:cs="Times New Roman"/>
                <w:color w:val="000000" w:themeColor="text1"/>
                <w:sz w:val="24"/>
                <w:szCs w:val="24"/>
                <w:highlight w:val="none"/>
                <w:vertAlign w:val="superscript"/>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活性炭，堆积密度0.45g/cm</w:t>
            </w:r>
            <w:r>
              <w:rPr>
                <w:rFonts w:hint="default" w:ascii="Times New Roman" w:hAnsi="Times New Roman" w:eastAsia="宋体" w:cs="Times New Roman"/>
                <w:color w:val="000000" w:themeColor="text1"/>
                <w:sz w:val="24"/>
                <w:szCs w:val="24"/>
                <w:highlight w:val="none"/>
                <w:vertAlign w:val="superscript"/>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，设计使用寿命&gt;30000小时，则本项目活性炭使用量为</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1.8</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t/a。废气处理设施运行时间为</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2400</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h/a，</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企业为保证废气处理效率，</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每年更换一次，即更换量为</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1.8</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t/a，</w:t>
            </w:r>
            <w:r>
              <w:rPr>
                <w:rFonts w:hint="default" w:ascii="Times New Roman" w:hAnsi="Times New Roman" w:cs="Times New Roman"/>
                <w:color w:val="000000" w:themeColor="text1"/>
                <w:sz w:val="24"/>
                <w:szCs w:val="24"/>
                <w:highlight w:val="none"/>
                <w14:textFill>
                  <w14:solidFill>
                    <w14:schemeClr w14:val="tx1"/>
                  </w14:solidFill>
                </w14:textFill>
              </w:rPr>
              <w:t>暂存于危废贮存间，定期由有资质单位处置；</w:t>
            </w:r>
          </w:p>
          <w:p w14:paraId="7C475B41">
            <w:pPr>
              <w:spacing w:line="480" w:lineRule="atLeast"/>
              <w:jc w:val="center"/>
              <w:rPr>
                <w:rFonts w:hint="default" w:ascii="Times New Roman" w:hAnsi="Times New Roman" w:eastAsia="宋体" w:cs="Times New Roman"/>
                <w:b/>
                <w:bCs/>
                <w:color w:val="auto"/>
                <w:sz w:val="24"/>
                <w:szCs w:val="24"/>
                <w:lang w:eastAsia="zh-CN"/>
              </w:rPr>
            </w:pPr>
            <w:r>
              <w:rPr>
                <w:rFonts w:hint="default" w:ascii="Times New Roman" w:hAnsi="Times New Roman" w:cs="Times New Roman"/>
                <w:b/>
                <w:color w:val="auto"/>
                <w:sz w:val="24"/>
                <w:szCs w:val="24"/>
              </w:rPr>
              <w:t>表</w:t>
            </w:r>
            <w:r>
              <w:rPr>
                <w:rFonts w:hint="eastAsia" w:ascii="Times New Roman" w:hAnsi="Times New Roman" w:cs="Times New Roman"/>
                <w:b/>
                <w:color w:val="auto"/>
                <w:sz w:val="24"/>
                <w:szCs w:val="24"/>
                <w:lang w:val="en-US" w:eastAsia="zh-CN"/>
              </w:rPr>
              <w:t>27</w:t>
            </w:r>
            <w:r>
              <w:rPr>
                <w:rFonts w:hint="default" w:ascii="Times New Roman" w:hAnsi="Times New Roman" w:cs="Times New Roman"/>
                <w:b/>
                <w:bCs/>
                <w:color w:val="auto"/>
                <w:sz w:val="24"/>
                <w:szCs w:val="24"/>
              </w:rPr>
              <w:t>项目固废性质产生及处置情况</w:t>
            </w:r>
          </w:p>
          <w:tbl>
            <w:tblPr>
              <w:tblStyle w:val="3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450"/>
              <w:gridCol w:w="2265"/>
              <w:gridCol w:w="1302"/>
              <w:gridCol w:w="1845"/>
              <w:gridCol w:w="2253"/>
            </w:tblGrid>
            <w:tr w14:paraId="29FAA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277" w:type="pct"/>
                  <w:vAlign w:val="center"/>
                </w:tcPr>
                <w:p w14:paraId="4AA17902">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序号</w:t>
                  </w:r>
                </w:p>
              </w:tc>
              <w:tc>
                <w:tcPr>
                  <w:tcW w:w="1395" w:type="pct"/>
                  <w:vAlign w:val="center"/>
                </w:tcPr>
                <w:p w14:paraId="607593BD">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污染物</w:t>
                  </w:r>
                </w:p>
              </w:tc>
              <w:tc>
                <w:tcPr>
                  <w:tcW w:w="802" w:type="pct"/>
                  <w:vAlign w:val="center"/>
                </w:tcPr>
                <w:p w14:paraId="1065816F">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产生量t/a</w:t>
                  </w:r>
                </w:p>
              </w:tc>
              <w:tc>
                <w:tcPr>
                  <w:tcW w:w="1136" w:type="pct"/>
                  <w:vAlign w:val="center"/>
                </w:tcPr>
                <w:p w14:paraId="091991B3">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固废性质</w:t>
                  </w:r>
                </w:p>
              </w:tc>
              <w:tc>
                <w:tcPr>
                  <w:tcW w:w="1388" w:type="pct"/>
                  <w:vAlign w:val="center"/>
                </w:tcPr>
                <w:p w14:paraId="77B5C3B4">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处置措施</w:t>
                  </w:r>
                </w:p>
              </w:tc>
            </w:tr>
            <w:tr w14:paraId="787A2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277" w:type="pct"/>
                  <w:vAlign w:val="center"/>
                </w:tcPr>
                <w:p w14:paraId="3ADC6AF5">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color w:val="auto"/>
                      <w:sz w:val="21"/>
                      <w:szCs w:val="21"/>
                    </w:rPr>
                    <w:t>1</w:t>
                  </w:r>
                </w:p>
              </w:tc>
              <w:tc>
                <w:tcPr>
                  <w:tcW w:w="1395" w:type="pct"/>
                  <w:vAlign w:val="center"/>
                </w:tcPr>
                <w:p w14:paraId="70EB58AA">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z w:val="21"/>
                      <w:szCs w:val="21"/>
                    </w:rPr>
                  </w:pPr>
                  <w:r>
                    <w:rPr>
                      <w:rStyle w:val="46"/>
                      <w:rFonts w:hint="default" w:ascii="Times New Roman" w:hAnsi="Times New Roman" w:cs="Times New Roman"/>
                      <w:color w:val="auto"/>
                      <w:sz w:val="21"/>
                      <w:szCs w:val="21"/>
                    </w:rPr>
                    <w:t>生活垃圾</w:t>
                  </w:r>
                </w:p>
              </w:tc>
              <w:tc>
                <w:tcPr>
                  <w:tcW w:w="802" w:type="pct"/>
                  <w:vAlign w:val="center"/>
                </w:tcPr>
                <w:p w14:paraId="0E40983F">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1.8</w:t>
                  </w:r>
                </w:p>
              </w:tc>
              <w:tc>
                <w:tcPr>
                  <w:tcW w:w="1136" w:type="pct"/>
                  <w:vAlign w:val="center"/>
                </w:tcPr>
                <w:p w14:paraId="562B1517">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color w:val="auto"/>
                      <w:sz w:val="21"/>
                      <w:szCs w:val="21"/>
                    </w:rPr>
                    <w:t>生活垃圾</w:t>
                  </w:r>
                </w:p>
              </w:tc>
              <w:tc>
                <w:tcPr>
                  <w:tcW w:w="1388" w:type="pct"/>
                  <w:vAlign w:val="center"/>
                </w:tcPr>
                <w:p w14:paraId="7181A85B">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收集后交环卫部门处理</w:t>
                  </w:r>
                </w:p>
              </w:tc>
            </w:tr>
            <w:tr w14:paraId="0A9B1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277" w:type="pct"/>
                  <w:vAlign w:val="center"/>
                </w:tcPr>
                <w:p w14:paraId="295BB0E6">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w:t>
                  </w:r>
                </w:p>
              </w:tc>
              <w:tc>
                <w:tcPr>
                  <w:tcW w:w="1395" w:type="pct"/>
                  <w:vAlign w:val="center"/>
                </w:tcPr>
                <w:p w14:paraId="2E90CA0C">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塑料边角料和不合格品</w:t>
                  </w:r>
                </w:p>
              </w:tc>
              <w:tc>
                <w:tcPr>
                  <w:tcW w:w="802" w:type="pct"/>
                  <w:vAlign w:val="center"/>
                </w:tcPr>
                <w:p w14:paraId="68C22D03">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5</w:t>
                  </w:r>
                </w:p>
              </w:tc>
              <w:tc>
                <w:tcPr>
                  <w:tcW w:w="1136" w:type="pct"/>
                  <w:vAlign w:val="center"/>
                </w:tcPr>
                <w:p w14:paraId="69C3EAEB">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一般固体废物</w:t>
                  </w:r>
                </w:p>
              </w:tc>
              <w:tc>
                <w:tcPr>
                  <w:tcW w:w="1388" w:type="pct"/>
                  <w:vAlign w:val="center"/>
                </w:tcPr>
                <w:p w14:paraId="08CE6969">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收集后返回</w:t>
                  </w:r>
                  <w:r>
                    <w:rPr>
                      <w:rFonts w:hint="eastAsia" w:ascii="Times New Roman" w:hAnsi="Times New Roman" w:cs="Times New Roman"/>
                      <w:color w:val="auto"/>
                      <w:sz w:val="21"/>
                      <w:szCs w:val="21"/>
                      <w:lang w:eastAsia="zh-CN"/>
                    </w:rPr>
                    <w:t>粉碎后回用</w:t>
                  </w:r>
                </w:p>
              </w:tc>
            </w:tr>
            <w:tr w14:paraId="6543E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277" w:type="pct"/>
                  <w:vAlign w:val="center"/>
                </w:tcPr>
                <w:p w14:paraId="4AFC269B">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cs="Times New Roman"/>
                      <w:color w:val="auto"/>
                      <w:sz w:val="21"/>
                      <w:szCs w:val="21"/>
                      <w:lang w:val="en-US" w:eastAsia="zh-CN"/>
                    </w:rPr>
                    <w:t>3</w:t>
                  </w:r>
                </w:p>
              </w:tc>
              <w:tc>
                <w:tcPr>
                  <w:tcW w:w="1395" w:type="pct"/>
                  <w:vAlign w:val="center"/>
                </w:tcPr>
                <w:p w14:paraId="20FD6B80">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除尘灰</w:t>
                  </w:r>
                </w:p>
              </w:tc>
              <w:tc>
                <w:tcPr>
                  <w:tcW w:w="802" w:type="pct"/>
                  <w:vAlign w:val="center"/>
                </w:tcPr>
                <w:p w14:paraId="290F897E">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0.00133</w:t>
                  </w:r>
                </w:p>
              </w:tc>
              <w:tc>
                <w:tcPr>
                  <w:tcW w:w="1136" w:type="pct"/>
                  <w:vAlign w:val="center"/>
                </w:tcPr>
                <w:p w14:paraId="573BFB1D">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一般固体废物</w:t>
                  </w:r>
                </w:p>
              </w:tc>
              <w:tc>
                <w:tcPr>
                  <w:tcW w:w="1388" w:type="pct"/>
                  <w:vAlign w:val="center"/>
                </w:tcPr>
                <w:p w14:paraId="6DFBF831">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集中收集后外售</w:t>
                  </w:r>
                </w:p>
              </w:tc>
            </w:tr>
            <w:tr w14:paraId="2580D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277" w:type="pct"/>
                  <w:vAlign w:val="center"/>
                </w:tcPr>
                <w:p w14:paraId="1DFBDCD9">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cs="Times New Roman"/>
                      <w:color w:val="auto"/>
                      <w:sz w:val="21"/>
                      <w:szCs w:val="21"/>
                      <w:lang w:val="en-US" w:eastAsia="zh-CN"/>
                    </w:rPr>
                    <w:t>4</w:t>
                  </w:r>
                </w:p>
              </w:tc>
              <w:tc>
                <w:tcPr>
                  <w:tcW w:w="1395" w:type="pct"/>
                  <w:vAlign w:val="center"/>
                </w:tcPr>
                <w:p w14:paraId="4485691B">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废包装物</w:t>
                  </w:r>
                </w:p>
              </w:tc>
              <w:tc>
                <w:tcPr>
                  <w:tcW w:w="802" w:type="pct"/>
                  <w:vAlign w:val="center"/>
                </w:tcPr>
                <w:p w14:paraId="6630056C">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1</w:t>
                  </w:r>
                </w:p>
              </w:tc>
              <w:tc>
                <w:tcPr>
                  <w:tcW w:w="1136" w:type="pct"/>
                  <w:vAlign w:val="center"/>
                </w:tcPr>
                <w:p w14:paraId="41F16CE4">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一般固体废物</w:t>
                  </w:r>
                </w:p>
              </w:tc>
              <w:tc>
                <w:tcPr>
                  <w:tcW w:w="1388" w:type="pct"/>
                  <w:vAlign w:val="center"/>
                </w:tcPr>
                <w:p w14:paraId="0E6E9603">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集中收集后外售</w:t>
                  </w:r>
                </w:p>
              </w:tc>
            </w:tr>
            <w:tr w14:paraId="7D548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277" w:type="pct"/>
                  <w:vAlign w:val="center"/>
                </w:tcPr>
                <w:p w14:paraId="001066BD">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w:t>
                  </w:r>
                </w:p>
              </w:tc>
              <w:tc>
                <w:tcPr>
                  <w:tcW w:w="1395" w:type="pct"/>
                  <w:vAlign w:val="center"/>
                </w:tcPr>
                <w:p w14:paraId="6B5DFB00">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eastAsia="zh-CN"/>
                    </w:rPr>
                    <w:t>废布袋</w:t>
                  </w:r>
                </w:p>
              </w:tc>
              <w:tc>
                <w:tcPr>
                  <w:tcW w:w="802" w:type="pct"/>
                  <w:vAlign w:val="center"/>
                </w:tcPr>
                <w:p w14:paraId="2D32B72D">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0.05</w:t>
                  </w:r>
                </w:p>
              </w:tc>
              <w:tc>
                <w:tcPr>
                  <w:tcW w:w="1136" w:type="pct"/>
                  <w:vAlign w:val="center"/>
                </w:tcPr>
                <w:p w14:paraId="26000F6C">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一般固体废物</w:t>
                  </w:r>
                </w:p>
              </w:tc>
              <w:tc>
                <w:tcPr>
                  <w:tcW w:w="1388" w:type="pct"/>
                  <w:vAlign w:val="center"/>
                </w:tcPr>
                <w:p w14:paraId="6D7D8090">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集中收集后外售</w:t>
                  </w:r>
                </w:p>
              </w:tc>
            </w:tr>
            <w:tr w14:paraId="45E4E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277" w:type="pct"/>
                  <w:vAlign w:val="center"/>
                </w:tcPr>
                <w:p w14:paraId="3E3E63BD">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cs="Times New Roman"/>
                      <w:snapToGrid w:val="0"/>
                      <w:color w:val="auto"/>
                      <w:sz w:val="21"/>
                      <w:szCs w:val="21"/>
                      <w:lang w:val="en-US" w:eastAsia="zh-CN" w:bidi="ar-SA"/>
                    </w:rPr>
                    <w:t>6</w:t>
                  </w:r>
                </w:p>
              </w:tc>
              <w:tc>
                <w:tcPr>
                  <w:tcW w:w="1395" w:type="pct"/>
                  <w:vAlign w:val="center"/>
                </w:tcPr>
                <w:p w14:paraId="5B1E388A">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eastAsia="zh-CN"/>
                    </w:rPr>
                    <w:t>废机油</w:t>
                  </w:r>
                </w:p>
              </w:tc>
              <w:tc>
                <w:tcPr>
                  <w:tcW w:w="802" w:type="pct"/>
                  <w:vAlign w:val="center"/>
                </w:tcPr>
                <w:p w14:paraId="0DD480C8">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0.8</w:t>
                  </w:r>
                </w:p>
              </w:tc>
              <w:tc>
                <w:tcPr>
                  <w:tcW w:w="1136" w:type="pct"/>
                  <w:vAlign w:val="center"/>
                </w:tcPr>
                <w:p w14:paraId="49D29AF9">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lang w:bidi="ar"/>
                    </w:rPr>
                    <w:t>HW08废矿物油与含矿物油废物</w:t>
                  </w:r>
                </w:p>
              </w:tc>
              <w:tc>
                <w:tcPr>
                  <w:tcW w:w="1388" w:type="pct"/>
                  <w:vMerge w:val="restart"/>
                  <w:vAlign w:val="center"/>
                </w:tcPr>
                <w:p w14:paraId="38C08183">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在危废贮存间内暂存，定期由有资质单位处置</w:t>
                  </w:r>
                </w:p>
              </w:tc>
            </w:tr>
            <w:tr w14:paraId="31C7FB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277" w:type="pct"/>
                  <w:vAlign w:val="center"/>
                </w:tcPr>
                <w:p w14:paraId="5A4F5DCE">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cs="Times New Roman"/>
                      <w:snapToGrid w:val="0"/>
                      <w:color w:val="auto"/>
                      <w:sz w:val="21"/>
                      <w:szCs w:val="21"/>
                      <w:lang w:val="en-US" w:eastAsia="zh-CN" w:bidi="ar-SA"/>
                    </w:rPr>
                    <w:t>7</w:t>
                  </w:r>
                </w:p>
              </w:tc>
              <w:tc>
                <w:tcPr>
                  <w:tcW w:w="1395" w:type="pct"/>
                  <w:vAlign w:val="center"/>
                </w:tcPr>
                <w:p w14:paraId="5083FE3C">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废油桶</w:t>
                  </w:r>
                </w:p>
              </w:tc>
              <w:tc>
                <w:tcPr>
                  <w:tcW w:w="802" w:type="pct"/>
                  <w:vAlign w:val="center"/>
                </w:tcPr>
                <w:p w14:paraId="2F6A0156">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0.0</w:t>
                  </w:r>
                  <w:r>
                    <w:rPr>
                      <w:rFonts w:hint="default" w:ascii="Times New Roman" w:hAnsi="Times New Roman" w:cs="Times New Roman"/>
                      <w:color w:val="auto"/>
                      <w:sz w:val="21"/>
                      <w:szCs w:val="21"/>
                      <w:lang w:val="en-US" w:eastAsia="zh-CN"/>
                    </w:rPr>
                    <w:t>8</w:t>
                  </w:r>
                </w:p>
              </w:tc>
              <w:tc>
                <w:tcPr>
                  <w:tcW w:w="1136" w:type="pct"/>
                  <w:vAlign w:val="center"/>
                </w:tcPr>
                <w:p w14:paraId="05E99F1D">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HW49其他废物</w:t>
                  </w:r>
                </w:p>
              </w:tc>
              <w:tc>
                <w:tcPr>
                  <w:tcW w:w="1388" w:type="pct"/>
                  <w:vMerge w:val="continue"/>
                  <w:vAlign w:val="center"/>
                </w:tcPr>
                <w:p w14:paraId="6F301C8C">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z w:val="21"/>
                      <w:szCs w:val="21"/>
                    </w:rPr>
                  </w:pPr>
                </w:p>
              </w:tc>
            </w:tr>
            <w:tr w14:paraId="6F760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277" w:type="pct"/>
                  <w:vAlign w:val="center"/>
                </w:tcPr>
                <w:p w14:paraId="42DB8314">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cs="Times New Roman"/>
                      <w:snapToGrid w:val="0"/>
                      <w:color w:val="auto"/>
                      <w:sz w:val="21"/>
                      <w:szCs w:val="21"/>
                      <w:lang w:val="en-US" w:eastAsia="zh-CN" w:bidi="ar-SA"/>
                    </w:rPr>
                    <w:t>8</w:t>
                  </w:r>
                </w:p>
              </w:tc>
              <w:tc>
                <w:tcPr>
                  <w:tcW w:w="1395" w:type="pct"/>
                  <w:vAlign w:val="center"/>
                </w:tcPr>
                <w:p w14:paraId="26B48E35">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废活性炭</w:t>
                  </w:r>
                </w:p>
              </w:tc>
              <w:tc>
                <w:tcPr>
                  <w:tcW w:w="802" w:type="pct"/>
                  <w:vAlign w:val="center"/>
                </w:tcPr>
                <w:p w14:paraId="5CEBC263">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1.8t/a</w:t>
                  </w:r>
                </w:p>
              </w:tc>
              <w:tc>
                <w:tcPr>
                  <w:tcW w:w="1136" w:type="pct"/>
                  <w:vAlign w:val="center"/>
                </w:tcPr>
                <w:p w14:paraId="6FB749E7">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HW49其他废物</w:t>
                  </w:r>
                </w:p>
              </w:tc>
              <w:tc>
                <w:tcPr>
                  <w:tcW w:w="1388" w:type="pct"/>
                  <w:vMerge w:val="continue"/>
                  <w:vAlign w:val="center"/>
                </w:tcPr>
                <w:p w14:paraId="104C76D0">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z w:val="21"/>
                      <w:szCs w:val="21"/>
                    </w:rPr>
                  </w:pPr>
                </w:p>
              </w:tc>
            </w:tr>
          </w:tbl>
          <w:p w14:paraId="6953DBEA">
            <w:pPr>
              <w:autoSpaceDE w:val="0"/>
              <w:snapToGrid w:val="0"/>
              <w:spacing w:line="480" w:lineRule="atLeast"/>
              <w:jc w:val="center"/>
              <w:rPr>
                <w:rFonts w:hint="default" w:ascii="Times New Roman" w:hAnsi="Times New Roman" w:cs="Times New Roman"/>
                <w:b/>
                <w:bCs/>
                <w:color w:val="auto"/>
                <w:sz w:val="24"/>
                <w:szCs w:val="24"/>
              </w:rPr>
            </w:pPr>
            <w:r>
              <w:rPr>
                <w:rFonts w:hint="default" w:ascii="Times New Roman" w:hAnsi="Times New Roman" w:cs="Times New Roman"/>
                <w:b/>
                <w:color w:val="auto"/>
                <w:sz w:val="24"/>
                <w:szCs w:val="24"/>
              </w:rPr>
              <w:t>表</w:t>
            </w:r>
            <w:r>
              <w:rPr>
                <w:rFonts w:hint="eastAsia" w:ascii="Times New Roman" w:hAnsi="Times New Roman" w:cs="Times New Roman"/>
                <w:b/>
                <w:color w:val="auto"/>
                <w:sz w:val="24"/>
                <w:szCs w:val="24"/>
                <w:lang w:val="en-US" w:eastAsia="zh-CN"/>
              </w:rPr>
              <w:t>28</w:t>
            </w:r>
            <w:r>
              <w:rPr>
                <w:rFonts w:hint="default" w:ascii="Times New Roman" w:hAnsi="Times New Roman" w:cs="Times New Roman"/>
                <w:b/>
                <w:bCs/>
                <w:color w:val="auto"/>
                <w:sz w:val="24"/>
                <w:szCs w:val="24"/>
              </w:rPr>
              <w:t>危险废物汇总表</w:t>
            </w:r>
          </w:p>
          <w:tbl>
            <w:tblPr>
              <w:tblStyle w:val="34"/>
              <w:tblW w:w="8155"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
            <w:tblGrid>
              <w:gridCol w:w="506"/>
              <w:gridCol w:w="885"/>
              <w:gridCol w:w="1350"/>
              <w:gridCol w:w="1129"/>
              <w:gridCol w:w="1121"/>
              <w:gridCol w:w="1170"/>
              <w:gridCol w:w="457"/>
              <w:gridCol w:w="569"/>
              <w:gridCol w:w="968"/>
            </w:tblGrid>
            <w:tr w14:paraId="66C8240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54" w:hRule="atLeast"/>
                <w:jc w:val="center"/>
              </w:trPr>
              <w:tc>
                <w:tcPr>
                  <w:tcW w:w="506" w:type="dxa"/>
                  <w:vAlign w:val="center"/>
                </w:tcPr>
                <w:p w14:paraId="0CA08A66">
                  <w:pPr>
                    <w:spacing w:line="360" w:lineRule="exac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序号</w:t>
                  </w:r>
                </w:p>
              </w:tc>
              <w:tc>
                <w:tcPr>
                  <w:tcW w:w="885" w:type="dxa"/>
                  <w:vAlign w:val="center"/>
                </w:tcPr>
                <w:p w14:paraId="1EB13EDC">
                  <w:pPr>
                    <w:spacing w:line="360" w:lineRule="exac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危险废物名称</w:t>
                  </w:r>
                </w:p>
              </w:tc>
              <w:tc>
                <w:tcPr>
                  <w:tcW w:w="1350" w:type="dxa"/>
                  <w:vAlign w:val="center"/>
                </w:tcPr>
                <w:p w14:paraId="6642C44F">
                  <w:pPr>
                    <w:spacing w:line="360" w:lineRule="exac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危险废物类别及代码</w:t>
                  </w:r>
                </w:p>
              </w:tc>
              <w:tc>
                <w:tcPr>
                  <w:tcW w:w="1129" w:type="dxa"/>
                  <w:vAlign w:val="center"/>
                </w:tcPr>
                <w:p w14:paraId="68B3F977">
                  <w:pPr>
                    <w:spacing w:line="360" w:lineRule="exac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行业来源</w:t>
                  </w:r>
                </w:p>
              </w:tc>
              <w:tc>
                <w:tcPr>
                  <w:tcW w:w="1121" w:type="dxa"/>
                  <w:vAlign w:val="center"/>
                </w:tcPr>
                <w:p w14:paraId="30D9B5B4">
                  <w:pPr>
                    <w:spacing w:line="360" w:lineRule="exac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产生量</w:t>
                  </w:r>
                </w:p>
                <w:p w14:paraId="071FA128">
                  <w:pPr>
                    <w:spacing w:line="360" w:lineRule="exac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t/a</w:t>
                  </w:r>
                </w:p>
              </w:tc>
              <w:tc>
                <w:tcPr>
                  <w:tcW w:w="1170" w:type="dxa"/>
                  <w:vAlign w:val="center"/>
                </w:tcPr>
                <w:p w14:paraId="1E616E9F">
                  <w:pPr>
                    <w:spacing w:line="360" w:lineRule="exac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产生工序及装置</w:t>
                  </w:r>
                </w:p>
              </w:tc>
              <w:tc>
                <w:tcPr>
                  <w:tcW w:w="457" w:type="dxa"/>
                  <w:vAlign w:val="center"/>
                </w:tcPr>
                <w:p w14:paraId="2CFC5BD8">
                  <w:pPr>
                    <w:spacing w:line="360" w:lineRule="exac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形态</w:t>
                  </w:r>
                </w:p>
              </w:tc>
              <w:tc>
                <w:tcPr>
                  <w:tcW w:w="569" w:type="dxa"/>
                  <w:vAlign w:val="center"/>
                </w:tcPr>
                <w:p w14:paraId="7143FC81">
                  <w:pPr>
                    <w:spacing w:line="360" w:lineRule="exac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危险特性</w:t>
                  </w:r>
                </w:p>
              </w:tc>
              <w:tc>
                <w:tcPr>
                  <w:tcW w:w="968" w:type="dxa"/>
                  <w:vAlign w:val="center"/>
                </w:tcPr>
                <w:p w14:paraId="3743EA7D">
                  <w:pPr>
                    <w:spacing w:line="360" w:lineRule="exac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污染防治措施</w:t>
                  </w:r>
                </w:p>
              </w:tc>
            </w:tr>
            <w:tr w14:paraId="7460643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54" w:hRule="atLeast"/>
                <w:jc w:val="center"/>
              </w:trPr>
              <w:tc>
                <w:tcPr>
                  <w:tcW w:w="506" w:type="dxa"/>
                  <w:vAlign w:val="center"/>
                </w:tcPr>
                <w:p w14:paraId="4D38031E">
                  <w:pPr>
                    <w:spacing w:line="36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885" w:type="dxa"/>
                  <w:vAlign w:val="center"/>
                </w:tcPr>
                <w:p w14:paraId="221DB2B4">
                  <w:pPr>
                    <w:spacing w:line="360" w:lineRule="exact"/>
                    <w:jc w:val="center"/>
                    <w:rPr>
                      <w:rFonts w:hint="eastAsia" w:ascii="Times New Roman" w:hAnsi="Times New Roman" w:eastAsia="宋体" w:cs="Times New Roman"/>
                      <w:color w:val="auto"/>
                      <w:sz w:val="21"/>
                      <w:szCs w:val="21"/>
                      <w:lang w:eastAsia="zh-CN" w:bidi="ar"/>
                    </w:rPr>
                  </w:pPr>
                  <w:r>
                    <w:rPr>
                      <w:rFonts w:hint="eastAsia" w:ascii="Times New Roman" w:hAnsi="Times New Roman" w:cs="Times New Roman"/>
                      <w:color w:val="auto"/>
                      <w:sz w:val="21"/>
                      <w:szCs w:val="21"/>
                      <w:lang w:eastAsia="zh-CN"/>
                    </w:rPr>
                    <w:t>废机油</w:t>
                  </w:r>
                </w:p>
              </w:tc>
              <w:tc>
                <w:tcPr>
                  <w:tcW w:w="1350" w:type="dxa"/>
                  <w:vAlign w:val="center"/>
                </w:tcPr>
                <w:p w14:paraId="3B6B3D56">
                  <w:pPr>
                    <w:spacing w:line="360" w:lineRule="exact"/>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HW08</w:t>
                  </w:r>
                </w:p>
                <w:p w14:paraId="607335FF">
                  <w:pPr>
                    <w:spacing w:line="360" w:lineRule="exact"/>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900-217-08</w:t>
                  </w:r>
                </w:p>
              </w:tc>
              <w:tc>
                <w:tcPr>
                  <w:tcW w:w="1129" w:type="dxa"/>
                  <w:vAlign w:val="center"/>
                </w:tcPr>
                <w:p w14:paraId="1E62E73C">
                  <w:pPr>
                    <w:widowControl/>
                    <w:spacing w:line="360" w:lineRule="exact"/>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非特定行业</w:t>
                  </w:r>
                </w:p>
              </w:tc>
              <w:tc>
                <w:tcPr>
                  <w:tcW w:w="1121" w:type="dxa"/>
                  <w:vAlign w:val="center"/>
                </w:tcPr>
                <w:p w14:paraId="794D78C9">
                  <w:pPr>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cs="Times New Roman"/>
                      <w:color w:val="auto"/>
                      <w:sz w:val="21"/>
                      <w:szCs w:val="21"/>
                      <w:lang w:val="en-US" w:eastAsia="zh-CN"/>
                    </w:rPr>
                    <w:t>0.8</w:t>
                  </w:r>
                </w:p>
              </w:tc>
              <w:tc>
                <w:tcPr>
                  <w:tcW w:w="1170" w:type="dxa"/>
                  <w:vAlign w:val="center"/>
                </w:tcPr>
                <w:p w14:paraId="47FCF16E">
                  <w:pPr>
                    <w:spacing w:line="360" w:lineRule="exact"/>
                    <w:jc w:val="center"/>
                    <w:rPr>
                      <w:rFonts w:hint="eastAsia" w:ascii="Times New Roman" w:hAnsi="Times New Roman" w:eastAsia="宋体" w:cs="Times New Roman"/>
                      <w:color w:val="auto"/>
                      <w:sz w:val="21"/>
                      <w:szCs w:val="21"/>
                      <w:lang w:eastAsia="zh-CN" w:bidi="ar"/>
                    </w:rPr>
                  </w:pPr>
                  <w:r>
                    <w:rPr>
                      <w:rFonts w:hint="eastAsia" w:ascii="Times New Roman" w:hAnsi="Times New Roman" w:cs="Times New Roman"/>
                      <w:color w:val="auto"/>
                      <w:sz w:val="21"/>
                      <w:szCs w:val="21"/>
                      <w:lang w:eastAsia="zh-CN"/>
                    </w:rPr>
                    <w:t>生产设备</w:t>
                  </w:r>
                </w:p>
              </w:tc>
              <w:tc>
                <w:tcPr>
                  <w:tcW w:w="457" w:type="dxa"/>
                  <w:vAlign w:val="center"/>
                </w:tcPr>
                <w:p w14:paraId="0438F229">
                  <w:pPr>
                    <w:widowControl/>
                    <w:spacing w:line="360" w:lineRule="exact"/>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液态</w:t>
                  </w:r>
                </w:p>
              </w:tc>
              <w:tc>
                <w:tcPr>
                  <w:tcW w:w="569" w:type="dxa"/>
                  <w:vAlign w:val="center"/>
                </w:tcPr>
                <w:p w14:paraId="6D30AE21">
                  <w:pPr>
                    <w:widowControl/>
                    <w:spacing w:line="360" w:lineRule="exact"/>
                    <w:jc w:val="center"/>
                    <w:rPr>
                      <w:rFonts w:hint="default" w:ascii="Times New Roman" w:hAnsi="Times New Roman" w:eastAsia="宋体" w:cs="Times New Roman"/>
                      <w:color w:val="auto"/>
                      <w:sz w:val="21"/>
                      <w:szCs w:val="21"/>
                      <w:lang w:eastAsia="zh-CN" w:bidi="ar"/>
                    </w:rPr>
                  </w:pPr>
                  <w:r>
                    <w:rPr>
                      <w:rFonts w:hint="default" w:ascii="Times New Roman" w:hAnsi="Times New Roman" w:cs="Times New Roman"/>
                      <w:color w:val="auto"/>
                      <w:sz w:val="21"/>
                      <w:szCs w:val="21"/>
                      <w:lang w:bidi="ar"/>
                    </w:rPr>
                    <w:t>T，I</w:t>
                  </w:r>
                </w:p>
              </w:tc>
              <w:tc>
                <w:tcPr>
                  <w:tcW w:w="968" w:type="dxa"/>
                  <w:vMerge w:val="restart"/>
                  <w:vAlign w:val="center"/>
                </w:tcPr>
                <w:p w14:paraId="6427E9A6">
                  <w:pPr>
                    <w:spacing w:line="36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在危废贮存间内暂存，定期由有资质单位处置</w:t>
                  </w:r>
                </w:p>
              </w:tc>
            </w:tr>
            <w:tr w14:paraId="42C3984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54" w:hRule="atLeast"/>
                <w:jc w:val="center"/>
              </w:trPr>
              <w:tc>
                <w:tcPr>
                  <w:tcW w:w="506" w:type="dxa"/>
                  <w:vAlign w:val="center"/>
                </w:tcPr>
                <w:p w14:paraId="5746F7A7">
                  <w:pPr>
                    <w:spacing w:line="36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w:t>
                  </w:r>
                </w:p>
              </w:tc>
              <w:tc>
                <w:tcPr>
                  <w:tcW w:w="885" w:type="dxa"/>
                  <w:vAlign w:val="center"/>
                </w:tcPr>
                <w:p w14:paraId="39A3D8AC">
                  <w:pPr>
                    <w:spacing w:line="36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废油桶</w:t>
                  </w:r>
                </w:p>
              </w:tc>
              <w:tc>
                <w:tcPr>
                  <w:tcW w:w="1350" w:type="dxa"/>
                  <w:vAlign w:val="center"/>
                </w:tcPr>
                <w:p w14:paraId="4B241DC1">
                  <w:pPr>
                    <w:spacing w:line="360" w:lineRule="exact"/>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HW</w:t>
                  </w:r>
                  <w:r>
                    <w:rPr>
                      <w:rFonts w:hint="default" w:ascii="Times New Roman" w:hAnsi="Times New Roman" w:cs="Times New Roman"/>
                      <w:color w:val="auto"/>
                      <w:sz w:val="21"/>
                      <w:szCs w:val="21"/>
                      <w:lang w:val="en-US" w:eastAsia="zh-CN"/>
                    </w:rPr>
                    <w:t>08</w:t>
                  </w:r>
                </w:p>
                <w:p w14:paraId="6EE6A26C">
                  <w:pPr>
                    <w:spacing w:line="360" w:lineRule="exact"/>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900-249-08</w:t>
                  </w:r>
                </w:p>
              </w:tc>
              <w:tc>
                <w:tcPr>
                  <w:tcW w:w="1129" w:type="dxa"/>
                  <w:vAlign w:val="center"/>
                </w:tcPr>
                <w:p w14:paraId="5B0296D0">
                  <w:pPr>
                    <w:widowControl/>
                    <w:spacing w:line="360" w:lineRule="exact"/>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非特定行业</w:t>
                  </w:r>
                </w:p>
              </w:tc>
              <w:tc>
                <w:tcPr>
                  <w:tcW w:w="1121" w:type="dxa"/>
                  <w:vAlign w:val="center"/>
                </w:tcPr>
                <w:p w14:paraId="32949BF7">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0.0</w:t>
                  </w:r>
                  <w:r>
                    <w:rPr>
                      <w:rFonts w:hint="default" w:ascii="Times New Roman" w:hAnsi="Times New Roman" w:cs="Times New Roman"/>
                      <w:color w:val="auto"/>
                      <w:sz w:val="21"/>
                      <w:szCs w:val="21"/>
                      <w:lang w:val="en-US" w:eastAsia="zh-CN"/>
                    </w:rPr>
                    <w:t>8</w:t>
                  </w:r>
                </w:p>
              </w:tc>
              <w:tc>
                <w:tcPr>
                  <w:tcW w:w="1170" w:type="dxa"/>
                  <w:vAlign w:val="center"/>
                </w:tcPr>
                <w:p w14:paraId="193E4D56">
                  <w:pPr>
                    <w:spacing w:line="360" w:lineRule="exact"/>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rPr>
                    <w:t>生产设备</w:t>
                  </w:r>
                </w:p>
              </w:tc>
              <w:tc>
                <w:tcPr>
                  <w:tcW w:w="457" w:type="dxa"/>
                  <w:vAlign w:val="center"/>
                </w:tcPr>
                <w:p w14:paraId="5725D585">
                  <w:pPr>
                    <w:widowControl/>
                    <w:spacing w:line="360" w:lineRule="exact"/>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固态</w:t>
                  </w:r>
                </w:p>
              </w:tc>
              <w:tc>
                <w:tcPr>
                  <w:tcW w:w="569" w:type="dxa"/>
                  <w:vAlign w:val="center"/>
                </w:tcPr>
                <w:p w14:paraId="0AAE200D">
                  <w:pPr>
                    <w:widowControl/>
                    <w:spacing w:line="360" w:lineRule="exact"/>
                    <w:jc w:val="center"/>
                    <w:rPr>
                      <w:rFonts w:hint="default" w:ascii="Times New Roman" w:hAnsi="Times New Roman" w:eastAsia="宋体" w:cs="Times New Roman"/>
                      <w:color w:val="auto"/>
                      <w:sz w:val="21"/>
                      <w:szCs w:val="21"/>
                      <w:lang w:eastAsia="zh-CN" w:bidi="ar"/>
                    </w:rPr>
                  </w:pPr>
                  <w:r>
                    <w:rPr>
                      <w:rFonts w:hint="default" w:ascii="Times New Roman" w:hAnsi="Times New Roman" w:cs="Times New Roman"/>
                      <w:color w:val="auto"/>
                      <w:sz w:val="21"/>
                      <w:szCs w:val="21"/>
                      <w:lang w:bidi="ar"/>
                    </w:rPr>
                    <w:t>T/In</w:t>
                  </w:r>
                </w:p>
              </w:tc>
              <w:tc>
                <w:tcPr>
                  <w:tcW w:w="968" w:type="dxa"/>
                  <w:vMerge w:val="continue"/>
                  <w:vAlign w:val="center"/>
                </w:tcPr>
                <w:p w14:paraId="644F8A3A">
                  <w:pPr>
                    <w:spacing w:line="360" w:lineRule="exact"/>
                    <w:jc w:val="center"/>
                    <w:rPr>
                      <w:rFonts w:hint="default" w:ascii="Times New Roman" w:hAnsi="Times New Roman" w:cs="Times New Roman"/>
                      <w:color w:val="auto"/>
                      <w:sz w:val="21"/>
                      <w:szCs w:val="21"/>
                    </w:rPr>
                  </w:pPr>
                </w:p>
              </w:tc>
            </w:tr>
            <w:tr w14:paraId="4948297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54" w:hRule="atLeast"/>
                <w:jc w:val="center"/>
              </w:trPr>
              <w:tc>
                <w:tcPr>
                  <w:tcW w:w="506" w:type="dxa"/>
                  <w:vAlign w:val="center"/>
                </w:tcPr>
                <w:p w14:paraId="62C7239F">
                  <w:pPr>
                    <w:spacing w:line="36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w:t>
                  </w:r>
                </w:p>
              </w:tc>
              <w:tc>
                <w:tcPr>
                  <w:tcW w:w="885" w:type="dxa"/>
                  <w:vAlign w:val="center"/>
                </w:tcPr>
                <w:p w14:paraId="015931C0">
                  <w:pPr>
                    <w:spacing w:line="36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废活性炭</w:t>
                  </w:r>
                </w:p>
              </w:tc>
              <w:tc>
                <w:tcPr>
                  <w:tcW w:w="1350" w:type="dxa"/>
                  <w:vAlign w:val="center"/>
                </w:tcPr>
                <w:p w14:paraId="1A7ED237">
                  <w:pPr>
                    <w:spacing w:line="36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HW49</w:t>
                  </w:r>
                </w:p>
                <w:p w14:paraId="7619D642">
                  <w:pPr>
                    <w:spacing w:line="36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900-039-49</w:t>
                  </w:r>
                </w:p>
              </w:tc>
              <w:tc>
                <w:tcPr>
                  <w:tcW w:w="1129" w:type="dxa"/>
                  <w:vAlign w:val="center"/>
                </w:tcPr>
                <w:p w14:paraId="4ABD36BF">
                  <w:pPr>
                    <w:widowControl/>
                    <w:spacing w:line="360" w:lineRule="exact"/>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非特定行业</w:t>
                  </w:r>
                </w:p>
              </w:tc>
              <w:tc>
                <w:tcPr>
                  <w:tcW w:w="1121" w:type="dxa"/>
                  <w:vAlign w:val="center"/>
                </w:tcPr>
                <w:p w14:paraId="06A1392A">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1.8t/a</w:t>
                  </w:r>
                </w:p>
              </w:tc>
              <w:tc>
                <w:tcPr>
                  <w:tcW w:w="1170" w:type="dxa"/>
                  <w:vAlign w:val="center"/>
                </w:tcPr>
                <w:p w14:paraId="3583B6E0">
                  <w:pPr>
                    <w:spacing w:line="360" w:lineRule="exact"/>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rPr>
                    <w:t>环保设备</w:t>
                  </w:r>
                </w:p>
              </w:tc>
              <w:tc>
                <w:tcPr>
                  <w:tcW w:w="457" w:type="dxa"/>
                  <w:vAlign w:val="center"/>
                </w:tcPr>
                <w:p w14:paraId="6CD82574">
                  <w:pPr>
                    <w:widowControl/>
                    <w:spacing w:line="360" w:lineRule="exact"/>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固态</w:t>
                  </w:r>
                </w:p>
              </w:tc>
              <w:tc>
                <w:tcPr>
                  <w:tcW w:w="569" w:type="dxa"/>
                  <w:vAlign w:val="center"/>
                </w:tcPr>
                <w:p w14:paraId="03EFE81C">
                  <w:pPr>
                    <w:widowControl/>
                    <w:spacing w:line="360" w:lineRule="exact"/>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T</w:t>
                  </w:r>
                </w:p>
              </w:tc>
              <w:tc>
                <w:tcPr>
                  <w:tcW w:w="968" w:type="dxa"/>
                  <w:vMerge w:val="continue"/>
                  <w:vAlign w:val="center"/>
                </w:tcPr>
                <w:p w14:paraId="764EF721">
                  <w:pPr>
                    <w:spacing w:line="360" w:lineRule="exact"/>
                    <w:jc w:val="center"/>
                    <w:rPr>
                      <w:rFonts w:hint="default" w:ascii="Times New Roman" w:hAnsi="Times New Roman" w:cs="Times New Roman"/>
                      <w:color w:val="auto"/>
                      <w:sz w:val="21"/>
                      <w:szCs w:val="21"/>
                    </w:rPr>
                  </w:pPr>
                </w:p>
              </w:tc>
            </w:tr>
          </w:tbl>
          <w:p w14:paraId="410DC026">
            <w:pPr>
              <w:snapToGrid w:val="0"/>
              <w:spacing w:line="480" w:lineRule="atLeast"/>
              <w:jc w:val="center"/>
              <w:rPr>
                <w:rFonts w:hint="default" w:ascii="Times New Roman" w:hAnsi="Times New Roman" w:cs="Times New Roman"/>
                <w:b/>
                <w:bCs/>
                <w:color w:val="auto"/>
                <w:sz w:val="24"/>
                <w:szCs w:val="24"/>
              </w:rPr>
            </w:pPr>
            <w:r>
              <w:rPr>
                <w:rFonts w:hint="default" w:ascii="Times New Roman" w:hAnsi="Times New Roman" w:cs="Times New Roman"/>
                <w:b/>
                <w:color w:val="auto"/>
                <w:sz w:val="24"/>
                <w:szCs w:val="24"/>
              </w:rPr>
              <w:t>表</w:t>
            </w:r>
            <w:r>
              <w:rPr>
                <w:rFonts w:hint="eastAsia" w:ascii="Times New Roman" w:hAnsi="Times New Roman" w:cs="Times New Roman"/>
                <w:b/>
                <w:color w:val="auto"/>
                <w:sz w:val="24"/>
                <w:szCs w:val="24"/>
                <w:lang w:val="en-US" w:eastAsia="zh-CN"/>
              </w:rPr>
              <w:t>29</w:t>
            </w:r>
            <w:r>
              <w:rPr>
                <w:rFonts w:hint="default" w:ascii="Times New Roman" w:hAnsi="Times New Roman" w:cs="Times New Roman"/>
                <w:b/>
                <w:bCs/>
                <w:color w:val="auto"/>
                <w:sz w:val="24"/>
                <w:szCs w:val="24"/>
              </w:rPr>
              <w:t>建设项目危险废物贮存场所（设施）基本情况表</w:t>
            </w:r>
          </w:p>
          <w:tbl>
            <w:tblPr>
              <w:tblStyle w:val="34"/>
              <w:tblW w:w="82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382"/>
              <w:gridCol w:w="735"/>
              <w:gridCol w:w="1531"/>
              <w:gridCol w:w="1464"/>
              <w:gridCol w:w="1094"/>
              <w:gridCol w:w="579"/>
              <w:gridCol w:w="615"/>
              <w:gridCol w:w="555"/>
              <w:gridCol w:w="684"/>
              <w:gridCol w:w="575"/>
            </w:tblGrid>
            <w:tr w14:paraId="4F446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382" w:type="dxa"/>
                  <w:vAlign w:val="center"/>
                </w:tcPr>
                <w:p w14:paraId="38137B90">
                  <w:pPr>
                    <w:topLinePunc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序号</w:t>
                  </w:r>
                </w:p>
              </w:tc>
              <w:tc>
                <w:tcPr>
                  <w:tcW w:w="735" w:type="dxa"/>
                  <w:vAlign w:val="center"/>
                </w:tcPr>
                <w:p w14:paraId="5C3C5246">
                  <w:pPr>
                    <w:topLinePunc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贮存场所名称</w:t>
                  </w:r>
                </w:p>
              </w:tc>
              <w:tc>
                <w:tcPr>
                  <w:tcW w:w="1531" w:type="dxa"/>
                  <w:vAlign w:val="center"/>
                </w:tcPr>
                <w:p w14:paraId="188C9EF6">
                  <w:pPr>
                    <w:topLinePunc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危险废物</w:t>
                  </w:r>
                </w:p>
                <w:p w14:paraId="497892FD">
                  <w:pPr>
                    <w:topLinePunc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名称</w:t>
                  </w:r>
                </w:p>
              </w:tc>
              <w:tc>
                <w:tcPr>
                  <w:tcW w:w="1464" w:type="dxa"/>
                  <w:vAlign w:val="center"/>
                </w:tcPr>
                <w:p w14:paraId="24B301F3">
                  <w:pPr>
                    <w:topLinePunc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危险废物类别</w:t>
                  </w:r>
                </w:p>
              </w:tc>
              <w:tc>
                <w:tcPr>
                  <w:tcW w:w="1094" w:type="dxa"/>
                  <w:vAlign w:val="center"/>
                </w:tcPr>
                <w:p w14:paraId="31FE3703">
                  <w:pPr>
                    <w:topLinePunc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危险废物代码</w:t>
                  </w:r>
                </w:p>
              </w:tc>
              <w:tc>
                <w:tcPr>
                  <w:tcW w:w="579" w:type="dxa"/>
                  <w:vAlign w:val="center"/>
                </w:tcPr>
                <w:p w14:paraId="7A04D91E">
                  <w:pPr>
                    <w:topLinePunc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位置</w:t>
                  </w:r>
                </w:p>
              </w:tc>
              <w:tc>
                <w:tcPr>
                  <w:tcW w:w="615" w:type="dxa"/>
                  <w:vAlign w:val="center"/>
                </w:tcPr>
                <w:p w14:paraId="2CAFCCBA">
                  <w:pPr>
                    <w:topLinePunc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占地</w:t>
                  </w:r>
                </w:p>
                <w:p w14:paraId="2AE45B65">
                  <w:pPr>
                    <w:topLinePunc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面积</w:t>
                  </w:r>
                </w:p>
              </w:tc>
              <w:tc>
                <w:tcPr>
                  <w:tcW w:w="555" w:type="dxa"/>
                  <w:vAlign w:val="center"/>
                </w:tcPr>
                <w:p w14:paraId="12955A11">
                  <w:pPr>
                    <w:topLinePunc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贮存方式</w:t>
                  </w:r>
                </w:p>
              </w:tc>
              <w:tc>
                <w:tcPr>
                  <w:tcW w:w="684" w:type="dxa"/>
                  <w:vAlign w:val="center"/>
                </w:tcPr>
                <w:p w14:paraId="4F7B68EE">
                  <w:pPr>
                    <w:topLinePunc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贮存</w:t>
                  </w:r>
                </w:p>
                <w:p w14:paraId="2147CBF6">
                  <w:pPr>
                    <w:topLinePunc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能力</w:t>
                  </w:r>
                </w:p>
              </w:tc>
              <w:tc>
                <w:tcPr>
                  <w:tcW w:w="575" w:type="dxa"/>
                  <w:vAlign w:val="center"/>
                </w:tcPr>
                <w:p w14:paraId="6B8C22CF">
                  <w:pPr>
                    <w:topLinePunc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贮存</w:t>
                  </w:r>
                </w:p>
                <w:p w14:paraId="02F733BB">
                  <w:pPr>
                    <w:topLinePunc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周期</w:t>
                  </w:r>
                </w:p>
              </w:tc>
            </w:tr>
            <w:tr w14:paraId="6D49A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43" w:hRule="atLeast"/>
                <w:jc w:val="center"/>
              </w:trPr>
              <w:tc>
                <w:tcPr>
                  <w:tcW w:w="382" w:type="dxa"/>
                  <w:vAlign w:val="center"/>
                </w:tcPr>
                <w:p w14:paraId="0F577A5A">
                  <w:pPr>
                    <w:topLinePunct/>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1</w:t>
                  </w:r>
                </w:p>
              </w:tc>
              <w:tc>
                <w:tcPr>
                  <w:tcW w:w="735" w:type="dxa"/>
                  <w:vMerge w:val="restart"/>
                  <w:vAlign w:val="center"/>
                </w:tcPr>
                <w:p w14:paraId="185B008D">
                  <w:pPr>
                    <w:jc w:val="center"/>
                    <w:rPr>
                      <w:rFonts w:hint="default" w:ascii="Times New Roman" w:hAnsi="Times New Roman" w:cs="Times New Roman"/>
                      <w:color w:val="auto"/>
                      <w:sz w:val="21"/>
                      <w:szCs w:val="21"/>
                    </w:rPr>
                  </w:pPr>
                  <w:r>
                    <w:rPr>
                      <w:rFonts w:hint="eastAsia" w:ascii="Times New Roman" w:hAnsi="Times New Roman" w:cs="Times New Roman"/>
                      <w:color w:val="auto"/>
                      <w:sz w:val="21"/>
                      <w:szCs w:val="21"/>
                      <w:lang w:eastAsia="zh-CN"/>
                    </w:rPr>
                    <w:t>危废间</w:t>
                  </w:r>
                </w:p>
              </w:tc>
              <w:tc>
                <w:tcPr>
                  <w:tcW w:w="1531" w:type="dxa"/>
                  <w:vAlign w:val="center"/>
                </w:tcPr>
                <w:p w14:paraId="60F31499">
                  <w:pPr>
                    <w:jc w:val="center"/>
                    <w:rPr>
                      <w:rFonts w:hint="eastAsia" w:ascii="Times New Roman" w:hAnsi="Times New Roman" w:eastAsia="宋体" w:cs="Times New Roman"/>
                      <w:b/>
                      <w:bCs/>
                      <w:color w:val="auto"/>
                      <w:sz w:val="21"/>
                      <w:szCs w:val="21"/>
                      <w:lang w:eastAsia="zh-CN"/>
                    </w:rPr>
                  </w:pPr>
                  <w:r>
                    <w:rPr>
                      <w:rFonts w:hint="eastAsia" w:ascii="Times New Roman" w:hAnsi="Times New Roman" w:cs="Times New Roman"/>
                      <w:color w:val="auto"/>
                      <w:sz w:val="21"/>
                      <w:szCs w:val="21"/>
                      <w:lang w:eastAsia="zh-CN"/>
                    </w:rPr>
                    <w:t>废机油</w:t>
                  </w:r>
                </w:p>
              </w:tc>
              <w:tc>
                <w:tcPr>
                  <w:tcW w:w="1464" w:type="dxa"/>
                  <w:vMerge w:val="restart"/>
                  <w:vAlign w:val="center"/>
                </w:tcPr>
                <w:p w14:paraId="14A66BDA">
                  <w:pPr>
                    <w:jc w:val="center"/>
                    <w:rPr>
                      <w:rFonts w:hint="default" w:ascii="Times New Roman" w:hAnsi="Times New Roman" w:cs="Times New Roman"/>
                      <w:b/>
                      <w:bCs/>
                      <w:color w:val="auto"/>
                      <w:sz w:val="21"/>
                      <w:szCs w:val="21"/>
                    </w:rPr>
                  </w:pPr>
                  <w:r>
                    <w:rPr>
                      <w:rFonts w:hint="default" w:ascii="Times New Roman" w:hAnsi="Times New Roman" w:cs="Times New Roman"/>
                      <w:color w:val="auto"/>
                      <w:sz w:val="21"/>
                      <w:szCs w:val="21"/>
                      <w:lang w:bidi="ar"/>
                    </w:rPr>
                    <w:t>HW08废矿物油与含矿物油废物</w:t>
                  </w:r>
                </w:p>
              </w:tc>
              <w:tc>
                <w:tcPr>
                  <w:tcW w:w="1094" w:type="dxa"/>
                  <w:vAlign w:val="center"/>
                </w:tcPr>
                <w:p w14:paraId="2770E07F">
                  <w:pPr>
                    <w:jc w:val="center"/>
                    <w:rPr>
                      <w:rFonts w:hint="default" w:ascii="Times New Roman" w:hAnsi="Times New Roman" w:eastAsia="宋体" w:cs="Times New Roman"/>
                      <w:b/>
                      <w:bCs/>
                      <w:color w:val="auto"/>
                      <w:sz w:val="21"/>
                      <w:szCs w:val="21"/>
                      <w:lang w:eastAsia="zh-CN"/>
                    </w:rPr>
                  </w:pPr>
                  <w:r>
                    <w:rPr>
                      <w:rFonts w:hint="default" w:ascii="Times New Roman" w:hAnsi="Times New Roman" w:cs="Times New Roman"/>
                      <w:color w:val="auto"/>
                      <w:sz w:val="21"/>
                      <w:szCs w:val="21"/>
                    </w:rPr>
                    <w:t>900-217-08</w:t>
                  </w:r>
                </w:p>
              </w:tc>
              <w:tc>
                <w:tcPr>
                  <w:tcW w:w="579" w:type="dxa"/>
                  <w:vMerge w:val="restart"/>
                  <w:vAlign w:val="center"/>
                </w:tcPr>
                <w:p w14:paraId="3A304A48">
                  <w:pPr>
                    <w:topLinePunct/>
                    <w:jc w:val="center"/>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eastAsia="zh-CN"/>
                    </w:rPr>
                    <w:t>厂区内</w:t>
                  </w:r>
                </w:p>
              </w:tc>
              <w:tc>
                <w:tcPr>
                  <w:tcW w:w="615" w:type="dxa"/>
                  <w:vMerge w:val="restart"/>
                  <w:vAlign w:val="center"/>
                </w:tcPr>
                <w:p w14:paraId="4538F3F4">
                  <w:pPr>
                    <w:topLinePunct/>
                    <w:jc w:val="center"/>
                    <w:rPr>
                      <w:rFonts w:hint="default"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20</w:t>
                  </w: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2</w:t>
                  </w:r>
                </w:p>
              </w:tc>
              <w:tc>
                <w:tcPr>
                  <w:tcW w:w="555" w:type="dxa"/>
                  <w:vAlign w:val="center"/>
                </w:tcPr>
                <w:p w14:paraId="555E2C3B">
                  <w:pPr>
                    <w:topLinePunct/>
                    <w:jc w:val="center"/>
                    <w:rPr>
                      <w:rFonts w:hint="default" w:ascii="Times New Roman" w:hAnsi="Times New Roman" w:cs="Times New Roman"/>
                      <w:b/>
                      <w:bCs/>
                      <w:color w:val="auto"/>
                      <w:sz w:val="21"/>
                      <w:szCs w:val="21"/>
                    </w:rPr>
                  </w:pPr>
                  <w:r>
                    <w:rPr>
                      <w:rFonts w:hint="default" w:ascii="Times New Roman" w:hAnsi="Times New Roman" w:cs="Times New Roman"/>
                      <w:color w:val="auto"/>
                      <w:sz w:val="21"/>
                      <w:szCs w:val="21"/>
                    </w:rPr>
                    <w:t>桶装</w:t>
                  </w:r>
                </w:p>
              </w:tc>
              <w:tc>
                <w:tcPr>
                  <w:tcW w:w="684" w:type="dxa"/>
                  <w:vAlign w:val="center"/>
                </w:tcPr>
                <w:p w14:paraId="3A123D7D">
                  <w:pPr>
                    <w:topLinePunct/>
                    <w:jc w:val="center"/>
                    <w:rPr>
                      <w:rFonts w:hint="default"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0.8</w:t>
                  </w:r>
                  <w:r>
                    <w:rPr>
                      <w:rFonts w:hint="default" w:ascii="Times New Roman" w:hAnsi="Times New Roman" w:cs="Times New Roman"/>
                      <w:color w:val="auto"/>
                      <w:sz w:val="21"/>
                      <w:szCs w:val="21"/>
                    </w:rPr>
                    <w:t>t</w:t>
                  </w:r>
                </w:p>
              </w:tc>
              <w:tc>
                <w:tcPr>
                  <w:tcW w:w="575" w:type="dxa"/>
                  <w:vAlign w:val="center"/>
                </w:tcPr>
                <w:p w14:paraId="3BA329D6">
                  <w:pPr>
                    <w:topLinePunct/>
                    <w:jc w:val="center"/>
                    <w:rPr>
                      <w:rFonts w:hint="default" w:ascii="Times New Roman" w:hAnsi="Times New Roman" w:cs="Times New Roman"/>
                      <w:b/>
                      <w:bCs/>
                      <w:color w:val="auto"/>
                      <w:sz w:val="21"/>
                      <w:szCs w:val="21"/>
                    </w:rPr>
                  </w:pPr>
                  <w:r>
                    <w:rPr>
                      <w:rFonts w:hint="default" w:ascii="Times New Roman" w:hAnsi="Times New Roman" w:cs="Times New Roman"/>
                      <w:color w:val="auto"/>
                      <w:sz w:val="21"/>
                      <w:szCs w:val="21"/>
                    </w:rPr>
                    <w:t>1年</w:t>
                  </w:r>
                </w:p>
              </w:tc>
            </w:tr>
            <w:tr w14:paraId="474FC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382" w:type="dxa"/>
                  <w:vAlign w:val="center"/>
                </w:tcPr>
                <w:p w14:paraId="51A4A2D9">
                  <w:pPr>
                    <w:topLinePunct/>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2</w:t>
                  </w:r>
                </w:p>
              </w:tc>
              <w:tc>
                <w:tcPr>
                  <w:tcW w:w="735" w:type="dxa"/>
                  <w:vMerge w:val="continue"/>
                  <w:vAlign w:val="center"/>
                </w:tcPr>
                <w:p w14:paraId="1E0A74AF">
                  <w:pPr>
                    <w:topLinePunct/>
                    <w:jc w:val="center"/>
                    <w:rPr>
                      <w:rFonts w:hint="default" w:ascii="Times New Roman" w:hAnsi="Times New Roman" w:cs="Times New Roman"/>
                      <w:b/>
                      <w:bCs/>
                      <w:color w:val="auto"/>
                      <w:sz w:val="21"/>
                      <w:szCs w:val="21"/>
                    </w:rPr>
                  </w:pPr>
                </w:p>
              </w:tc>
              <w:tc>
                <w:tcPr>
                  <w:tcW w:w="1531" w:type="dxa"/>
                  <w:vAlign w:val="center"/>
                </w:tcPr>
                <w:p w14:paraId="5C155793">
                  <w:pPr>
                    <w:jc w:val="center"/>
                    <w:rPr>
                      <w:rFonts w:hint="default" w:ascii="Times New Roman" w:hAnsi="Times New Roman" w:cs="Times New Roman"/>
                      <w:b/>
                      <w:bCs/>
                      <w:color w:val="auto"/>
                      <w:sz w:val="21"/>
                      <w:szCs w:val="21"/>
                    </w:rPr>
                  </w:pPr>
                  <w:r>
                    <w:rPr>
                      <w:rFonts w:hint="default" w:ascii="Times New Roman" w:hAnsi="Times New Roman" w:cs="Times New Roman"/>
                      <w:color w:val="auto"/>
                      <w:sz w:val="21"/>
                      <w:szCs w:val="21"/>
                    </w:rPr>
                    <w:t>废油桶</w:t>
                  </w:r>
                </w:p>
              </w:tc>
              <w:tc>
                <w:tcPr>
                  <w:tcW w:w="1464" w:type="dxa"/>
                  <w:vMerge w:val="continue"/>
                  <w:vAlign w:val="center"/>
                </w:tcPr>
                <w:p w14:paraId="466B0D7F">
                  <w:pPr>
                    <w:jc w:val="center"/>
                    <w:rPr>
                      <w:rFonts w:hint="default" w:ascii="Times New Roman" w:hAnsi="Times New Roman" w:cs="Times New Roman"/>
                      <w:b/>
                      <w:bCs/>
                      <w:color w:val="auto"/>
                      <w:sz w:val="21"/>
                      <w:szCs w:val="21"/>
                    </w:rPr>
                  </w:pPr>
                </w:p>
              </w:tc>
              <w:tc>
                <w:tcPr>
                  <w:tcW w:w="1094" w:type="dxa"/>
                  <w:vAlign w:val="center"/>
                </w:tcPr>
                <w:p w14:paraId="104B1F8F">
                  <w:pPr>
                    <w:jc w:val="center"/>
                    <w:rPr>
                      <w:rFonts w:hint="default" w:ascii="Times New Roman" w:hAnsi="Times New Roman" w:cs="Times New Roman"/>
                      <w:b/>
                      <w:bCs/>
                      <w:color w:val="auto"/>
                      <w:sz w:val="21"/>
                      <w:szCs w:val="21"/>
                    </w:rPr>
                  </w:pPr>
                  <w:r>
                    <w:rPr>
                      <w:rFonts w:hint="default" w:ascii="Times New Roman" w:hAnsi="Times New Roman" w:cs="Times New Roman"/>
                      <w:color w:val="auto"/>
                      <w:sz w:val="21"/>
                      <w:szCs w:val="21"/>
                    </w:rPr>
                    <w:t>900-249-08</w:t>
                  </w:r>
                </w:p>
              </w:tc>
              <w:tc>
                <w:tcPr>
                  <w:tcW w:w="579" w:type="dxa"/>
                  <w:vMerge w:val="continue"/>
                  <w:vAlign w:val="center"/>
                </w:tcPr>
                <w:p w14:paraId="1CFBB409">
                  <w:pPr>
                    <w:topLinePunct/>
                    <w:jc w:val="center"/>
                    <w:rPr>
                      <w:rFonts w:hint="default" w:ascii="Times New Roman" w:hAnsi="Times New Roman" w:cs="Times New Roman"/>
                      <w:b/>
                      <w:bCs/>
                      <w:color w:val="auto"/>
                      <w:sz w:val="21"/>
                      <w:szCs w:val="21"/>
                    </w:rPr>
                  </w:pPr>
                </w:p>
              </w:tc>
              <w:tc>
                <w:tcPr>
                  <w:tcW w:w="615" w:type="dxa"/>
                  <w:vMerge w:val="continue"/>
                  <w:vAlign w:val="center"/>
                </w:tcPr>
                <w:p w14:paraId="1A782628">
                  <w:pPr>
                    <w:topLinePunct/>
                    <w:jc w:val="center"/>
                    <w:rPr>
                      <w:rFonts w:hint="default" w:ascii="Times New Roman" w:hAnsi="Times New Roman" w:cs="Times New Roman"/>
                      <w:b/>
                      <w:bCs/>
                      <w:color w:val="auto"/>
                      <w:sz w:val="21"/>
                      <w:szCs w:val="21"/>
                    </w:rPr>
                  </w:pPr>
                </w:p>
              </w:tc>
              <w:tc>
                <w:tcPr>
                  <w:tcW w:w="555" w:type="dxa"/>
                  <w:vAlign w:val="center"/>
                </w:tcPr>
                <w:p w14:paraId="5D56FA67">
                  <w:pPr>
                    <w:topLinePunct/>
                    <w:jc w:val="center"/>
                    <w:rPr>
                      <w:rFonts w:hint="default" w:ascii="Times New Roman" w:hAnsi="Times New Roman" w:cs="Times New Roman"/>
                      <w:b/>
                      <w:bCs/>
                      <w:color w:val="auto"/>
                      <w:sz w:val="21"/>
                      <w:szCs w:val="21"/>
                    </w:rPr>
                  </w:pPr>
                  <w:r>
                    <w:rPr>
                      <w:rFonts w:hint="default" w:ascii="Times New Roman" w:hAnsi="Times New Roman" w:cs="Times New Roman"/>
                      <w:color w:val="auto"/>
                      <w:sz w:val="21"/>
                      <w:szCs w:val="21"/>
                    </w:rPr>
                    <w:t>塑料箱</w:t>
                  </w:r>
                </w:p>
              </w:tc>
              <w:tc>
                <w:tcPr>
                  <w:tcW w:w="684" w:type="dxa"/>
                  <w:vAlign w:val="center"/>
                </w:tcPr>
                <w:p w14:paraId="1DBBBABB">
                  <w:pPr>
                    <w:topLinePun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r>
                    <w:rPr>
                      <w:rFonts w:hint="eastAsia" w:ascii="Times New Roman" w:hAnsi="Times New Roman" w:cs="Times New Roman"/>
                      <w:color w:val="auto"/>
                      <w:sz w:val="21"/>
                      <w:szCs w:val="21"/>
                      <w:lang w:val="en-US" w:eastAsia="zh-CN"/>
                    </w:rPr>
                    <w:t>1</w:t>
                  </w:r>
                  <w:r>
                    <w:rPr>
                      <w:rFonts w:hint="default" w:ascii="Times New Roman" w:hAnsi="Times New Roman" w:cs="Times New Roman"/>
                      <w:color w:val="auto"/>
                      <w:sz w:val="21"/>
                      <w:szCs w:val="21"/>
                    </w:rPr>
                    <w:t>t</w:t>
                  </w:r>
                </w:p>
              </w:tc>
              <w:tc>
                <w:tcPr>
                  <w:tcW w:w="575" w:type="dxa"/>
                  <w:vAlign w:val="center"/>
                </w:tcPr>
                <w:p w14:paraId="52B60977">
                  <w:pPr>
                    <w:topLinePunct/>
                    <w:jc w:val="center"/>
                    <w:rPr>
                      <w:rFonts w:hint="default" w:ascii="Times New Roman" w:hAnsi="Times New Roman" w:cs="Times New Roman"/>
                      <w:b/>
                      <w:bCs/>
                      <w:color w:val="auto"/>
                      <w:sz w:val="21"/>
                      <w:szCs w:val="21"/>
                    </w:rPr>
                  </w:pPr>
                  <w:r>
                    <w:rPr>
                      <w:rFonts w:hint="default" w:ascii="Times New Roman" w:hAnsi="Times New Roman" w:cs="Times New Roman"/>
                      <w:color w:val="auto"/>
                      <w:sz w:val="21"/>
                      <w:szCs w:val="21"/>
                    </w:rPr>
                    <w:t>1年</w:t>
                  </w:r>
                </w:p>
              </w:tc>
            </w:tr>
            <w:tr w14:paraId="434B7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382" w:type="dxa"/>
                  <w:vAlign w:val="center"/>
                </w:tcPr>
                <w:p w14:paraId="65B06398">
                  <w:pPr>
                    <w:topLinePun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w:t>
                  </w:r>
                </w:p>
              </w:tc>
              <w:tc>
                <w:tcPr>
                  <w:tcW w:w="735" w:type="dxa"/>
                  <w:vMerge w:val="continue"/>
                  <w:vAlign w:val="center"/>
                </w:tcPr>
                <w:p w14:paraId="16F50148">
                  <w:pPr>
                    <w:jc w:val="center"/>
                    <w:rPr>
                      <w:rFonts w:hint="default" w:ascii="Times New Roman" w:hAnsi="Times New Roman" w:cs="Times New Roman"/>
                      <w:color w:val="auto"/>
                      <w:sz w:val="21"/>
                      <w:szCs w:val="21"/>
                    </w:rPr>
                  </w:pPr>
                </w:p>
              </w:tc>
              <w:tc>
                <w:tcPr>
                  <w:tcW w:w="1531" w:type="dxa"/>
                  <w:vAlign w:val="center"/>
                </w:tcPr>
                <w:p w14:paraId="1EFC38AB">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废活性炭</w:t>
                  </w:r>
                </w:p>
              </w:tc>
              <w:tc>
                <w:tcPr>
                  <w:tcW w:w="1464" w:type="dxa"/>
                  <w:vAlign w:val="center"/>
                </w:tcPr>
                <w:p w14:paraId="688253A9">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HW49其他废物</w:t>
                  </w:r>
                </w:p>
              </w:tc>
              <w:tc>
                <w:tcPr>
                  <w:tcW w:w="1094" w:type="dxa"/>
                  <w:vAlign w:val="center"/>
                </w:tcPr>
                <w:p w14:paraId="141F7E71">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900-039-49</w:t>
                  </w:r>
                </w:p>
              </w:tc>
              <w:tc>
                <w:tcPr>
                  <w:tcW w:w="579" w:type="dxa"/>
                  <w:vMerge w:val="continue"/>
                  <w:vAlign w:val="center"/>
                </w:tcPr>
                <w:p w14:paraId="0A534DFB">
                  <w:pPr>
                    <w:topLinePunct/>
                    <w:jc w:val="center"/>
                    <w:rPr>
                      <w:rFonts w:hint="default" w:ascii="Times New Roman" w:hAnsi="Times New Roman" w:cs="Times New Roman"/>
                      <w:color w:val="auto"/>
                      <w:sz w:val="21"/>
                      <w:szCs w:val="21"/>
                    </w:rPr>
                  </w:pPr>
                </w:p>
              </w:tc>
              <w:tc>
                <w:tcPr>
                  <w:tcW w:w="615" w:type="dxa"/>
                  <w:vMerge w:val="continue"/>
                  <w:vAlign w:val="center"/>
                </w:tcPr>
                <w:p w14:paraId="63787AF5">
                  <w:pPr>
                    <w:topLinePunct/>
                    <w:jc w:val="center"/>
                    <w:rPr>
                      <w:rFonts w:hint="default" w:ascii="Times New Roman" w:hAnsi="Times New Roman" w:cs="Times New Roman"/>
                      <w:color w:val="auto"/>
                      <w:sz w:val="21"/>
                      <w:szCs w:val="21"/>
                    </w:rPr>
                  </w:pPr>
                </w:p>
              </w:tc>
              <w:tc>
                <w:tcPr>
                  <w:tcW w:w="555" w:type="dxa"/>
                  <w:vAlign w:val="center"/>
                </w:tcPr>
                <w:p w14:paraId="08FBD0D7">
                  <w:pPr>
                    <w:topLinePun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塑料箱</w:t>
                  </w:r>
                </w:p>
              </w:tc>
              <w:tc>
                <w:tcPr>
                  <w:tcW w:w="684" w:type="dxa"/>
                  <w:vAlign w:val="center"/>
                </w:tcPr>
                <w:p w14:paraId="6834E4C9">
                  <w:pPr>
                    <w:jc w:val="center"/>
                    <w:rPr>
                      <w:rFonts w:hint="default"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1.8</w:t>
                  </w:r>
                  <w:r>
                    <w:rPr>
                      <w:rFonts w:hint="default" w:ascii="Times New Roman" w:hAnsi="Times New Roman" w:cs="Times New Roman"/>
                      <w:color w:val="auto"/>
                      <w:sz w:val="21"/>
                      <w:szCs w:val="21"/>
                    </w:rPr>
                    <w:t>t</w:t>
                  </w:r>
                </w:p>
              </w:tc>
              <w:tc>
                <w:tcPr>
                  <w:tcW w:w="575" w:type="dxa"/>
                  <w:vAlign w:val="center"/>
                </w:tcPr>
                <w:p w14:paraId="1D3091BA">
                  <w:pPr>
                    <w:topLinePun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1年</w:t>
                  </w:r>
                </w:p>
              </w:tc>
            </w:tr>
          </w:tbl>
          <w:p w14:paraId="503CD6C0">
            <w:pPr>
              <w:adjustRightInd w:val="0"/>
              <w:snapToGrid w:val="0"/>
              <w:spacing w:line="480" w:lineRule="atLeast"/>
              <w:ind w:firstLine="482" w:firstLineChars="200"/>
              <w:jc w:val="center"/>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表</w:t>
            </w:r>
            <w:r>
              <w:rPr>
                <w:rFonts w:hint="eastAsia" w:ascii="Times New Roman" w:hAnsi="Times New Roman" w:cs="Times New Roman"/>
                <w:b/>
                <w:bCs/>
                <w:color w:val="auto"/>
                <w:sz w:val="24"/>
                <w:szCs w:val="24"/>
                <w:lang w:val="en-US" w:eastAsia="zh-CN"/>
              </w:rPr>
              <w:t>30</w:t>
            </w:r>
            <w:r>
              <w:rPr>
                <w:rFonts w:hint="default" w:ascii="Times New Roman" w:hAnsi="Times New Roman" w:cs="Times New Roman"/>
                <w:b/>
                <w:bCs/>
                <w:color w:val="auto"/>
                <w:sz w:val="24"/>
                <w:szCs w:val="24"/>
              </w:rPr>
              <w:t>一般固体废物汇总表</w:t>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780"/>
              <w:gridCol w:w="1358"/>
              <w:gridCol w:w="785"/>
              <w:gridCol w:w="1409"/>
              <w:gridCol w:w="1140"/>
              <w:gridCol w:w="1985"/>
              <w:gridCol w:w="661"/>
            </w:tblGrid>
            <w:tr w14:paraId="2AE2C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480" w:type="pct"/>
                  <w:vAlign w:val="center"/>
                </w:tcPr>
                <w:p w14:paraId="4EAFF4F7">
                  <w:pPr>
                    <w:spacing w:line="280" w:lineRule="atLeast"/>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属性</w:t>
                  </w:r>
                </w:p>
              </w:tc>
              <w:tc>
                <w:tcPr>
                  <w:tcW w:w="836" w:type="pct"/>
                  <w:vAlign w:val="center"/>
                </w:tcPr>
                <w:p w14:paraId="26E1D497">
                  <w:pPr>
                    <w:spacing w:line="280" w:lineRule="atLeast"/>
                    <w:ind w:firstLine="38" w:firstLineChars="18"/>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名称</w:t>
                  </w:r>
                </w:p>
              </w:tc>
              <w:tc>
                <w:tcPr>
                  <w:tcW w:w="483" w:type="pct"/>
                  <w:vAlign w:val="center"/>
                </w:tcPr>
                <w:p w14:paraId="69396458">
                  <w:pPr>
                    <w:spacing w:line="280" w:lineRule="atLeast"/>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产生量t/a</w:t>
                  </w:r>
                </w:p>
              </w:tc>
              <w:tc>
                <w:tcPr>
                  <w:tcW w:w="867" w:type="pct"/>
                  <w:vAlign w:val="center"/>
                </w:tcPr>
                <w:p w14:paraId="3E414816">
                  <w:pPr>
                    <w:spacing w:line="280" w:lineRule="atLeast"/>
                    <w:ind w:firstLine="38" w:firstLineChars="18"/>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代码</w:t>
                  </w:r>
                </w:p>
              </w:tc>
              <w:tc>
                <w:tcPr>
                  <w:tcW w:w="702" w:type="pct"/>
                  <w:vAlign w:val="center"/>
                </w:tcPr>
                <w:p w14:paraId="5EF5F52E">
                  <w:pPr>
                    <w:spacing w:line="280" w:lineRule="atLeast"/>
                    <w:ind w:firstLine="38" w:firstLineChars="18"/>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物理性状</w:t>
                  </w:r>
                </w:p>
              </w:tc>
              <w:tc>
                <w:tcPr>
                  <w:tcW w:w="1222" w:type="pct"/>
                  <w:vAlign w:val="center"/>
                </w:tcPr>
                <w:p w14:paraId="6754C8E9">
                  <w:pPr>
                    <w:spacing w:line="280" w:lineRule="atLeast"/>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处置措施</w:t>
                  </w:r>
                </w:p>
              </w:tc>
              <w:tc>
                <w:tcPr>
                  <w:tcW w:w="407" w:type="pct"/>
                  <w:vAlign w:val="center"/>
                </w:tcPr>
                <w:p w14:paraId="5808F274">
                  <w:pPr>
                    <w:spacing w:line="280" w:lineRule="atLeast"/>
                    <w:ind w:firstLine="38" w:firstLineChars="18"/>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贮存方式</w:t>
                  </w:r>
                </w:p>
              </w:tc>
            </w:tr>
            <w:tr w14:paraId="22341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480" w:type="pct"/>
                  <w:vMerge w:val="restart"/>
                  <w:vAlign w:val="center"/>
                </w:tcPr>
                <w:p w14:paraId="5275FF69">
                  <w:pPr>
                    <w:spacing w:line="28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一般固体废物</w:t>
                  </w:r>
                </w:p>
              </w:tc>
              <w:tc>
                <w:tcPr>
                  <w:tcW w:w="836" w:type="pct"/>
                  <w:vAlign w:val="center"/>
                </w:tcPr>
                <w:p w14:paraId="2E4EB84B">
                  <w:pPr>
                    <w:spacing w:line="360" w:lineRule="exact"/>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rPr>
                    <w:t>塑料边角料和不合格品</w:t>
                  </w:r>
                </w:p>
              </w:tc>
              <w:tc>
                <w:tcPr>
                  <w:tcW w:w="483" w:type="pct"/>
                  <w:vAlign w:val="center"/>
                </w:tcPr>
                <w:p w14:paraId="3B63E082">
                  <w:pPr>
                    <w:spacing w:line="360" w:lineRule="exact"/>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cs="Times New Roman"/>
                      <w:color w:val="auto"/>
                      <w:sz w:val="21"/>
                      <w:szCs w:val="21"/>
                      <w:lang w:val="en-US" w:eastAsia="zh-CN"/>
                    </w:rPr>
                    <w:t>5</w:t>
                  </w:r>
                </w:p>
              </w:tc>
              <w:tc>
                <w:tcPr>
                  <w:tcW w:w="867" w:type="pct"/>
                  <w:vAlign w:val="center"/>
                </w:tcPr>
                <w:p w14:paraId="2B49336E">
                  <w:pPr>
                    <w:widowControl/>
                    <w:spacing w:line="280" w:lineRule="atLeast"/>
                    <w:jc w:val="center"/>
                    <w:rPr>
                      <w:rFonts w:hint="default" w:ascii="Times New Roman" w:hAnsi="Times New Roman" w:cs="Times New Roman"/>
                      <w:color w:val="auto"/>
                      <w:sz w:val="21"/>
                      <w:szCs w:val="21"/>
                      <w:lang w:bidi="ar"/>
                    </w:rPr>
                  </w:pPr>
                  <w:r>
                    <w:rPr>
                      <w:rFonts w:hint="eastAsia" w:ascii="Times New Roman" w:hAnsi="Times New Roman" w:eastAsia="宋体" w:cs="Times New Roman"/>
                      <w:snapToGrid w:val="0"/>
                      <w:color w:val="000000"/>
                      <w:kern w:val="0"/>
                      <w:sz w:val="21"/>
                      <w:szCs w:val="21"/>
                      <w:highlight w:val="none"/>
                      <w:lang w:val="en-US" w:eastAsia="zh-CN" w:bidi="ar"/>
                    </w:rPr>
                    <w:t>900-0</w:t>
                  </w:r>
                  <w:r>
                    <w:rPr>
                      <w:rFonts w:hint="eastAsia" w:ascii="Times New Roman" w:hAnsi="Times New Roman" w:cs="Times New Roman"/>
                      <w:snapToGrid w:val="0"/>
                      <w:color w:val="000000"/>
                      <w:kern w:val="0"/>
                      <w:sz w:val="21"/>
                      <w:szCs w:val="21"/>
                      <w:highlight w:val="none"/>
                      <w:lang w:val="en-US" w:eastAsia="zh-CN" w:bidi="ar"/>
                    </w:rPr>
                    <w:t>03</w:t>
                  </w:r>
                  <w:r>
                    <w:rPr>
                      <w:rFonts w:hint="eastAsia" w:ascii="Times New Roman" w:hAnsi="Times New Roman" w:eastAsia="宋体" w:cs="Times New Roman"/>
                      <w:snapToGrid w:val="0"/>
                      <w:color w:val="000000"/>
                      <w:kern w:val="0"/>
                      <w:sz w:val="21"/>
                      <w:szCs w:val="21"/>
                      <w:highlight w:val="none"/>
                      <w:lang w:val="en-US" w:eastAsia="zh-CN" w:bidi="ar"/>
                    </w:rPr>
                    <w:t>-S</w:t>
                  </w:r>
                  <w:r>
                    <w:rPr>
                      <w:rFonts w:hint="eastAsia" w:ascii="Times New Roman" w:hAnsi="Times New Roman" w:cs="Times New Roman"/>
                      <w:snapToGrid w:val="0"/>
                      <w:color w:val="000000"/>
                      <w:kern w:val="0"/>
                      <w:sz w:val="21"/>
                      <w:szCs w:val="21"/>
                      <w:highlight w:val="none"/>
                      <w:lang w:val="en-US" w:eastAsia="zh-CN" w:bidi="ar"/>
                    </w:rPr>
                    <w:t>17</w:t>
                  </w:r>
                </w:p>
              </w:tc>
              <w:tc>
                <w:tcPr>
                  <w:tcW w:w="702" w:type="pct"/>
                  <w:vAlign w:val="center"/>
                </w:tcPr>
                <w:p w14:paraId="73221E2E">
                  <w:pPr>
                    <w:widowControl/>
                    <w:spacing w:line="280" w:lineRule="atLeast"/>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固体</w:t>
                  </w:r>
                </w:p>
              </w:tc>
              <w:tc>
                <w:tcPr>
                  <w:tcW w:w="1222" w:type="pct"/>
                  <w:vAlign w:val="center"/>
                </w:tcPr>
                <w:p w14:paraId="6673046E">
                  <w:pPr>
                    <w:spacing w:line="360" w:lineRule="exact"/>
                    <w:jc w:val="center"/>
                    <w:rPr>
                      <w:rFonts w:hint="default" w:ascii="Times New Roman" w:hAnsi="Times New Roman" w:eastAsia="宋体" w:cs="Times New Roman"/>
                      <w:color w:val="auto"/>
                      <w:sz w:val="21"/>
                      <w:szCs w:val="21"/>
                      <w:lang w:eastAsia="zh-CN" w:bidi="ar"/>
                    </w:rPr>
                  </w:pPr>
                  <w:r>
                    <w:rPr>
                      <w:rFonts w:hint="default" w:ascii="Times New Roman" w:hAnsi="Times New Roman" w:cs="Times New Roman"/>
                      <w:color w:val="auto"/>
                      <w:sz w:val="21"/>
                      <w:szCs w:val="21"/>
                    </w:rPr>
                    <w:t>集中收集后返回粉碎</w:t>
                  </w:r>
                  <w:r>
                    <w:rPr>
                      <w:rFonts w:hint="default" w:ascii="Times New Roman" w:hAnsi="Times New Roman" w:cs="Times New Roman"/>
                      <w:color w:val="auto"/>
                      <w:sz w:val="21"/>
                      <w:szCs w:val="21"/>
                      <w:lang w:eastAsia="zh-CN"/>
                    </w:rPr>
                    <w:t>工序</w:t>
                  </w:r>
                </w:p>
              </w:tc>
              <w:tc>
                <w:tcPr>
                  <w:tcW w:w="407" w:type="pct"/>
                  <w:vAlign w:val="center"/>
                </w:tcPr>
                <w:p w14:paraId="09DDA7AF">
                  <w:pPr>
                    <w:widowControl/>
                    <w:spacing w:line="280" w:lineRule="atLeast"/>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袋装</w:t>
                  </w:r>
                </w:p>
              </w:tc>
            </w:tr>
            <w:tr w14:paraId="5FC67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480" w:type="pct"/>
                  <w:vMerge w:val="continue"/>
                  <w:vAlign w:val="center"/>
                </w:tcPr>
                <w:p w14:paraId="7F288F2C">
                  <w:pPr>
                    <w:spacing w:line="280" w:lineRule="atLeast"/>
                    <w:jc w:val="center"/>
                    <w:rPr>
                      <w:rFonts w:hint="default" w:ascii="Times New Roman" w:hAnsi="Times New Roman" w:cs="Times New Roman"/>
                      <w:color w:val="auto"/>
                      <w:sz w:val="21"/>
                      <w:szCs w:val="21"/>
                    </w:rPr>
                  </w:pPr>
                </w:p>
              </w:tc>
              <w:tc>
                <w:tcPr>
                  <w:tcW w:w="836" w:type="pct"/>
                  <w:vAlign w:val="center"/>
                </w:tcPr>
                <w:p w14:paraId="6CAD3301">
                  <w:pPr>
                    <w:spacing w:line="360" w:lineRule="exact"/>
                    <w:jc w:val="center"/>
                    <w:rPr>
                      <w:rFonts w:hint="default" w:ascii="Times New Roman" w:hAnsi="Times New Roman" w:eastAsia="宋体" w:cs="Times New Roman"/>
                      <w:snapToGrid w:val="0"/>
                      <w:color w:val="auto"/>
                      <w:sz w:val="21"/>
                      <w:szCs w:val="21"/>
                      <w:lang w:val="en-US" w:eastAsia="zh-CN" w:bidi="ar"/>
                    </w:rPr>
                  </w:pPr>
                  <w:r>
                    <w:rPr>
                      <w:rFonts w:hint="default" w:ascii="Times New Roman" w:hAnsi="Times New Roman" w:cs="Times New Roman"/>
                      <w:color w:val="auto"/>
                      <w:sz w:val="21"/>
                      <w:szCs w:val="21"/>
                      <w:lang w:eastAsia="zh-CN"/>
                    </w:rPr>
                    <w:t>除尘灰</w:t>
                  </w:r>
                </w:p>
              </w:tc>
              <w:tc>
                <w:tcPr>
                  <w:tcW w:w="483" w:type="pct"/>
                  <w:vAlign w:val="center"/>
                </w:tcPr>
                <w:p w14:paraId="335FDB67">
                  <w:pPr>
                    <w:spacing w:line="360" w:lineRule="exact"/>
                    <w:jc w:val="center"/>
                    <w:rPr>
                      <w:rFonts w:hint="default" w:ascii="Times New Roman" w:hAnsi="Times New Roman" w:eastAsia="宋体" w:cs="Times New Roman"/>
                      <w:snapToGrid w:val="0"/>
                      <w:color w:val="auto"/>
                      <w:sz w:val="21"/>
                      <w:szCs w:val="21"/>
                      <w:lang w:val="en-US" w:eastAsia="zh-CN" w:bidi="ar"/>
                    </w:rPr>
                  </w:pPr>
                  <w:r>
                    <w:rPr>
                      <w:rFonts w:hint="eastAsia" w:ascii="Times New Roman" w:hAnsi="Times New Roman" w:cs="Times New Roman"/>
                      <w:color w:val="auto"/>
                      <w:sz w:val="21"/>
                      <w:szCs w:val="21"/>
                      <w:lang w:val="en-US" w:eastAsia="zh-CN"/>
                    </w:rPr>
                    <w:t>0.00133</w:t>
                  </w:r>
                </w:p>
              </w:tc>
              <w:tc>
                <w:tcPr>
                  <w:tcW w:w="867" w:type="pct"/>
                  <w:vAlign w:val="center"/>
                </w:tcPr>
                <w:p w14:paraId="5E99AFB6">
                  <w:pPr>
                    <w:widowControl/>
                    <w:spacing w:line="280" w:lineRule="atLeast"/>
                    <w:jc w:val="center"/>
                    <w:rPr>
                      <w:rFonts w:hint="default" w:ascii="Times New Roman" w:hAnsi="Times New Roman" w:eastAsia="宋体" w:cs="Times New Roman"/>
                      <w:snapToGrid w:val="0"/>
                      <w:color w:val="auto"/>
                      <w:sz w:val="21"/>
                      <w:szCs w:val="21"/>
                      <w:lang w:val="en-US" w:eastAsia="zh-CN" w:bidi="ar"/>
                    </w:rPr>
                  </w:pPr>
                  <w:r>
                    <w:rPr>
                      <w:rFonts w:hint="eastAsia" w:ascii="Times New Roman" w:hAnsi="Times New Roman" w:eastAsia="宋体" w:cs="Times New Roman"/>
                      <w:snapToGrid w:val="0"/>
                      <w:color w:val="000000"/>
                      <w:kern w:val="0"/>
                      <w:sz w:val="21"/>
                      <w:szCs w:val="21"/>
                      <w:highlight w:val="none"/>
                      <w:lang w:val="en-US" w:eastAsia="zh-CN" w:bidi="ar"/>
                    </w:rPr>
                    <w:t>900-099-S59</w:t>
                  </w:r>
                </w:p>
              </w:tc>
              <w:tc>
                <w:tcPr>
                  <w:tcW w:w="702" w:type="pct"/>
                  <w:vAlign w:val="center"/>
                </w:tcPr>
                <w:p w14:paraId="3D8BAAC6">
                  <w:pPr>
                    <w:widowControl/>
                    <w:spacing w:line="280" w:lineRule="atLeast"/>
                    <w:jc w:val="center"/>
                    <w:rPr>
                      <w:rFonts w:hint="default" w:ascii="Times New Roman" w:hAnsi="Times New Roman" w:eastAsia="宋体" w:cs="Times New Roman"/>
                      <w:snapToGrid w:val="0"/>
                      <w:color w:val="auto"/>
                      <w:sz w:val="21"/>
                      <w:szCs w:val="21"/>
                      <w:lang w:val="en-US" w:eastAsia="zh-CN" w:bidi="ar"/>
                    </w:rPr>
                  </w:pPr>
                  <w:r>
                    <w:rPr>
                      <w:rFonts w:hint="default" w:ascii="Times New Roman" w:hAnsi="Times New Roman" w:cs="Times New Roman"/>
                      <w:color w:val="auto"/>
                      <w:sz w:val="21"/>
                      <w:szCs w:val="21"/>
                      <w:lang w:bidi="ar"/>
                    </w:rPr>
                    <w:t>固体</w:t>
                  </w:r>
                </w:p>
              </w:tc>
              <w:tc>
                <w:tcPr>
                  <w:tcW w:w="1222" w:type="pct"/>
                  <w:vAlign w:val="center"/>
                </w:tcPr>
                <w:p w14:paraId="56268E4A">
                  <w:pPr>
                    <w:spacing w:line="360" w:lineRule="exact"/>
                    <w:jc w:val="center"/>
                    <w:rPr>
                      <w:rFonts w:hint="default" w:ascii="Times New Roman" w:hAnsi="Times New Roman" w:eastAsia="宋体" w:cs="Times New Roman"/>
                      <w:snapToGrid w:val="0"/>
                      <w:color w:val="auto"/>
                      <w:sz w:val="21"/>
                      <w:szCs w:val="21"/>
                      <w:lang w:val="en-US" w:eastAsia="zh-CN" w:bidi="ar"/>
                    </w:rPr>
                  </w:pPr>
                  <w:r>
                    <w:rPr>
                      <w:rFonts w:hint="default" w:ascii="Times New Roman" w:hAnsi="Times New Roman" w:cs="Times New Roman"/>
                      <w:color w:val="auto"/>
                      <w:sz w:val="21"/>
                      <w:szCs w:val="21"/>
                    </w:rPr>
                    <w:t>集中收集后外售</w:t>
                  </w:r>
                </w:p>
              </w:tc>
              <w:tc>
                <w:tcPr>
                  <w:tcW w:w="407" w:type="pct"/>
                  <w:vAlign w:val="center"/>
                </w:tcPr>
                <w:p w14:paraId="2B9AF1BB">
                  <w:pPr>
                    <w:widowControl/>
                    <w:spacing w:line="280" w:lineRule="atLeast"/>
                    <w:jc w:val="center"/>
                    <w:rPr>
                      <w:rFonts w:hint="default" w:ascii="Times New Roman" w:hAnsi="Times New Roman" w:eastAsia="宋体" w:cs="Times New Roman"/>
                      <w:snapToGrid w:val="0"/>
                      <w:color w:val="auto"/>
                      <w:sz w:val="21"/>
                      <w:szCs w:val="21"/>
                      <w:lang w:val="en-US" w:eastAsia="zh-CN" w:bidi="ar"/>
                    </w:rPr>
                  </w:pPr>
                  <w:r>
                    <w:rPr>
                      <w:rFonts w:hint="default" w:ascii="Times New Roman" w:hAnsi="Times New Roman" w:cs="Times New Roman"/>
                      <w:color w:val="auto"/>
                      <w:sz w:val="21"/>
                      <w:szCs w:val="21"/>
                      <w:lang w:bidi="ar"/>
                    </w:rPr>
                    <w:t>袋装</w:t>
                  </w:r>
                </w:p>
              </w:tc>
            </w:tr>
            <w:tr w14:paraId="12E82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480" w:type="pct"/>
                  <w:vMerge w:val="continue"/>
                  <w:vAlign w:val="center"/>
                </w:tcPr>
                <w:p w14:paraId="24204556">
                  <w:pPr>
                    <w:spacing w:line="280" w:lineRule="atLeast"/>
                    <w:jc w:val="center"/>
                    <w:rPr>
                      <w:rFonts w:hint="default" w:ascii="Times New Roman" w:hAnsi="Times New Roman" w:cs="Times New Roman"/>
                      <w:color w:val="auto"/>
                      <w:sz w:val="21"/>
                      <w:szCs w:val="21"/>
                    </w:rPr>
                  </w:pPr>
                </w:p>
              </w:tc>
              <w:tc>
                <w:tcPr>
                  <w:tcW w:w="836" w:type="pct"/>
                  <w:vAlign w:val="center"/>
                </w:tcPr>
                <w:p w14:paraId="3D9DAE3B">
                  <w:pPr>
                    <w:widowControl/>
                    <w:spacing w:line="280" w:lineRule="atLeast"/>
                    <w:jc w:val="center"/>
                    <w:rPr>
                      <w:rFonts w:hint="default" w:ascii="Times New Roman" w:hAnsi="Times New Roman" w:eastAsia="宋体" w:cs="Times New Roman"/>
                      <w:snapToGrid w:val="0"/>
                      <w:color w:val="auto"/>
                      <w:sz w:val="21"/>
                      <w:szCs w:val="21"/>
                      <w:lang w:val="en-US" w:eastAsia="zh-CN" w:bidi="ar"/>
                    </w:rPr>
                  </w:pPr>
                  <w:r>
                    <w:rPr>
                      <w:rFonts w:hint="default" w:ascii="Times New Roman" w:hAnsi="Times New Roman" w:cs="Times New Roman"/>
                      <w:color w:val="auto"/>
                      <w:sz w:val="21"/>
                      <w:szCs w:val="21"/>
                      <w:lang w:bidi="ar"/>
                    </w:rPr>
                    <w:t>废包装物</w:t>
                  </w:r>
                </w:p>
              </w:tc>
              <w:tc>
                <w:tcPr>
                  <w:tcW w:w="483" w:type="pct"/>
                  <w:vAlign w:val="center"/>
                </w:tcPr>
                <w:p w14:paraId="53DACB86">
                  <w:pPr>
                    <w:spacing w:line="360" w:lineRule="exact"/>
                    <w:jc w:val="center"/>
                    <w:rPr>
                      <w:rFonts w:hint="default" w:ascii="Times New Roman" w:hAnsi="Times New Roman" w:eastAsia="宋体" w:cs="Times New Roman"/>
                      <w:snapToGrid w:val="0"/>
                      <w:color w:val="auto"/>
                      <w:sz w:val="21"/>
                      <w:szCs w:val="21"/>
                      <w:lang w:val="en-US" w:eastAsia="zh-CN" w:bidi="ar"/>
                    </w:rPr>
                  </w:pPr>
                  <w:r>
                    <w:rPr>
                      <w:rFonts w:hint="eastAsia" w:ascii="Times New Roman" w:hAnsi="Times New Roman" w:cs="Times New Roman"/>
                      <w:color w:val="auto"/>
                      <w:sz w:val="21"/>
                      <w:szCs w:val="21"/>
                      <w:lang w:val="en-US" w:eastAsia="zh-CN"/>
                    </w:rPr>
                    <w:t>1</w:t>
                  </w:r>
                </w:p>
              </w:tc>
              <w:tc>
                <w:tcPr>
                  <w:tcW w:w="867" w:type="pct"/>
                  <w:vAlign w:val="center"/>
                </w:tcPr>
                <w:p w14:paraId="1AAEA708">
                  <w:pPr>
                    <w:widowControl/>
                    <w:spacing w:line="280" w:lineRule="atLeast"/>
                    <w:jc w:val="center"/>
                    <w:rPr>
                      <w:rFonts w:hint="default" w:ascii="Times New Roman" w:hAnsi="Times New Roman" w:eastAsia="宋体" w:cs="Times New Roman"/>
                      <w:snapToGrid w:val="0"/>
                      <w:color w:val="auto"/>
                      <w:sz w:val="21"/>
                      <w:szCs w:val="21"/>
                      <w:lang w:val="en-US" w:eastAsia="zh-CN" w:bidi="ar"/>
                    </w:rPr>
                  </w:pPr>
                  <w:r>
                    <w:rPr>
                      <w:rFonts w:hint="eastAsia" w:ascii="Times New Roman" w:hAnsi="Times New Roman" w:eastAsia="宋体" w:cs="Times New Roman"/>
                      <w:snapToGrid w:val="0"/>
                      <w:color w:val="000000"/>
                      <w:kern w:val="0"/>
                      <w:sz w:val="21"/>
                      <w:szCs w:val="21"/>
                      <w:highlight w:val="none"/>
                      <w:lang w:val="en-US" w:eastAsia="zh-CN" w:bidi="ar"/>
                    </w:rPr>
                    <w:t>900-0</w:t>
                  </w:r>
                  <w:r>
                    <w:rPr>
                      <w:rFonts w:hint="eastAsia" w:ascii="Times New Roman" w:hAnsi="Times New Roman" w:cs="Times New Roman"/>
                      <w:snapToGrid w:val="0"/>
                      <w:color w:val="000000"/>
                      <w:kern w:val="0"/>
                      <w:sz w:val="21"/>
                      <w:szCs w:val="21"/>
                      <w:highlight w:val="none"/>
                      <w:lang w:val="en-US" w:eastAsia="zh-CN" w:bidi="ar"/>
                    </w:rPr>
                    <w:t>03</w:t>
                  </w:r>
                  <w:r>
                    <w:rPr>
                      <w:rFonts w:hint="eastAsia" w:ascii="Times New Roman" w:hAnsi="Times New Roman" w:eastAsia="宋体" w:cs="Times New Roman"/>
                      <w:snapToGrid w:val="0"/>
                      <w:color w:val="000000"/>
                      <w:kern w:val="0"/>
                      <w:sz w:val="21"/>
                      <w:szCs w:val="21"/>
                      <w:highlight w:val="none"/>
                      <w:lang w:val="en-US" w:eastAsia="zh-CN" w:bidi="ar"/>
                    </w:rPr>
                    <w:t>-S</w:t>
                  </w:r>
                  <w:r>
                    <w:rPr>
                      <w:rFonts w:hint="eastAsia" w:ascii="Times New Roman" w:hAnsi="Times New Roman" w:cs="Times New Roman"/>
                      <w:snapToGrid w:val="0"/>
                      <w:color w:val="000000"/>
                      <w:kern w:val="0"/>
                      <w:sz w:val="21"/>
                      <w:szCs w:val="21"/>
                      <w:highlight w:val="none"/>
                      <w:lang w:val="en-US" w:eastAsia="zh-CN" w:bidi="ar"/>
                    </w:rPr>
                    <w:t>17</w:t>
                  </w:r>
                </w:p>
              </w:tc>
              <w:tc>
                <w:tcPr>
                  <w:tcW w:w="702" w:type="pct"/>
                  <w:vAlign w:val="center"/>
                </w:tcPr>
                <w:p w14:paraId="704800CD">
                  <w:pPr>
                    <w:widowControl/>
                    <w:spacing w:line="280" w:lineRule="atLeast"/>
                    <w:jc w:val="center"/>
                    <w:rPr>
                      <w:rFonts w:hint="default" w:ascii="Times New Roman" w:hAnsi="Times New Roman" w:eastAsia="宋体" w:cs="Times New Roman"/>
                      <w:snapToGrid w:val="0"/>
                      <w:color w:val="auto"/>
                      <w:sz w:val="21"/>
                      <w:szCs w:val="21"/>
                      <w:lang w:val="en-US" w:eastAsia="zh-CN" w:bidi="ar"/>
                    </w:rPr>
                  </w:pPr>
                  <w:r>
                    <w:rPr>
                      <w:rFonts w:hint="default" w:ascii="Times New Roman" w:hAnsi="Times New Roman" w:cs="Times New Roman"/>
                      <w:color w:val="auto"/>
                      <w:sz w:val="21"/>
                      <w:szCs w:val="21"/>
                      <w:lang w:bidi="ar"/>
                    </w:rPr>
                    <w:t>固体</w:t>
                  </w:r>
                </w:p>
              </w:tc>
              <w:tc>
                <w:tcPr>
                  <w:tcW w:w="1222" w:type="pct"/>
                  <w:vAlign w:val="center"/>
                </w:tcPr>
                <w:p w14:paraId="19AC487A">
                  <w:pPr>
                    <w:spacing w:line="360" w:lineRule="exact"/>
                    <w:jc w:val="center"/>
                    <w:rPr>
                      <w:rFonts w:hint="default" w:ascii="Times New Roman" w:hAnsi="Times New Roman" w:eastAsia="宋体" w:cs="Times New Roman"/>
                      <w:snapToGrid w:val="0"/>
                      <w:color w:val="auto"/>
                      <w:sz w:val="21"/>
                      <w:szCs w:val="21"/>
                      <w:lang w:val="en-US" w:eastAsia="zh-CN" w:bidi="ar"/>
                    </w:rPr>
                  </w:pPr>
                  <w:r>
                    <w:rPr>
                      <w:rFonts w:hint="default" w:ascii="Times New Roman" w:hAnsi="Times New Roman" w:cs="Times New Roman"/>
                      <w:color w:val="auto"/>
                      <w:sz w:val="21"/>
                      <w:szCs w:val="21"/>
                    </w:rPr>
                    <w:t>集中收集后外售</w:t>
                  </w:r>
                </w:p>
              </w:tc>
              <w:tc>
                <w:tcPr>
                  <w:tcW w:w="407" w:type="pct"/>
                  <w:vAlign w:val="center"/>
                </w:tcPr>
                <w:p w14:paraId="0631E98A">
                  <w:pPr>
                    <w:widowControl/>
                    <w:spacing w:line="280" w:lineRule="atLeast"/>
                    <w:jc w:val="center"/>
                    <w:rPr>
                      <w:rFonts w:hint="default" w:ascii="Times New Roman" w:hAnsi="Times New Roman" w:eastAsia="宋体" w:cs="Times New Roman"/>
                      <w:snapToGrid w:val="0"/>
                      <w:color w:val="auto"/>
                      <w:sz w:val="21"/>
                      <w:szCs w:val="21"/>
                      <w:lang w:val="en-US" w:eastAsia="zh-CN" w:bidi="ar"/>
                    </w:rPr>
                  </w:pPr>
                  <w:r>
                    <w:rPr>
                      <w:rFonts w:hint="default" w:ascii="Times New Roman" w:hAnsi="Times New Roman" w:cs="Times New Roman"/>
                      <w:color w:val="auto"/>
                      <w:sz w:val="21"/>
                      <w:szCs w:val="21"/>
                      <w:lang w:bidi="ar"/>
                    </w:rPr>
                    <w:t>袋装</w:t>
                  </w:r>
                </w:p>
              </w:tc>
            </w:tr>
            <w:tr w14:paraId="26C02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480" w:type="pct"/>
                  <w:vMerge w:val="continue"/>
                  <w:vAlign w:val="center"/>
                </w:tcPr>
                <w:p w14:paraId="4C73B400">
                  <w:pPr>
                    <w:spacing w:line="280" w:lineRule="atLeast"/>
                    <w:jc w:val="center"/>
                    <w:rPr>
                      <w:rFonts w:hint="default" w:ascii="Times New Roman" w:hAnsi="Times New Roman" w:cs="Times New Roman"/>
                      <w:color w:val="auto"/>
                      <w:sz w:val="21"/>
                      <w:szCs w:val="21"/>
                    </w:rPr>
                  </w:pPr>
                </w:p>
              </w:tc>
              <w:tc>
                <w:tcPr>
                  <w:tcW w:w="836" w:type="pct"/>
                  <w:vAlign w:val="center"/>
                </w:tcPr>
                <w:p w14:paraId="45EC26FF">
                  <w:pPr>
                    <w:widowControl/>
                    <w:spacing w:line="280" w:lineRule="atLeast"/>
                    <w:jc w:val="center"/>
                    <w:rPr>
                      <w:rFonts w:hint="eastAsia" w:ascii="Times New Roman" w:hAnsi="Times New Roman" w:eastAsia="宋体" w:cs="Times New Roman"/>
                      <w:color w:val="auto"/>
                      <w:sz w:val="21"/>
                      <w:szCs w:val="21"/>
                      <w:lang w:eastAsia="zh-CN" w:bidi="ar"/>
                    </w:rPr>
                  </w:pPr>
                  <w:r>
                    <w:rPr>
                      <w:rFonts w:hint="eastAsia" w:ascii="Times New Roman" w:hAnsi="Times New Roman" w:cs="Times New Roman"/>
                      <w:color w:val="auto"/>
                      <w:sz w:val="21"/>
                      <w:szCs w:val="21"/>
                      <w:lang w:eastAsia="zh-CN" w:bidi="ar"/>
                    </w:rPr>
                    <w:t>废布袋</w:t>
                  </w:r>
                </w:p>
              </w:tc>
              <w:tc>
                <w:tcPr>
                  <w:tcW w:w="483" w:type="pct"/>
                  <w:vAlign w:val="center"/>
                </w:tcPr>
                <w:p w14:paraId="4FCD8B0D">
                  <w:pPr>
                    <w:spacing w:line="360" w:lineRule="exact"/>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0.05</w:t>
                  </w:r>
                </w:p>
              </w:tc>
              <w:tc>
                <w:tcPr>
                  <w:tcW w:w="867" w:type="pct"/>
                  <w:vAlign w:val="center"/>
                </w:tcPr>
                <w:p w14:paraId="70216752">
                  <w:pPr>
                    <w:widowControl/>
                    <w:spacing w:line="280" w:lineRule="atLeast"/>
                    <w:jc w:val="center"/>
                    <w:rPr>
                      <w:rFonts w:hint="default" w:ascii="Times New Roman" w:hAnsi="Times New Roman" w:cs="Times New Roman"/>
                      <w:color w:val="auto"/>
                      <w:sz w:val="21"/>
                      <w:szCs w:val="21"/>
                      <w:lang w:bidi="ar"/>
                    </w:rPr>
                  </w:pPr>
                  <w:r>
                    <w:rPr>
                      <w:rFonts w:hint="eastAsia" w:ascii="Times New Roman" w:hAnsi="Times New Roman" w:eastAsia="宋体" w:cs="Times New Roman"/>
                      <w:snapToGrid w:val="0"/>
                      <w:color w:val="000000"/>
                      <w:kern w:val="0"/>
                      <w:sz w:val="21"/>
                      <w:szCs w:val="21"/>
                      <w:highlight w:val="none"/>
                      <w:lang w:val="en-US" w:eastAsia="zh-CN" w:bidi="ar"/>
                    </w:rPr>
                    <w:t>900-0</w:t>
                  </w:r>
                  <w:r>
                    <w:rPr>
                      <w:rFonts w:hint="eastAsia" w:ascii="Times New Roman" w:hAnsi="Times New Roman" w:cs="Times New Roman"/>
                      <w:snapToGrid w:val="0"/>
                      <w:color w:val="000000"/>
                      <w:kern w:val="0"/>
                      <w:sz w:val="21"/>
                      <w:szCs w:val="21"/>
                      <w:highlight w:val="none"/>
                      <w:lang w:val="en-US" w:eastAsia="zh-CN" w:bidi="ar"/>
                    </w:rPr>
                    <w:t>0</w:t>
                  </w:r>
                  <w:r>
                    <w:rPr>
                      <w:rFonts w:hint="eastAsia" w:ascii="Times New Roman" w:hAnsi="Times New Roman" w:eastAsia="宋体" w:cs="Times New Roman"/>
                      <w:snapToGrid w:val="0"/>
                      <w:color w:val="000000"/>
                      <w:kern w:val="0"/>
                      <w:sz w:val="21"/>
                      <w:szCs w:val="21"/>
                      <w:highlight w:val="none"/>
                      <w:lang w:val="en-US" w:eastAsia="zh-CN" w:bidi="ar"/>
                    </w:rPr>
                    <w:t>9-S59</w:t>
                  </w:r>
                </w:p>
              </w:tc>
              <w:tc>
                <w:tcPr>
                  <w:tcW w:w="702" w:type="pct"/>
                  <w:vAlign w:val="center"/>
                </w:tcPr>
                <w:p w14:paraId="6B2A4C0D">
                  <w:pPr>
                    <w:widowControl/>
                    <w:spacing w:line="280" w:lineRule="atLeast"/>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固体</w:t>
                  </w:r>
                </w:p>
              </w:tc>
              <w:tc>
                <w:tcPr>
                  <w:tcW w:w="1222" w:type="pct"/>
                  <w:vAlign w:val="center"/>
                </w:tcPr>
                <w:p w14:paraId="245530BC">
                  <w:pPr>
                    <w:spacing w:line="36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集中收集后外售</w:t>
                  </w:r>
                </w:p>
              </w:tc>
              <w:tc>
                <w:tcPr>
                  <w:tcW w:w="407" w:type="pct"/>
                  <w:vAlign w:val="center"/>
                </w:tcPr>
                <w:p w14:paraId="21E953A1">
                  <w:pPr>
                    <w:widowControl/>
                    <w:spacing w:line="280" w:lineRule="atLeast"/>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袋装</w:t>
                  </w:r>
                </w:p>
              </w:tc>
            </w:tr>
          </w:tbl>
          <w:p w14:paraId="5FF1C780">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80" w:lineRule="atLeast"/>
              <w:ind w:left="0" w:leftChars="0" w:right="0" w:rightChars="0"/>
              <w:jc w:val="center"/>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color w:val="auto"/>
                <w:sz w:val="24"/>
                <w:szCs w:val="24"/>
              </w:rPr>
              <w:t>表</w:t>
            </w:r>
            <w:r>
              <w:rPr>
                <w:rFonts w:hint="eastAsia" w:ascii="Times New Roman" w:hAnsi="Times New Roman" w:cs="Times New Roman"/>
                <w:b/>
                <w:color w:val="auto"/>
                <w:sz w:val="24"/>
                <w:szCs w:val="24"/>
                <w:lang w:val="en-US" w:eastAsia="zh-CN"/>
              </w:rPr>
              <w:t>31</w:t>
            </w:r>
            <w:r>
              <w:rPr>
                <w:rFonts w:hint="default" w:ascii="Times New Roman" w:hAnsi="Times New Roman" w:eastAsia="宋体" w:cs="Times New Roman"/>
                <w:b/>
                <w:bCs/>
                <w:color w:val="auto"/>
                <w:sz w:val="24"/>
                <w:szCs w:val="24"/>
                <w:lang w:eastAsia="zh-CN"/>
              </w:rPr>
              <w:t>一般固废</w:t>
            </w:r>
            <w:r>
              <w:rPr>
                <w:rFonts w:hint="default" w:ascii="Times New Roman" w:hAnsi="Times New Roman" w:eastAsia="宋体" w:cs="Times New Roman"/>
                <w:b/>
                <w:bCs/>
                <w:color w:val="auto"/>
                <w:sz w:val="24"/>
                <w:szCs w:val="24"/>
              </w:rPr>
              <w:t>贮存场所（设施）基本情况表</w:t>
            </w:r>
          </w:p>
          <w:tbl>
            <w:tblPr>
              <w:tblStyle w:val="3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473"/>
              <w:gridCol w:w="1117"/>
              <w:gridCol w:w="1522"/>
              <w:gridCol w:w="1566"/>
              <w:gridCol w:w="952"/>
              <w:gridCol w:w="910"/>
              <w:gridCol w:w="849"/>
              <w:gridCol w:w="726"/>
            </w:tblGrid>
            <w:tr w14:paraId="58842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291" w:type="pct"/>
                  <w:noWrap w:val="0"/>
                  <w:vAlign w:val="center"/>
                </w:tcPr>
                <w:p w14:paraId="65A94FF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序号</w:t>
                  </w:r>
                </w:p>
              </w:tc>
              <w:tc>
                <w:tcPr>
                  <w:tcW w:w="688" w:type="pct"/>
                  <w:noWrap w:val="0"/>
                  <w:vAlign w:val="center"/>
                </w:tcPr>
                <w:p w14:paraId="71E67B5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贮存场所名称</w:t>
                  </w:r>
                </w:p>
              </w:tc>
              <w:tc>
                <w:tcPr>
                  <w:tcW w:w="937" w:type="pct"/>
                  <w:noWrap w:val="0"/>
                  <w:vAlign w:val="center"/>
                </w:tcPr>
                <w:p w14:paraId="0FCD405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危险废物</w:t>
                  </w:r>
                </w:p>
                <w:p w14:paraId="3466BF4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名称</w:t>
                  </w:r>
                </w:p>
              </w:tc>
              <w:tc>
                <w:tcPr>
                  <w:tcW w:w="964" w:type="pct"/>
                  <w:noWrap w:val="0"/>
                  <w:vAlign w:val="center"/>
                </w:tcPr>
                <w:p w14:paraId="1E6CF69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val="0"/>
                      <w:color w:val="auto"/>
                      <w:sz w:val="21"/>
                      <w:szCs w:val="21"/>
                    </w:rPr>
                    <w:t>代码</w:t>
                  </w:r>
                </w:p>
              </w:tc>
              <w:tc>
                <w:tcPr>
                  <w:tcW w:w="586" w:type="pct"/>
                  <w:noWrap w:val="0"/>
                  <w:vAlign w:val="center"/>
                </w:tcPr>
                <w:p w14:paraId="13A8029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占地</w:t>
                  </w:r>
                </w:p>
                <w:p w14:paraId="1C2A511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面积</w:t>
                  </w:r>
                </w:p>
              </w:tc>
              <w:tc>
                <w:tcPr>
                  <w:tcW w:w="560" w:type="pct"/>
                  <w:noWrap w:val="0"/>
                  <w:vAlign w:val="center"/>
                </w:tcPr>
                <w:p w14:paraId="6F5137E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贮存方式</w:t>
                  </w:r>
                </w:p>
              </w:tc>
              <w:tc>
                <w:tcPr>
                  <w:tcW w:w="523" w:type="pct"/>
                  <w:noWrap w:val="0"/>
                  <w:vAlign w:val="center"/>
                </w:tcPr>
                <w:p w14:paraId="2DE22F6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贮存</w:t>
                  </w:r>
                </w:p>
                <w:p w14:paraId="74BB0A3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能力</w:t>
                  </w:r>
                </w:p>
              </w:tc>
              <w:tc>
                <w:tcPr>
                  <w:tcW w:w="447" w:type="pct"/>
                  <w:noWrap w:val="0"/>
                  <w:vAlign w:val="center"/>
                </w:tcPr>
                <w:p w14:paraId="1C14E0B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贮存</w:t>
                  </w:r>
                </w:p>
                <w:p w14:paraId="78EE437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周期</w:t>
                  </w:r>
                </w:p>
              </w:tc>
            </w:tr>
            <w:tr w14:paraId="06451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291" w:type="pct"/>
                  <w:noWrap w:val="0"/>
                  <w:vAlign w:val="center"/>
                </w:tcPr>
                <w:p w14:paraId="0FFF7DE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688" w:type="pct"/>
                  <w:vMerge w:val="restart"/>
                  <w:noWrap w:val="0"/>
                  <w:vAlign w:val="center"/>
                </w:tcPr>
                <w:p w14:paraId="15188F8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color w:val="auto"/>
                      <w:sz w:val="21"/>
                      <w:szCs w:val="21"/>
                      <w:lang w:eastAsia="zh-CN"/>
                    </w:rPr>
                    <w:t>一般固废贮存间</w:t>
                  </w:r>
                </w:p>
              </w:tc>
              <w:tc>
                <w:tcPr>
                  <w:tcW w:w="937" w:type="pct"/>
                  <w:noWrap w:val="0"/>
                  <w:vAlign w:val="center"/>
                </w:tcPr>
                <w:p w14:paraId="40726E09">
                  <w:pPr>
                    <w:spacing w:line="360" w:lineRule="exact"/>
                    <w:jc w:val="center"/>
                    <w:rPr>
                      <w:rFonts w:hint="default" w:ascii="Times New Roman" w:hAnsi="Times New Roman" w:eastAsia="宋体" w:cs="Times New Roman"/>
                      <w:b w:val="0"/>
                      <w:bCs w:val="0"/>
                      <w:color w:val="auto"/>
                      <w:sz w:val="21"/>
                      <w:szCs w:val="21"/>
                    </w:rPr>
                  </w:pPr>
                  <w:r>
                    <w:rPr>
                      <w:rFonts w:hint="default" w:ascii="Times New Roman" w:hAnsi="Times New Roman" w:cs="Times New Roman"/>
                      <w:color w:val="auto"/>
                      <w:sz w:val="21"/>
                      <w:szCs w:val="21"/>
                      <w:lang w:eastAsia="zh-CN"/>
                    </w:rPr>
                    <w:t>除尘灰</w:t>
                  </w:r>
                </w:p>
              </w:tc>
              <w:tc>
                <w:tcPr>
                  <w:tcW w:w="964" w:type="pct"/>
                  <w:noWrap w:val="0"/>
                  <w:vAlign w:val="center"/>
                </w:tcPr>
                <w:p w14:paraId="30369A49">
                  <w:pPr>
                    <w:widowControl/>
                    <w:spacing w:line="280" w:lineRule="atLeast"/>
                    <w:jc w:val="center"/>
                    <w:rPr>
                      <w:rFonts w:hint="default" w:ascii="Times New Roman" w:hAnsi="Times New Roman" w:eastAsia="宋体" w:cs="Times New Roman"/>
                      <w:b w:val="0"/>
                      <w:bCs w:val="0"/>
                      <w:color w:val="auto"/>
                      <w:sz w:val="21"/>
                      <w:szCs w:val="21"/>
                    </w:rPr>
                  </w:pPr>
                  <w:r>
                    <w:rPr>
                      <w:rFonts w:hint="eastAsia" w:ascii="Times New Roman" w:hAnsi="Times New Roman" w:eastAsia="宋体" w:cs="Times New Roman"/>
                      <w:snapToGrid w:val="0"/>
                      <w:color w:val="000000"/>
                      <w:kern w:val="0"/>
                      <w:sz w:val="21"/>
                      <w:szCs w:val="21"/>
                      <w:highlight w:val="none"/>
                      <w:lang w:val="en-US" w:eastAsia="zh-CN" w:bidi="ar"/>
                    </w:rPr>
                    <w:t>900-099-S59</w:t>
                  </w:r>
                </w:p>
              </w:tc>
              <w:tc>
                <w:tcPr>
                  <w:tcW w:w="586" w:type="pct"/>
                  <w:vMerge w:val="restart"/>
                  <w:noWrap w:val="0"/>
                  <w:vAlign w:val="center"/>
                </w:tcPr>
                <w:p w14:paraId="312E890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50m</w:t>
                  </w:r>
                  <w:r>
                    <w:rPr>
                      <w:rFonts w:hint="default" w:ascii="Times New Roman" w:hAnsi="Times New Roman" w:eastAsia="宋体" w:cs="Times New Roman"/>
                      <w:b w:val="0"/>
                      <w:bCs w:val="0"/>
                      <w:color w:val="auto"/>
                      <w:sz w:val="21"/>
                      <w:szCs w:val="21"/>
                      <w:vertAlign w:val="superscript"/>
                      <w:lang w:val="en-US" w:eastAsia="zh-CN"/>
                    </w:rPr>
                    <w:t>2</w:t>
                  </w:r>
                </w:p>
              </w:tc>
              <w:tc>
                <w:tcPr>
                  <w:tcW w:w="560" w:type="pct"/>
                  <w:noWrap w:val="0"/>
                  <w:vAlign w:val="center"/>
                </w:tcPr>
                <w:p w14:paraId="0DD60E7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 w:val="0"/>
                      <w:bCs w:val="0"/>
                      <w:color w:val="auto"/>
                      <w:sz w:val="21"/>
                      <w:szCs w:val="21"/>
                      <w:lang w:eastAsia="zh-CN"/>
                    </w:rPr>
                  </w:pPr>
                  <w:r>
                    <w:rPr>
                      <w:rFonts w:hint="default" w:ascii="Times New Roman" w:hAnsi="Times New Roman" w:cs="Times New Roman"/>
                      <w:b w:val="0"/>
                      <w:bCs w:val="0"/>
                      <w:color w:val="auto"/>
                      <w:sz w:val="21"/>
                      <w:szCs w:val="21"/>
                      <w:lang w:eastAsia="zh-CN"/>
                    </w:rPr>
                    <w:t>袋装</w:t>
                  </w:r>
                </w:p>
              </w:tc>
              <w:tc>
                <w:tcPr>
                  <w:tcW w:w="523" w:type="pct"/>
                  <w:noWrap w:val="0"/>
                  <w:vAlign w:val="center"/>
                </w:tcPr>
                <w:p w14:paraId="478988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vertAlign w:val="baseline"/>
                      <w:lang w:val="en-US" w:eastAsia="zh-CN"/>
                    </w:rPr>
                    <w:t>0.1t</w:t>
                  </w:r>
                </w:p>
              </w:tc>
              <w:tc>
                <w:tcPr>
                  <w:tcW w:w="447" w:type="pct"/>
                  <w:noWrap w:val="0"/>
                  <w:vAlign w:val="center"/>
                </w:tcPr>
                <w:p w14:paraId="6C14A52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1a</w:t>
                  </w:r>
                </w:p>
              </w:tc>
            </w:tr>
            <w:tr w14:paraId="1C11B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291" w:type="pct"/>
                  <w:noWrap w:val="0"/>
                  <w:vAlign w:val="center"/>
                </w:tcPr>
                <w:p w14:paraId="334B015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688" w:type="pct"/>
                  <w:vMerge w:val="continue"/>
                  <w:noWrap w:val="0"/>
                  <w:vAlign w:val="center"/>
                </w:tcPr>
                <w:p w14:paraId="6461C62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 w:val="0"/>
                      <w:bCs w:val="0"/>
                      <w:color w:val="auto"/>
                      <w:sz w:val="21"/>
                      <w:szCs w:val="21"/>
                      <w:lang w:val="en-US" w:eastAsia="zh-CN" w:bidi="ar-SA"/>
                    </w:rPr>
                  </w:pPr>
                </w:p>
              </w:tc>
              <w:tc>
                <w:tcPr>
                  <w:tcW w:w="937" w:type="pct"/>
                  <w:noWrap w:val="0"/>
                  <w:vAlign w:val="center"/>
                </w:tcPr>
                <w:p w14:paraId="24A4C8FD">
                  <w:pPr>
                    <w:widowControl/>
                    <w:spacing w:line="280" w:lineRule="atLeast"/>
                    <w:jc w:val="center"/>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cs="Times New Roman"/>
                      <w:color w:val="auto"/>
                      <w:sz w:val="21"/>
                      <w:szCs w:val="21"/>
                      <w:lang w:bidi="ar"/>
                    </w:rPr>
                    <w:t>废包装物</w:t>
                  </w:r>
                </w:p>
              </w:tc>
              <w:tc>
                <w:tcPr>
                  <w:tcW w:w="964" w:type="pct"/>
                  <w:noWrap w:val="0"/>
                  <w:vAlign w:val="center"/>
                </w:tcPr>
                <w:p w14:paraId="2983C107">
                  <w:pPr>
                    <w:widowControl/>
                    <w:spacing w:line="280" w:lineRule="atLeast"/>
                    <w:jc w:val="center"/>
                    <w:rPr>
                      <w:rFonts w:hint="default" w:ascii="Times New Roman" w:hAnsi="Times New Roman" w:eastAsia="宋体" w:cs="Times New Roman"/>
                      <w:b w:val="0"/>
                      <w:bCs w:val="0"/>
                      <w:color w:val="auto"/>
                      <w:sz w:val="21"/>
                      <w:szCs w:val="21"/>
                      <w:lang w:val="en-US" w:eastAsia="zh-CN" w:bidi="ar-SA"/>
                    </w:rPr>
                  </w:pPr>
                  <w:r>
                    <w:rPr>
                      <w:rFonts w:hint="eastAsia" w:ascii="Times New Roman" w:hAnsi="Times New Roman" w:eastAsia="宋体" w:cs="Times New Roman"/>
                      <w:snapToGrid w:val="0"/>
                      <w:color w:val="000000"/>
                      <w:kern w:val="0"/>
                      <w:sz w:val="21"/>
                      <w:szCs w:val="21"/>
                      <w:highlight w:val="none"/>
                      <w:lang w:val="en-US" w:eastAsia="zh-CN" w:bidi="ar"/>
                    </w:rPr>
                    <w:t>900-0</w:t>
                  </w:r>
                  <w:r>
                    <w:rPr>
                      <w:rFonts w:hint="eastAsia" w:ascii="Times New Roman" w:hAnsi="Times New Roman" w:cs="Times New Roman"/>
                      <w:snapToGrid w:val="0"/>
                      <w:color w:val="000000"/>
                      <w:kern w:val="0"/>
                      <w:sz w:val="21"/>
                      <w:szCs w:val="21"/>
                      <w:highlight w:val="none"/>
                      <w:lang w:val="en-US" w:eastAsia="zh-CN" w:bidi="ar"/>
                    </w:rPr>
                    <w:t>03</w:t>
                  </w:r>
                  <w:r>
                    <w:rPr>
                      <w:rFonts w:hint="eastAsia" w:ascii="Times New Roman" w:hAnsi="Times New Roman" w:eastAsia="宋体" w:cs="Times New Roman"/>
                      <w:snapToGrid w:val="0"/>
                      <w:color w:val="000000"/>
                      <w:kern w:val="0"/>
                      <w:sz w:val="21"/>
                      <w:szCs w:val="21"/>
                      <w:highlight w:val="none"/>
                      <w:lang w:val="en-US" w:eastAsia="zh-CN" w:bidi="ar"/>
                    </w:rPr>
                    <w:t>-S</w:t>
                  </w:r>
                  <w:r>
                    <w:rPr>
                      <w:rFonts w:hint="eastAsia" w:ascii="Times New Roman" w:hAnsi="Times New Roman" w:cs="Times New Roman"/>
                      <w:snapToGrid w:val="0"/>
                      <w:color w:val="000000"/>
                      <w:kern w:val="0"/>
                      <w:sz w:val="21"/>
                      <w:szCs w:val="21"/>
                      <w:highlight w:val="none"/>
                      <w:lang w:val="en-US" w:eastAsia="zh-CN" w:bidi="ar"/>
                    </w:rPr>
                    <w:t>17</w:t>
                  </w:r>
                </w:p>
              </w:tc>
              <w:tc>
                <w:tcPr>
                  <w:tcW w:w="586" w:type="pct"/>
                  <w:vMerge w:val="continue"/>
                  <w:noWrap w:val="0"/>
                  <w:vAlign w:val="center"/>
                </w:tcPr>
                <w:p w14:paraId="7B2CA7F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 w:val="0"/>
                      <w:bCs w:val="0"/>
                      <w:color w:val="auto"/>
                      <w:sz w:val="21"/>
                      <w:szCs w:val="21"/>
                    </w:rPr>
                  </w:pPr>
                </w:p>
              </w:tc>
              <w:tc>
                <w:tcPr>
                  <w:tcW w:w="560" w:type="pct"/>
                  <w:noWrap w:val="0"/>
                  <w:vAlign w:val="center"/>
                </w:tcPr>
                <w:p w14:paraId="29B6328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cs="Times New Roman"/>
                      <w:b w:val="0"/>
                      <w:bCs w:val="0"/>
                      <w:color w:val="auto"/>
                      <w:sz w:val="21"/>
                      <w:szCs w:val="21"/>
                      <w:lang w:eastAsia="zh-CN"/>
                    </w:rPr>
                    <w:t>袋装</w:t>
                  </w:r>
                </w:p>
              </w:tc>
              <w:tc>
                <w:tcPr>
                  <w:tcW w:w="523" w:type="pct"/>
                  <w:noWrap w:val="0"/>
                  <w:vAlign w:val="center"/>
                </w:tcPr>
                <w:p w14:paraId="22BE7A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3</w:t>
                  </w:r>
                  <w:r>
                    <w:rPr>
                      <w:rFonts w:hint="default" w:ascii="Times New Roman" w:hAnsi="Times New Roman" w:eastAsia="宋体" w:cs="Times New Roman"/>
                      <w:b w:val="0"/>
                      <w:bCs w:val="0"/>
                      <w:color w:val="auto"/>
                      <w:sz w:val="21"/>
                      <w:szCs w:val="21"/>
                      <w:vertAlign w:val="baseline"/>
                      <w:lang w:val="en-US" w:eastAsia="zh-CN"/>
                    </w:rPr>
                    <w:t>t</w:t>
                  </w:r>
                </w:p>
              </w:tc>
              <w:tc>
                <w:tcPr>
                  <w:tcW w:w="447" w:type="pct"/>
                  <w:noWrap w:val="0"/>
                  <w:vAlign w:val="center"/>
                </w:tcPr>
                <w:p w14:paraId="5F3D162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1a</w:t>
                  </w:r>
                </w:p>
              </w:tc>
            </w:tr>
            <w:tr w14:paraId="062AE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291" w:type="pct"/>
                  <w:noWrap w:val="0"/>
                  <w:vAlign w:val="center"/>
                </w:tcPr>
                <w:p w14:paraId="1CD81A1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3</w:t>
                  </w:r>
                </w:p>
              </w:tc>
              <w:tc>
                <w:tcPr>
                  <w:tcW w:w="688" w:type="pct"/>
                  <w:vMerge w:val="continue"/>
                  <w:noWrap w:val="0"/>
                  <w:vAlign w:val="center"/>
                </w:tcPr>
                <w:p w14:paraId="6BCB3D2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 w:val="0"/>
                      <w:bCs w:val="0"/>
                      <w:color w:val="auto"/>
                      <w:sz w:val="21"/>
                      <w:szCs w:val="21"/>
                      <w:lang w:val="en-US" w:eastAsia="zh-CN" w:bidi="ar-SA"/>
                    </w:rPr>
                  </w:pPr>
                </w:p>
              </w:tc>
              <w:tc>
                <w:tcPr>
                  <w:tcW w:w="937" w:type="pct"/>
                  <w:noWrap w:val="0"/>
                  <w:vAlign w:val="center"/>
                </w:tcPr>
                <w:p w14:paraId="262AB7DD">
                  <w:pPr>
                    <w:widowControl/>
                    <w:spacing w:line="280" w:lineRule="atLeast"/>
                    <w:jc w:val="center"/>
                    <w:rPr>
                      <w:rFonts w:hint="eastAsia" w:ascii="Times New Roman" w:hAnsi="Times New Roman" w:eastAsia="宋体" w:cs="Times New Roman"/>
                      <w:color w:val="auto"/>
                      <w:sz w:val="21"/>
                      <w:szCs w:val="21"/>
                      <w:lang w:eastAsia="zh-CN" w:bidi="ar"/>
                    </w:rPr>
                  </w:pPr>
                  <w:r>
                    <w:rPr>
                      <w:rFonts w:hint="eastAsia" w:ascii="Times New Roman" w:hAnsi="Times New Roman" w:cs="Times New Roman"/>
                      <w:color w:val="auto"/>
                      <w:sz w:val="21"/>
                      <w:szCs w:val="21"/>
                      <w:lang w:eastAsia="zh-CN" w:bidi="ar"/>
                    </w:rPr>
                    <w:t>废布袋</w:t>
                  </w:r>
                </w:p>
              </w:tc>
              <w:tc>
                <w:tcPr>
                  <w:tcW w:w="964" w:type="pct"/>
                  <w:noWrap w:val="0"/>
                  <w:vAlign w:val="center"/>
                </w:tcPr>
                <w:p w14:paraId="6C8B4019">
                  <w:pPr>
                    <w:widowControl/>
                    <w:spacing w:line="280" w:lineRule="atLeast"/>
                    <w:jc w:val="center"/>
                    <w:rPr>
                      <w:rFonts w:hint="default" w:ascii="Times New Roman" w:hAnsi="Times New Roman" w:cs="Times New Roman"/>
                      <w:color w:val="auto"/>
                      <w:sz w:val="21"/>
                      <w:szCs w:val="21"/>
                      <w:lang w:bidi="ar"/>
                    </w:rPr>
                  </w:pPr>
                  <w:r>
                    <w:rPr>
                      <w:rFonts w:hint="eastAsia" w:ascii="Times New Roman" w:hAnsi="Times New Roman" w:eastAsia="宋体" w:cs="Times New Roman"/>
                      <w:snapToGrid w:val="0"/>
                      <w:color w:val="000000"/>
                      <w:kern w:val="0"/>
                      <w:sz w:val="21"/>
                      <w:szCs w:val="21"/>
                      <w:highlight w:val="none"/>
                      <w:lang w:val="en-US" w:eastAsia="zh-CN" w:bidi="ar"/>
                    </w:rPr>
                    <w:t>900-0</w:t>
                  </w:r>
                  <w:r>
                    <w:rPr>
                      <w:rFonts w:hint="eastAsia" w:ascii="Times New Roman" w:hAnsi="Times New Roman" w:cs="Times New Roman"/>
                      <w:snapToGrid w:val="0"/>
                      <w:color w:val="000000"/>
                      <w:kern w:val="0"/>
                      <w:sz w:val="21"/>
                      <w:szCs w:val="21"/>
                      <w:highlight w:val="none"/>
                      <w:lang w:val="en-US" w:eastAsia="zh-CN" w:bidi="ar"/>
                    </w:rPr>
                    <w:t>0</w:t>
                  </w:r>
                  <w:r>
                    <w:rPr>
                      <w:rFonts w:hint="eastAsia" w:ascii="Times New Roman" w:hAnsi="Times New Roman" w:eastAsia="宋体" w:cs="Times New Roman"/>
                      <w:snapToGrid w:val="0"/>
                      <w:color w:val="000000"/>
                      <w:kern w:val="0"/>
                      <w:sz w:val="21"/>
                      <w:szCs w:val="21"/>
                      <w:highlight w:val="none"/>
                      <w:lang w:val="en-US" w:eastAsia="zh-CN" w:bidi="ar"/>
                    </w:rPr>
                    <w:t>9-S59</w:t>
                  </w:r>
                </w:p>
              </w:tc>
              <w:tc>
                <w:tcPr>
                  <w:tcW w:w="586" w:type="pct"/>
                  <w:vMerge w:val="continue"/>
                  <w:noWrap w:val="0"/>
                  <w:vAlign w:val="center"/>
                </w:tcPr>
                <w:p w14:paraId="6EB062A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 w:val="0"/>
                      <w:bCs w:val="0"/>
                      <w:color w:val="auto"/>
                      <w:sz w:val="21"/>
                      <w:szCs w:val="21"/>
                    </w:rPr>
                  </w:pPr>
                </w:p>
              </w:tc>
              <w:tc>
                <w:tcPr>
                  <w:tcW w:w="560" w:type="pct"/>
                  <w:noWrap w:val="0"/>
                  <w:vAlign w:val="center"/>
                </w:tcPr>
                <w:p w14:paraId="29FD27F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cs="Times New Roman"/>
                      <w:b w:val="0"/>
                      <w:bCs w:val="0"/>
                      <w:color w:val="auto"/>
                      <w:sz w:val="21"/>
                      <w:szCs w:val="21"/>
                      <w:lang w:eastAsia="zh-CN"/>
                    </w:rPr>
                  </w:pPr>
                  <w:r>
                    <w:rPr>
                      <w:rFonts w:hint="default" w:ascii="Times New Roman" w:hAnsi="Times New Roman" w:cs="Times New Roman"/>
                      <w:b w:val="0"/>
                      <w:bCs w:val="0"/>
                      <w:color w:val="auto"/>
                      <w:sz w:val="21"/>
                      <w:szCs w:val="21"/>
                      <w:lang w:eastAsia="zh-CN"/>
                    </w:rPr>
                    <w:t>袋装</w:t>
                  </w:r>
                </w:p>
              </w:tc>
              <w:tc>
                <w:tcPr>
                  <w:tcW w:w="523" w:type="pct"/>
                  <w:noWrap w:val="0"/>
                  <w:vAlign w:val="center"/>
                </w:tcPr>
                <w:p w14:paraId="49811D8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0.1</w:t>
                  </w:r>
                </w:p>
              </w:tc>
              <w:tc>
                <w:tcPr>
                  <w:tcW w:w="447" w:type="pct"/>
                  <w:noWrap w:val="0"/>
                  <w:vAlign w:val="center"/>
                </w:tcPr>
                <w:p w14:paraId="4EC5315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1a</w:t>
                  </w:r>
                </w:p>
              </w:tc>
            </w:tr>
          </w:tbl>
          <w:p w14:paraId="3B906E8F">
            <w:pPr>
              <w:spacing w:line="480" w:lineRule="atLeas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（1）危险废物处置措施可行性分析：</w:t>
            </w:r>
          </w:p>
          <w:p w14:paraId="373080AF">
            <w:pPr>
              <w:spacing w:line="480" w:lineRule="atLeas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项目产生的危险固废分别储存在密封</w:t>
            </w:r>
            <w:r>
              <w:rPr>
                <w:rFonts w:hint="eastAsia" w:ascii="Times New Roman" w:hAnsi="Times New Roman" w:cs="Times New Roman"/>
                <w:color w:val="auto"/>
                <w:sz w:val="24"/>
                <w:szCs w:val="24"/>
                <w:lang w:eastAsia="zh-CN"/>
              </w:rPr>
              <w:t>铁桶</w:t>
            </w:r>
            <w:r>
              <w:rPr>
                <w:rFonts w:hint="default" w:ascii="Times New Roman" w:hAnsi="Times New Roman" w:cs="Times New Roman"/>
                <w:color w:val="auto"/>
                <w:sz w:val="24"/>
                <w:szCs w:val="24"/>
              </w:rPr>
              <w:t>和塑料箱中。包装好的危废采用人工运输的方式暂存于危废暂存间。在运输过程中应尽量小心，轻拿轻放，避免破坏包装容器，发生危险废物散落、泄漏等情况发生。该过程有专职人员跟进管理，并做好各类危险废物总量的登记。一旦发生散落、泄漏，工作人员应迅速找到泄漏点，防止废液继续泄漏，然后将破损桶内危险废物转移至其他空桶内暂存。已经散落、泄漏的少量危险废物应尽快收集，采用惰性材料吸附处理，废吸附材料收集至铁桶中，暂存于危险废物暂存间，和其他危险废物一并交由具有相应危险废物处理资质的单位进行清运、处置，项目危险废物处置去向合理可行。</w:t>
            </w:r>
          </w:p>
          <w:p w14:paraId="363F9719">
            <w:pPr>
              <w:spacing w:line="480" w:lineRule="atLeas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（2）危险废物贮存场所环境影响分析：</w:t>
            </w:r>
          </w:p>
          <w:p w14:paraId="7FA68F3B">
            <w:pPr>
              <w:spacing w:line="480" w:lineRule="atLeas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项目产生的危险废物贮存周期一般为一年，企业拟在</w:t>
            </w:r>
            <w:r>
              <w:rPr>
                <w:rFonts w:hint="default" w:ascii="Times New Roman" w:hAnsi="Times New Roman" w:cs="Times New Roman" w:eastAsiaTheme="majorEastAsia"/>
                <w:color w:val="auto"/>
                <w:sz w:val="24"/>
                <w:szCs w:val="24"/>
              </w:rPr>
              <w:t>厂</w:t>
            </w:r>
            <w:r>
              <w:rPr>
                <w:rFonts w:hint="default" w:ascii="Times New Roman" w:hAnsi="Times New Roman" w:cs="Times New Roman" w:eastAsiaTheme="majorEastAsia"/>
                <w:color w:val="auto"/>
                <w:sz w:val="24"/>
                <w:szCs w:val="24"/>
                <w:lang w:eastAsia="zh-CN"/>
              </w:rPr>
              <w:t>区</w:t>
            </w:r>
            <w:r>
              <w:rPr>
                <w:rFonts w:hint="default" w:ascii="Times New Roman" w:hAnsi="Times New Roman" w:cs="Times New Roman"/>
                <w:color w:val="auto"/>
                <w:sz w:val="24"/>
                <w:szCs w:val="24"/>
              </w:rPr>
              <w:t>设置危险废物暂存间，危废暂存间占地面积为</w:t>
            </w:r>
            <w:r>
              <w:rPr>
                <w:rFonts w:hint="eastAsia" w:ascii="Times New Roman" w:hAnsi="Times New Roman" w:cs="Times New Roman"/>
                <w:color w:val="auto"/>
                <w:sz w:val="24"/>
                <w:szCs w:val="24"/>
                <w:lang w:val="en-US" w:eastAsia="zh-CN"/>
              </w:rPr>
              <w:t>3</w:t>
            </w:r>
            <w:r>
              <w:rPr>
                <w:rFonts w:hint="default" w:ascii="Times New Roman" w:hAnsi="Times New Roman" w:cs="Times New Roman"/>
                <w:color w:val="auto"/>
                <w:sz w:val="24"/>
                <w:szCs w:val="24"/>
                <w:lang w:val="en-US" w:eastAsia="zh-CN"/>
              </w:rPr>
              <w:t>0</w:t>
            </w:r>
            <w:r>
              <w:rPr>
                <w:rFonts w:hint="default" w:ascii="Times New Roman" w:hAnsi="Times New Roman" w:cs="Times New Roman"/>
                <w:color w:val="auto"/>
                <w:sz w:val="24"/>
                <w:szCs w:val="24"/>
              </w:rPr>
              <w:t>m</w:t>
            </w:r>
            <w:r>
              <w:rPr>
                <w:rFonts w:hint="default" w:ascii="Times New Roman" w:hAnsi="Times New Roman" w:cs="Times New Roman"/>
                <w:color w:val="auto"/>
                <w:sz w:val="24"/>
                <w:szCs w:val="24"/>
                <w:vertAlign w:val="superscript"/>
              </w:rPr>
              <w:t>2</w:t>
            </w:r>
            <w:r>
              <w:rPr>
                <w:rFonts w:hint="default" w:ascii="Times New Roman" w:hAnsi="Times New Roman" w:cs="Times New Roman"/>
                <w:color w:val="auto"/>
                <w:sz w:val="24"/>
                <w:szCs w:val="24"/>
              </w:rPr>
              <w:t>，能够满足暂存要求。危废暂存间已进行防渗，满足《危险废物贮存污染控制标准》</w:t>
            </w:r>
            <w:r>
              <w:rPr>
                <w:rFonts w:hint="default" w:ascii="Times New Roman" w:hAnsi="Times New Roman" w:cs="Times New Roman"/>
                <w:color w:val="auto"/>
                <w:sz w:val="24"/>
                <w:szCs w:val="24"/>
                <w:lang w:eastAsia="zh-CN"/>
              </w:rPr>
              <w:t>（</w:t>
            </w:r>
            <w:r>
              <w:rPr>
                <w:rFonts w:hint="eastAsia" w:ascii="Times New Roman" w:hAnsi="Times New Roman" w:cs="Times New Roman"/>
                <w:color w:val="auto"/>
                <w:sz w:val="24"/>
                <w:szCs w:val="24"/>
                <w:lang w:eastAsia="zh-CN"/>
              </w:rPr>
              <w:t>GB18597-2023</w:t>
            </w:r>
            <w:r>
              <w:rPr>
                <w:rFonts w:hint="default" w:ascii="Times New Roman" w:hAnsi="Times New Roman" w:cs="Times New Roman"/>
                <w:color w:val="auto"/>
                <w:sz w:val="24"/>
                <w:szCs w:val="24"/>
              </w:rPr>
              <w:t>）。</w:t>
            </w:r>
          </w:p>
          <w:p w14:paraId="0D8D15BE">
            <w:pPr>
              <w:spacing w:line="480" w:lineRule="atLeas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（3）厂内运输过程环境影响分析：</w:t>
            </w:r>
          </w:p>
          <w:p w14:paraId="1330F95A">
            <w:pPr>
              <w:spacing w:line="480" w:lineRule="atLeas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危险废物从厂房内产生工艺环节装桶后由工人运送到危废贮存间，运送过程中危险废物均有妥善包装，液态废物密封在包装桶内，并且运送距离较短，因此危险废物产生散落、泄漏的可能性很小；如果万一发生散落或泄漏，由于危险废物量运输量较少，且地面均为硬化处理，可以确保及时进行收集，故项目危险废物在厂内运输过程基本不会对周围环境产生影响。</w:t>
            </w:r>
          </w:p>
          <w:p w14:paraId="3D0F7A95">
            <w:pPr>
              <w:spacing w:line="480" w:lineRule="atLeas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（4）委托处置过程环境影响分析：</w:t>
            </w:r>
          </w:p>
          <w:p w14:paraId="6748E22F">
            <w:pPr>
              <w:spacing w:line="480" w:lineRule="atLeas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项目产生的危险废物交由具有相应处理资质的单位进行处置，处置单位应持有环保部颁发的《危险废物经营许可证》，具有收集、运输、贮存、处理处置及综合利用项目危险废物的资质。</w:t>
            </w:r>
          </w:p>
          <w:p w14:paraId="69E61B72">
            <w:pPr>
              <w:snapToGrid w:val="0"/>
              <w:spacing w:line="480" w:lineRule="atLeas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（5）危险废物管理措施：</w:t>
            </w:r>
          </w:p>
          <w:p w14:paraId="09B75498">
            <w:pPr>
              <w:snapToGrid w:val="0"/>
              <w:spacing w:line="480" w:lineRule="atLeas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项目危险废物在厂内暂存应严格按照《危险废物贮存污染控制标准》（</w:t>
            </w:r>
            <w:r>
              <w:rPr>
                <w:rFonts w:hint="eastAsia" w:ascii="Times New Roman" w:hAnsi="Times New Roman" w:cs="Times New Roman"/>
                <w:color w:val="auto"/>
                <w:sz w:val="24"/>
                <w:szCs w:val="24"/>
                <w:lang w:eastAsia="zh-CN"/>
              </w:rPr>
              <w:t>GB18597-2023</w:t>
            </w:r>
            <w:r>
              <w:rPr>
                <w:rFonts w:hint="default" w:ascii="Times New Roman" w:hAnsi="Times New Roman" w:cs="Times New Roman"/>
                <w:color w:val="auto"/>
                <w:sz w:val="24"/>
                <w:szCs w:val="24"/>
              </w:rPr>
              <w:t>）及《危险废物收集、贮存、运输技术规范》（HJ2025-2012）执行。项目产生的各种危险废物原则上不在厂内存放，厂内不设危险废物的长期存放场地。对于随时产生的危险废物，在外运前，将在厂内专用的危险废物贮存间暂存。</w:t>
            </w:r>
          </w:p>
          <w:p w14:paraId="19D1D016">
            <w:pPr>
              <w:snapToGrid w:val="0"/>
              <w:spacing w:line="480" w:lineRule="atLeas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项目危险废物贮存应采取如下控制及管理措施：</w:t>
            </w:r>
          </w:p>
          <w:p w14:paraId="2A8F39DC">
            <w:pPr>
              <w:snapToGrid w:val="0"/>
              <w:spacing w:line="480" w:lineRule="atLeas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a、设置专门的危险废物暂存设施，并设有危废间标识。根据厂区实际情况，建设单位单独设置了一个房间作为危险废物的暂存场所，房间面积满足存储容量的要求。危险废物贮存间密闭建设，门口内侧设立围堰，贮存</w:t>
            </w:r>
            <w:r>
              <w:rPr>
                <w:rFonts w:hint="eastAsia" w:ascii="Times New Roman" w:hAnsi="Times New Roman" w:cs="Times New Roman"/>
                <w:color w:val="auto"/>
                <w:sz w:val="24"/>
                <w:szCs w:val="24"/>
                <w:lang w:eastAsia="zh-CN"/>
              </w:rPr>
              <w:t>场所</w:t>
            </w:r>
            <w:r>
              <w:rPr>
                <w:rFonts w:hint="default" w:ascii="Times New Roman" w:hAnsi="Times New Roman" w:cs="Times New Roman"/>
                <w:color w:val="auto"/>
                <w:sz w:val="24"/>
                <w:szCs w:val="24"/>
              </w:rPr>
              <w:t>做好基础防渗。</w:t>
            </w:r>
          </w:p>
          <w:p w14:paraId="1A733375">
            <w:pPr>
              <w:snapToGrid w:val="0"/>
              <w:spacing w:line="480" w:lineRule="atLeas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b、危险废物要放入符合标准的容器内，加上标签，容器放入坚固的柜或箱中，柜或箱应设多个直径不少于30毫米的排气孔。装载液体、半固体危险废物的容器须留足够空间，容器顶部与液体表面之间保留100mm以上空间。</w:t>
            </w:r>
          </w:p>
          <w:p w14:paraId="07701E1D">
            <w:pPr>
              <w:spacing w:line="480" w:lineRule="atLeast"/>
              <w:ind w:firstLine="480" w:firstLineChars="20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c、禁止将不相容（相互反应）的危险废物在同一容器内混装，要分别存放或存放在不渗透间隔分开的区域内，每个部分都应有防漏裙脚或储漏盘，防漏裙脚或储漏盘的材料要与危险废物相容。</w:t>
            </w:r>
          </w:p>
          <w:p w14:paraId="47F69259">
            <w:pPr>
              <w:snapToGrid w:val="0"/>
              <w:spacing w:line="480" w:lineRule="atLeas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d、盛装危险废物的容器上必须粘贴符合（</w:t>
            </w:r>
            <w:r>
              <w:rPr>
                <w:rFonts w:hint="eastAsia" w:ascii="Times New Roman" w:hAnsi="Times New Roman" w:cs="Times New Roman"/>
                <w:color w:val="auto"/>
                <w:sz w:val="24"/>
                <w:szCs w:val="24"/>
                <w:lang w:eastAsia="zh-CN"/>
              </w:rPr>
              <w:t>GB18597-2023</w:t>
            </w:r>
            <w:r>
              <w:rPr>
                <w:rFonts w:hint="default" w:ascii="Times New Roman" w:hAnsi="Times New Roman" w:cs="Times New Roman"/>
                <w:color w:val="auto"/>
                <w:sz w:val="24"/>
                <w:szCs w:val="24"/>
              </w:rPr>
              <w:t>）标准的标签。</w:t>
            </w:r>
          </w:p>
          <w:p w14:paraId="05869290">
            <w:pPr>
              <w:snapToGrid w:val="0"/>
              <w:spacing w:line="480" w:lineRule="atLeas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e、危险废物产生者和危险废物贮存间管理员均须作好危险废物贮存的</w:t>
            </w:r>
            <w:r>
              <w:rPr>
                <w:rFonts w:hint="eastAsia" w:ascii="Times New Roman" w:hAnsi="Times New Roman" w:cs="Times New Roman"/>
                <w:color w:val="auto"/>
                <w:sz w:val="24"/>
                <w:szCs w:val="24"/>
                <w:lang w:eastAsia="zh-CN"/>
              </w:rPr>
              <w:t>台账制度</w:t>
            </w:r>
            <w:r>
              <w:rPr>
                <w:rFonts w:hint="default" w:ascii="Times New Roman" w:hAnsi="Times New Roman" w:cs="Times New Roman"/>
                <w:color w:val="auto"/>
                <w:sz w:val="24"/>
                <w:szCs w:val="24"/>
              </w:rPr>
              <w:t>，危险废物出入库交接记录，记录上须注明危险废物的名称、来源、数量、特性和包装容器的类别、入库日期、存放库位、废物出库日期及接收单位名称。贮存危险废物不得超过一年，超过一年报环保部门审批。危险废物贮存台账并如实记录危险废物贮存情况，记录保存至少3年。</w:t>
            </w:r>
          </w:p>
          <w:p w14:paraId="23812149">
            <w:pPr>
              <w:snapToGrid w:val="0"/>
              <w:spacing w:line="480" w:lineRule="atLeast"/>
              <w:ind w:firstLine="480" w:firstLineChars="200"/>
              <w:rPr>
                <w:rFonts w:hint="default" w:ascii="Times New Roman" w:hAnsi="Times New Roman" w:eastAsia="宋体" w:cs="Times New Roman"/>
                <w:color w:val="auto"/>
                <w:sz w:val="24"/>
                <w:szCs w:val="24"/>
                <w:lang w:eastAsia="zh-CN" w:bidi="ar"/>
              </w:rPr>
            </w:pPr>
            <w:r>
              <w:rPr>
                <w:rFonts w:hint="default" w:ascii="Times New Roman" w:hAnsi="Times New Roman" w:cs="Times New Roman"/>
                <w:color w:val="auto"/>
                <w:sz w:val="24"/>
                <w:szCs w:val="24"/>
              </w:rPr>
              <w:t>f、定期对所贮存的危险废物包装容器及贮存设施进行检查，发现破损，应及时采取措施清理更换。</w:t>
            </w:r>
          </w:p>
          <w:p w14:paraId="2CB89752">
            <w:pPr>
              <w:snapToGrid w:val="0"/>
              <w:spacing w:line="480" w:lineRule="atLeas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g、废物贮存间必须双人双锁管理。设有专人专职对项目产生的危险废物的收集、暂存和保管进行管理。</w:t>
            </w:r>
          </w:p>
          <w:p w14:paraId="0493F4D7">
            <w:pPr>
              <w:snapToGrid w:val="0"/>
              <w:spacing w:line="480" w:lineRule="atLeas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h、危险废物贮存间应配备通讯设备、照明设施、安全防护服装及工具，并设有应急防护设施。</w:t>
            </w:r>
          </w:p>
          <w:p w14:paraId="64081E25">
            <w:pPr>
              <w:snapToGrid w:val="0"/>
              <w:spacing w:line="480" w:lineRule="atLeas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i、危险废物贮存间应设有符合《环境保护图形标志—固体废物贮存（处置）场》（GB15562.2-1995）的专用标志；门口张贴标准规范的危险废物标识和危废信息板，屋内张贴企业《危险废物管理制度》。</w:t>
            </w:r>
          </w:p>
          <w:p w14:paraId="58413136">
            <w:pPr>
              <w:snapToGrid w:val="0"/>
              <w:spacing w:line="480" w:lineRule="atLeas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经采取上述控制与管理措施后，项目危险废物的收集、暂存和保管能够符合《危险废物贮存污染控制标准》（</w:t>
            </w:r>
            <w:r>
              <w:rPr>
                <w:rFonts w:hint="eastAsia" w:ascii="Times New Roman" w:hAnsi="Times New Roman" w:cs="Times New Roman"/>
                <w:color w:val="auto"/>
                <w:sz w:val="24"/>
                <w:szCs w:val="24"/>
                <w:lang w:eastAsia="zh-CN"/>
              </w:rPr>
              <w:t>GB18597-2023</w:t>
            </w:r>
            <w:r>
              <w:rPr>
                <w:rFonts w:hint="default" w:ascii="Times New Roman" w:hAnsi="Times New Roman" w:cs="Times New Roman"/>
                <w:color w:val="auto"/>
                <w:sz w:val="24"/>
                <w:szCs w:val="24"/>
              </w:rPr>
              <w:t>）的要求，项目产生的固体废物均能够得到妥善处置，处置途径可行，不会对环境造成二次污染。</w:t>
            </w:r>
          </w:p>
          <w:p w14:paraId="6DEBC975">
            <w:pPr>
              <w:widowControl/>
              <w:snapToGrid w:val="0"/>
              <w:spacing w:line="480" w:lineRule="atLeast"/>
              <w:jc w:val="left"/>
              <w:rPr>
                <w:rFonts w:hint="default" w:ascii="Times New Roman" w:hAnsi="Times New Roman" w:eastAsia="宋体" w:cs="Times New Roman"/>
                <w:color w:val="auto"/>
                <w:sz w:val="24"/>
                <w:szCs w:val="24"/>
                <w:lang w:eastAsia="zh-CN"/>
              </w:rPr>
            </w:pPr>
            <w:r>
              <w:rPr>
                <w:rFonts w:hint="default" w:ascii="Times New Roman" w:hAnsi="Times New Roman" w:cs="Times New Roman"/>
                <w:b/>
                <w:bCs/>
                <w:color w:val="auto"/>
                <w:sz w:val="24"/>
                <w:szCs w:val="24"/>
                <w:lang w:bidi="ar"/>
              </w:rPr>
              <w:t>五、地下水、土</w:t>
            </w:r>
            <w:r>
              <w:rPr>
                <w:rFonts w:hint="eastAsia" w:ascii="Times New Roman" w:hAnsi="Times New Roman" w:cs="Times New Roman"/>
                <w:b/>
                <w:bCs/>
                <w:color w:val="auto"/>
                <w:sz w:val="24"/>
                <w:szCs w:val="24"/>
                <w:lang w:eastAsia="zh-CN" w:bidi="ar"/>
              </w:rPr>
              <w:t>壤环</w:t>
            </w:r>
            <w:r>
              <w:rPr>
                <w:rFonts w:hint="default" w:ascii="Times New Roman" w:hAnsi="Times New Roman" w:cs="Times New Roman"/>
                <w:b/>
                <w:color w:val="auto"/>
                <w:sz w:val="24"/>
                <w:szCs w:val="24"/>
              </w:rPr>
              <w:t>境影响分析</w:t>
            </w:r>
          </w:p>
          <w:p w14:paraId="594F813C">
            <w:pPr>
              <w:widowControl/>
              <w:snapToGrid w:val="0"/>
              <w:spacing w:line="480" w:lineRule="atLeast"/>
              <w:ind w:firstLine="480" w:firstLineChars="200"/>
              <w:jc w:val="left"/>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lang w:bidi="ar"/>
              </w:rPr>
              <w:t>项目地下水、土壤污染源主要为项目原料库和危废贮存间。原料库主要存储</w:t>
            </w:r>
            <w:r>
              <w:rPr>
                <w:rFonts w:hint="eastAsia" w:ascii="Times New Roman" w:hAnsi="Times New Roman" w:cs="Times New Roman"/>
                <w:color w:val="auto"/>
                <w:sz w:val="24"/>
                <w:szCs w:val="24"/>
                <w:lang w:eastAsia="zh-CN" w:bidi="ar"/>
              </w:rPr>
              <w:t>机油</w:t>
            </w:r>
            <w:r>
              <w:rPr>
                <w:rFonts w:hint="default" w:ascii="Times New Roman" w:hAnsi="Times New Roman" w:cs="Times New Roman"/>
                <w:color w:val="auto"/>
                <w:sz w:val="24"/>
                <w:szCs w:val="24"/>
                <w:lang w:bidi="ar"/>
              </w:rPr>
              <w:t>；危废贮存间主要存放危险废物</w:t>
            </w:r>
            <w:r>
              <w:rPr>
                <w:rFonts w:hint="default" w:ascii="Times New Roman" w:hAnsi="Times New Roman" w:cs="Times New Roman"/>
                <w:color w:val="auto"/>
                <w:sz w:val="24"/>
                <w:szCs w:val="24"/>
              </w:rPr>
              <w:t>等</w:t>
            </w:r>
            <w:r>
              <w:rPr>
                <w:rFonts w:hint="default" w:ascii="Times New Roman" w:hAnsi="Times New Roman" w:cs="Times New Roman"/>
                <w:color w:val="auto"/>
                <w:sz w:val="24"/>
                <w:szCs w:val="24"/>
                <w:lang w:bidi="ar"/>
              </w:rPr>
              <w:t>。项目对地下水和土壤的污染途径主要为液体的渗漏或固体危险废物破损。项目对地下水及土壤环境保护措施，具体要求如下；</w:t>
            </w:r>
          </w:p>
          <w:p w14:paraId="47A6F7E5">
            <w:pPr>
              <w:widowControl/>
              <w:snapToGrid w:val="0"/>
              <w:spacing w:line="480" w:lineRule="atLeast"/>
              <w:ind w:firstLine="480" w:firstLineChars="200"/>
              <w:jc w:val="left"/>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lang w:bidi="ar"/>
              </w:rPr>
              <w:t>a、原料库地面硬化并进行防腐防渗处理，使防渗层渗透系数K≤1×10</w:t>
            </w:r>
            <w:r>
              <w:rPr>
                <w:rFonts w:hint="default" w:ascii="Times New Roman" w:hAnsi="Times New Roman" w:cs="Times New Roman"/>
                <w:color w:val="auto"/>
                <w:sz w:val="24"/>
                <w:szCs w:val="24"/>
                <w:vertAlign w:val="superscript"/>
                <w:lang w:bidi="ar"/>
              </w:rPr>
              <w:t>-7</w:t>
            </w:r>
            <w:r>
              <w:rPr>
                <w:rFonts w:hint="default" w:ascii="Times New Roman" w:hAnsi="Times New Roman" w:cs="Times New Roman"/>
                <w:color w:val="auto"/>
                <w:sz w:val="24"/>
                <w:szCs w:val="24"/>
                <w:lang w:bidi="ar"/>
              </w:rPr>
              <w:t>cm/s，并制定仓库管理要求；</w:t>
            </w:r>
          </w:p>
          <w:p w14:paraId="66AE21F3">
            <w:pPr>
              <w:widowControl/>
              <w:snapToGrid w:val="0"/>
              <w:spacing w:line="480" w:lineRule="atLeast"/>
              <w:ind w:firstLine="480" w:firstLineChars="200"/>
              <w:jc w:val="left"/>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lang w:bidi="ar"/>
              </w:rPr>
              <w:t>b、危废贮存间按照《危险废物贮存污染控制标准》</w:t>
            </w:r>
            <w:r>
              <w:rPr>
                <w:rFonts w:hint="default" w:ascii="Times New Roman" w:hAnsi="Times New Roman" w:cs="Times New Roman"/>
                <w:color w:val="auto"/>
                <w:sz w:val="24"/>
                <w:szCs w:val="24"/>
                <w:lang w:eastAsia="zh-CN" w:bidi="ar"/>
              </w:rPr>
              <w:t>（</w:t>
            </w:r>
            <w:r>
              <w:rPr>
                <w:rFonts w:hint="eastAsia" w:ascii="Times New Roman" w:hAnsi="Times New Roman" w:cs="Times New Roman"/>
                <w:color w:val="auto"/>
                <w:sz w:val="24"/>
                <w:szCs w:val="24"/>
                <w:lang w:eastAsia="zh-CN" w:bidi="ar"/>
              </w:rPr>
              <w:t>GB18597-2023</w:t>
            </w:r>
            <w:r>
              <w:rPr>
                <w:rFonts w:hint="default" w:ascii="Times New Roman" w:hAnsi="Times New Roman" w:cs="Times New Roman"/>
                <w:color w:val="auto"/>
                <w:sz w:val="24"/>
                <w:szCs w:val="24"/>
                <w:lang w:eastAsia="zh-CN" w:bidi="ar"/>
              </w:rPr>
              <w:t>）</w:t>
            </w:r>
            <w:r>
              <w:rPr>
                <w:rFonts w:hint="default" w:ascii="Times New Roman" w:hAnsi="Times New Roman" w:cs="Times New Roman"/>
                <w:color w:val="auto"/>
                <w:sz w:val="24"/>
                <w:szCs w:val="24"/>
                <w:lang w:bidi="ar"/>
              </w:rPr>
              <w:t>的相关要求，地面和裙角做好防渗处理，渗透系数K≤1×10</w:t>
            </w:r>
            <w:r>
              <w:rPr>
                <w:rFonts w:hint="default" w:ascii="Times New Roman" w:hAnsi="Times New Roman" w:cs="Times New Roman"/>
                <w:color w:val="auto"/>
                <w:sz w:val="24"/>
                <w:szCs w:val="24"/>
                <w:vertAlign w:val="superscript"/>
                <w:lang w:bidi="ar"/>
              </w:rPr>
              <w:t>-10</w:t>
            </w:r>
            <w:r>
              <w:rPr>
                <w:rFonts w:hint="default" w:ascii="Times New Roman" w:hAnsi="Times New Roman" w:cs="Times New Roman"/>
                <w:color w:val="auto"/>
                <w:sz w:val="24"/>
                <w:szCs w:val="24"/>
                <w:lang w:bidi="ar"/>
              </w:rPr>
              <w:t>cm/s；</w:t>
            </w:r>
          </w:p>
          <w:p w14:paraId="50CCA7C5">
            <w:pPr>
              <w:widowControl/>
              <w:snapToGrid w:val="0"/>
              <w:spacing w:line="480" w:lineRule="atLeast"/>
              <w:ind w:firstLine="480" w:firstLineChars="200"/>
              <w:jc w:val="left"/>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lang w:bidi="ar"/>
              </w:rPr>
              <w:t>综上所述，项目对可能产生地下水、土壤影响的途径进行有效预防，避免污染地下水和土壤，因此项目不会对区域地下水和土壤产生明显不利影响。</w:t>
            </w:r>
          </w:p>
          <w:p w14:paraId="26256905">
            <w:pPr>
              <w:widowControl/>
              <w:snapToGrid w:val="0"/>
              <w:spacing w:line="480" w:lineRule="atLeast"/>
              <w:jc w:val="left"/>
              <w:rPr>
                <w:rFonts w:hint="default" w:ascii="Times New Roman" w:hAnsi="Times New Roman" w:eastAsia="宋体" w:cs="Times New Roman"/>
                <w:b/>
                <w:bCs/>
                <w:color w:val="auto"/>
                <w:sz w:val="24"/>
                <w:szCs w:val="24"/>
                <w:lang w:eastAsia="zh-CN"/>
              </w:rPr>
            </w:pPr>
            <w:r>
              <w:rPr>
                <w:rFonts w:hint="default" w:ascii="Times New Roman" w:hAnsi="Times New Roman" w:cs="Times New Roman"/>
                <w:b/>
                <w:bCs/>
                <w:color w:val="auto"/>
                <w:sz w:val="24"/>
                <w:szCs w:val="24"/>
                <w:lang w:bidi="ar"/>
              </w:rPr>
              <w:t>六、生态</w:t>
            </w:r>
          </w:p>
          <w:p w14:paraId="287438CD">
            <w:pPr>
              <w:widowControl/>
              <w:snapToGrid w:val="0"/>
              <w:spacing w:line="480" w:lineRule="atLeast"/>
              <w:ind w:firstLine="480" w:firstLineChars="200"/>
              <w:jc w:val="left"/>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lang w:bidi="ar"/>
              </w:rPr>
              <w:t>项目位于</w:t>
            </w:r>
            <w:r>
              <w:rPr>
                <w:rFonts w:hint="eastAsia" w:ascii="Times New Roman" w:hAnsi="Times New Roman" w:cs="Times New Roman"/>
                <w:color w:val="auto"/>
                <w:sz w:val="24"/>
                <w:szCs w:val="24"/>
                <w:lang w:eastAsia="zh-CN" w:bidi="ar"/>
              </w:rPr>
              <w:t>河北省廊坊市</w:t>
            </w:r>
            <w:r>
              <w:rPr>
                <w:rFonts w:hint="eastAsia" w:ascii="Times New Roman" w:hAnsi="Times New Roman" w:cs="Times New Roman" w:eastAsiaTheme="majorEastAsia"/>
                <w:color w:val="auto"/>
                <w:sz w:val="24"/>
                <w:szCs w:val="24"/>
                <w:lang w:eastAsia="zh-CN"/>
              </w:rPr>
              <w:t>永清县刘街乡小五间房村北</w:t>
            </w:r>
            <w:r>
              <w:rPr>
                <w:rFonts w:hint="default" w:ascii="Times New Roman" w:hAnsi="Times New Roman" w:cs="Times New Roman"/>
                <w:color w:val="auto"/>
                <w:sz w:val="24"/>
                <w:szCs w:val="24"/>
                <w:lang w:bidi="ar"/>
              </w:rPr>
              <w:t>，不涉及新增用地和生态环境保护目标。</w:t>
            </w:r>
          </w:p>
          <w:p w14:paraId="5C4A0101">
            <w:pPr>
              <w:snapToGrid w:val="0"/>
              <w:spacing w:line="480" w:lineRule="atLeast"/>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七、环境风险评价分析</w:t>
            </w:r>
          </w:p>
          <w:p w14:paraId="0EF6080D">
            <w:pPr>
              <w:spacing w:line="480" w:lineRule="atLeas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1、风险调查</w:t>
            </w:r>
          </w:p>
          <w:p w14:paraId="4D84A00F">
            <w:pPr>
              <w:spacing w:line="480" w:lineRule="atLeas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根据《建设项目环境风险评价技术导则》（HJ/T169-2018）附录B中的化学物质逐一进行识别，按照较严格标准规定，公司涉及的危险物质为：</w:t>
            </w:r>
            <w:r>
              <w:rPr>
                <w:rFonts w:hint="eastAsia" w:ascii="Times New Roman" w:hAnsi="Times New Roman" w:cs="Times New Roman"/>
                <w:color w:val="auto"/>
                <w:sz w:val="24"/>
                <w:szCs w:val="24"/>
                <w:lang w:eastAsia="zh-CN"/>
              </w:rPr>
              <w:t>机油</w:t>
            </w:r>
            <w:r>
              <w:rPr>
                <w:rFonts w:hint="default" w:ascii="Times New Roman" w:hAnsi="Times New Roman" w:cs="Times New Roman"/>
                <w:color w:val="auto"/>
                <w:sz w:val="24"/>
                <w:szCs w:val="24"/>
              </w:rPr>
              <w:t>、废活性炭、</w:t>
            </w:r>
            <w:r>
              <w:rPr>
                <w:rFonts w:hint="eastAsia" w:ascii="Times New Roman" w:hAnsi="Times New Roman" w:cs="Times New Roman"/>
                <w:color w:val="auto"/>
                <w:sz w:val="24"/>
                <w:szCs w:val="24"/>
                <w:lang w:eastAsia="zh-CN"/>
              </w:rPr>
              <w:t>废机油</w:t>
            </w:r>
            <w:r>
              <w:rPr>
                <w:rFonts w:hint="default" w:ascii="Times New Roman" w:hAnsi="Times New Roman" w:cs="Times New Roman"/>
                <w:color w:val="auto"/>
                <w:sz w:val="24"/>
                <w:szCs w:val="24"/>
              </w:rPr>
              <w:t>、废油桶、</w:t>
            </w:r>
            <w:r>
              <w:rPr>
                <w:rFonts w:hint="eastAsia" w:ascii="Times New Roman" w:hAnsi="Times New Roman" w:cs="Times New Roman"/>
                <w:color w:val="auto"/>
                <w:sz w:val="24"/>
                <w:szCs w:val="24"/>
                <w:lang w:eastAsia="zh-CN"/>
              </w:rPr>
              <w:t>废过滤棉、</w:t>
            </w:r>
            <w:r>
              <w:rPr>
                <w:rFonts w:hint="default" w:ascii="Times New Roman" w:hAnsi="Times New Roman" w:cs="Times New Roman"/>
                <w:color w:val="auto"/>
                <w:sz w:val="24"/>
                <w:szCs w:val="24"/>
              </w:rPr>
              <w:t>废催化剂等。</w:t>
            </w:r>
          </w:p>
          <w:p w14:paraId="6486A306">
            <w:pPr>
              <w:adjustRightInd w:val="0"/>
              <w:snapToGrid w:val="0"/>
              <w:spacing w:line="480" w:lineRule="atLeas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项目涉及到原料和危险废物的贮存、使用过程中，本项目所用原辅材料主要为PP、P</w:t>
            </w:r>
            <w:r>
              <w:rPr>
                <w:rFonts w:hint="default" w:ascii="Times New Roman" w:hAnsi="Times New Roman" w:cs="Times New Roman"/>
                <w:color w:val="auto"/>
                <w:sz w:val="24"/>
                <w:szCs w:val="24"/>
                <w:lang w:val="en-US" w:eastAsia="zh-CN"/>
              </w:rPr>
              <w:t>E</w:t>
            </w:r>
            <w:r>
              <w:rPr>
                <w:rFonts w:hint="default" w:ascii="Times New Roman" w:hAnsi="Times New Roman" w:cs="Times New Roman"/>
                <w:color w:val="auto"/>
                <w:sz w:val="24"/>
                <w:szCs w:val="24"/>
              </w:rPr>
              <w:t>塑料颗粒，属于可燃物质，堆放贮存过程容易发生火灾事故</w:t>
            </w:r>
            <w:r>
              <w:rPr>
                <w:rFonts w:hint="default" w:ascii="Times New Roman" w:hAnsi="Times New Roman" w:cs="Times New Roman"/>
                <w:color w:val="auto"/>
                <w:sz w:val="24"/>
                <w:szCs w:val="24"/>
                <w:lang w:eastAsia="zh-CN"/>
              </w:rPr>
              <w:t>或</w:t>
            </w:r>
            <w:r>
              <w:rPr>
                <w:rFonts w:hint="default" w:ascii="Times New Roman" w:hAnsi="Times New Roman" w:cs="Times New Roman"/>
                <w:color w:val="auto"/>
                <w:sz w:val="24"/>
                <w:szCs w:val="24"/>
              </w:rPr>
              <w:t>由于</w:t>
            </w:r>
            <w:r>
              <w:rPr>
                <w:rFonts w:hint="default" w:ascii="Times New Roman" w:hAnsi="Times New Roman" w:cs="Times New Roman"/>
                <w:color w:val="auto"/>
                <w:sz w:val="24"/>
                <w:szCs w:val="24"/>
                <w:lang w:eastAsia="zh-CN"/>
              </w:rPr>
              <w:t>仓库</w:t>
            </w:r>
            <w:r>
              <w:rPr>
                <w:rFonts w:hint="eastAsia" w:ascii="Times New Roman" w:hAnsi="Times New Roman" w:cs="Times New Roman"/>
                <w:color w:val="auto"/>
                <w:sz w:val="24"/>
                <w:szCs w:val="24"/>
                <w:lang w:eastAsia="zh-CN"/>
              </w:rPr>
              <w:t>、危废间</w:t>
            </w:r>
            <w:r>
              <w:rPr>
                <w:rFonts w:hint="default" w:ascii="Times New Roman" w:hAnsi="Times New Roman" w:cs="Times New Roman"/>
                <w:color w:val="auto"/>
                <w:sz w:val="24"/>
                <w:szCs w:val="24"/>
              </w:rPr>
              <w:t>泄露导致火灾或由于操作不当会导致物料泄漏至地面，泄漏物料如经雨水管道进入外环境，将污染周边大气、地表水体、土壤；危废贮存间内危险固废在储存过程中由于操作不当会导致危险固废泄漏至地面，泄漏的废物如经雨水管道进入外环境，将污染周边地表水体、土壤；废气治理设施（吸风系统和</w:t>
            </w:r>
            <w:r>
              <w:rPr>
                <w:rFonts w:hint="eastAsia" w:ascii="Times New Roman" w:hAnsi="Times New Roman" w:cs="Times New Roman"/>
                <w:color w:val="auto"/>
                <w:sz w:val="24"/>
                <w:szCs w:val="24"/>
                <w:lang w:eastAsia="zh-CN"/>
              </w:rPr>
              <w:t>环保</w:t>
            </w:r>
            <w:r>
              <w:rPr>
                <w:rFonts w:hint="default" w:ascii="Times New Roman" w:hAnsi="Times New Roman" w:cs="Times New Roman"/>
                <w:color w:val="auto"/>
                <w:sz w:val="24"/>
                <w:szCs w:val="24"/>
              </w:rPr>
              <w:t>设备）发生故障，造成废气未处理外排，污染大气环境。</w:t>
            </w:r>
          </w:p>
          <w:p w14:paraId="795B5546">
            <w:pPr>
              <w:snapToGrid w:val="0"/>
              <w:spacing w:line="480" w:lineRule="atLeas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环境风险评价的目的是分析和预测建设项目存在的潜在危险、有害因素，建设项目建设和运行期间可能发生的突发性事件或事故，引起有毒有害和易燃易爆物质的泄漏，所造成的人身安全与环境影响的损害程度，提出合理可行的防范、应急与减缓措施，以使建设项目事故率、损失和环境影响达到可接受的水平。</w:t>
            </w:r>
          </w:p>
          <w:p w14:paraId="2A664937">
            <w:pPr>
              <w:adjustRightInd w:val="0"/>
              <w:snapToGrid w:val="0"/>
              <w:spacing w:line="480" w:lineRule="atLeas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2、环境风险识别</w:t>
            </w:r>
          </w:p>
          <w:p w14:paraId="1575AC97">
            <w:pPr>
              <w:adjustRightInd w:val="0"/>
              <w:snapToGrid w:val="0"/>
              <w:spacing w:line="480" w:lineRule="atLeas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项目环境风险识别见表</w:t>
            </w:r>
            <w:r>
              <w:rPr>
                <w:rFonts w:hint="eastAsia" w:ascii="Times New Roman" w:hAnsi="Times New Roman" w:cs="Times New Roman"/>
                <w:color w:val="auto"/>
                <w:sz w:val="24"/>
                <w:szCs w:val="24"/>
                <w:lang w:val="en-US" w:eastAsia="zh-CN"/>
              </w:rPr>
              <w:t>32</w:t>
            </w:r>
            <w:r>
              <w:rPr>
                <w:rFonts w:hint="default" w:ascii="Times New Roman" w:hAnsi="Times New Roman" w:cs="Times New Roman"/>
                <w:color w:val="auto"/>
                <w:sz w:val="24"/>
                <w:szCs w:val="24"/>
              </w:rPr>
              <w:t>。</w:t>
            </w:r>
          </w:p>
          <w:p w14:paraId="5A134586">
            <w:pPr>
              <w:adjustRightInd w:val="0"/>
              <w:snapToGrid w:val="0"/>
              <w:spacing w:line="480" w:lineRule="atLeast"/>
              <w:ind w:firstLine="482" w:firstLineChars="200"/>
              <w:jc w:val="center"/>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表</w:t>
            </w:r>
            <w:r>
              <w:rPr>
                <w:rFonts w:hint="eastAsia" w:ascii="Times New Roman" w:hAnsi="Times New Roman" w:cs="Times New Roman"/>
                <w:b/>
                <w:color w:val="auto"/>
                <w:sz w:val="24"/>
                <w:szCs w:val="24"/>
                <w:lang w:val="en-US" w:eastAsia="zh-CN"/>
              </w:rPr>
              <w:t>32</w:t>
            </w:r>
            <w:r>
              <w:rPr>
                <w:rFonts w:hint="default" w:ascii="Times New Roman" w:hAnsi="Times New Roman" w:cs="Times New Roman"/>
                <w:b/>
                <w:color w:val="auto"/>
                <w:sz w:val="24"/>
                <w:szCs w:val="24"/>
              </w:rPr>
              <w:t>项目环境风险识别一览表</w:t>
            </w:r>
          </w:p>
          <w:tbl>
            <w:tblPr>
              <w:tblStyle w:val="35"/>
              <w:tblW w:w="5000" w:type="pct"/>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231"/>
              <w:gridCol w:w="984"/>
              <w:gridCol w:w="2408"/>
              <w:gridCol w:w="3495"/>
            </w:tblGrid>
            <w:tr w14:paraId="1D8C9DD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2" w:hRule="atLeast"/>
                <w:jc w:val="center"/>
              </w:trPr>
              <w:tc>
                <w:tcPr>
                  <w:tcW w:w="758" w:type="pct"/>
                  <w:vAlign w:val="center"/>
                </w:tcPr>
                <w:p w14:paraId="302787A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危险单元</w:t>
                  </w:r>
                </w:p>
              </w:tc>
              <w:tc>
                <w:tcPr>
                  <w:tcW w:w="606" w:type="pct"/>
                  <w:vAlign w:val="center"/>
                </w:tcPr>
                <w:p w14:paraId="2CA590C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风险源</w:t>
                  </w:r>
                </w:p>
              </w:tc>
              <w:tc>
                <w:tcPr>
                  <w:tcW w:w="1483" w:type="pct"/>
                  <w:vAlign w:val="center"/>
                </w:tcPr>
                <w:p w14:paraId="3CF4FB1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主要危险物质</w:t>
                  </w:r>
                </w:p>
              </w:tc>
              <w:tc>
                <w:tcPr>
                  <w:tcW w:w="2152" w:type="pct"/>
                  <w:vAlign w:val="center"/>
                </w:tcPr>
                <w:p w14:paraId="3A726A8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环境影响途径</w:t>
                  </w:r>
                </w:p>
              </w:tc>
            </w:tr>
            <w:tr w14:paraId="6393ED7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2" w:hRule="atLeast"/>
                <w:jc w:val="center"/>
              </w:trPr>
              <w:tc>
                <w:tcPr>
                  <w:tcW w:w="758" w:type="pct"/>
                  <w:vAlign w:val="center"/>
                </w:tcPr>
                <w:p w14:paraId="2871D70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仓库</w:t>
                  </w:r>
                </w:p>
              </w:tc>
              <w:tc>
                <w:tcPr>
                  <w:tcW w:w="606" w:type="pct"/>
                  <w:vAlign w:val="center"/>
                </w:tcPr>
                <w:p w14:paraId="789D562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仓库</w:t>
                  </w:r>
                </w:p>
              </w:tc>
              <w:tc>
                <w:tcPr>
                  <w:tcW w:w="1483" w:type="pct"/>
                  <w:vAlign w:val="center"/>
                </w:tcPr>
                <w:p w14:paraId="2230669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eastAsia="zh-CN"/>
                    </w:rPr>
                    <w:t>机油</w:t>
                  </w:r>
                  <w:r>
                    <w:rPr>
                      <w:rFonts w:hint="default" w:ascii="Times New Roman" w:hAnsi="Times New Roman" w:cs="Times New Roman"/>
                      <w:color w:val="auto"/>
                      <w:sz w:val="21"/>
                      <w:szCs w:val="21"/>
                      <w:lang w:eastAsia="zh-CN"/>
                    </w:rPr>
                    <w:t>、</w:t>
                  </w:r>
                  <w:r>
                    <w:rPr>
                      <w:rFonts w:hint="eastAsia" w:ascii="Times New Roman" w:hAnsi="Times New Roman" w:cs="Times New Roman"/>
                      <w:color w:val="auto"/>
                      <w:sz w:val="21"/>
                      <w:szCs w:val="21"/>
                      <w:lang w:eastAsia="zh-CN"/>
                    </w:rPr>
                    <w:t>原辅料</w:t>
                  </w:r>
                  <w:r>
                    <w:rPr>
                      <w:rFonts w:hint="default" w:ascii="Times New Roman" w:hAnsi="Times New Roman" w:cs="Times New Roman"/>
                      <w:color w:val="auto"/>
                      <w:sz w:val="21"/>
                      <w:szCs w:val="21"/>
                      <w:lang w:eastAsia="zh-CN"/>
                    </w:rPr>
                    <w:t>、塑料产品</w:t>
                  </w:r>
                </w:p>
              </w:tc>
              <w:tc>
                <w:tcPr>
                  <w:tcW w:w="2152" w:type="pct"/>
                  <w:vAlign w:val="center"/>
                </w:tcPr>
                <w:p w14:paraId="26B0772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防渗措施失效或使用、贮存过程操作不当，造成泄漏，污染地下水、土壤</w:t>
                  </w:r>
                  <w:r>
                    <w:rPr>
                      <w:rFonts w:hint="default" w:ascii="Times New Roman" w:hAnsi="Times New Roman" w:cs="Times New Roman"/>
                      <w:color w:val="auto"/>
                      <w:sz w:val="21"/>
                      <w:szCs w:val="21"/>
                      <w:lang w:eastAsia="zh-CN"/>
                    </w:rPr>
                    <w:t>，塑料原料</w:t>
                  </w:r>
                  <w:r>
                    <w:rPr>
                      <w:rFonts w:hint="default" w:ascii="Times New Roman" w:hAnsi="Times New Roman" w:cs="Times New Roman"/>
                      <w:color w:val="auto"/>
                      <w:sz w:val="21"/>
                      <w:szCs w:val="21"/>
                      <w:lang w:val="en-US" w:eastAsia="zh-CN"/>
                    </w:rPr>
                    <w:t>/产品发生火灾，污染周围环境空气</w:t>
                  </w:r>
                </w:p>
              </w:tc>
            </w:tr>
            <w:tr w14:paraId="409C7EF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2" w:hRule="atLeast"/>
                <w:jc w:val="center"/>
              </w:trPr>
              <w:tc>
                <w:tcPr>
                  <w:tcW w:w="758" w:type="pct"/>
                  <w:vAlign w:val="center"/>
                </w:tcPr>
                <w:p w14:paraId="55B5B24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危废贮存间</w:t>
                  </w:r>
                </w:p>
              </w:tc>
              <w:tc>
                <w:tcPr>
                  <w:tcW w:w="606" w:type="pct"/>
                  <w:vAlign w:val="center"/>
                </w:tcPr>
                <w:p w14:paraId="7D715A4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危废贮存间</w:t>
                  </w:r>
                </w:p>
              </w:tc>
              <w:tc>
                <w:tcPr>
                  <w:tcW w:w="1483" w:type="pct"/>
                  <w:vAlign w:val="center"/>
                </w:tcPr>
                <w:p w14:paraId="405945C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eastAsia="zh-CN"/>
                    </w:rPr>
                    <w:t>废机油</w:t>
                  </w:r>
                  <w:r>
                    <w:rPr>
                      <w:rFonts w:hint="default" w:ascii="Times New Roman" w:hAnsi="Times New Roman" w:cs="Times New Roman"/>
                      <w:color w:val="auto"/>
                      <w:sz w:val="21"/>
                      <w:szCs w:val="21"/>
                    </w:rPr>
                    <w:t>、废活性炭、废油桶</w:t>
                  </w:r>
                </w:p>
              </w:tc>
              <w:tc>
                <w:tcPr>
                  <w:tcW w:w="2152" w:type="pct"/>
                  <w:vAlign w:val="center"/>
                </w:tcPr>
                <w:p w14:paraId="02883C2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防渗措施失效或使用、贮存过程操作不当，造成泄漏/破损，污染地下水、土壤</w:t>
                  </w:r>
                </w:p>
              </w:tc>
            </w:tr>
            <w:tr w14:paraId="6F75677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2" w:hRule="atLeast"/>
                <w:jc w:val="center"/>
              </w:trPr>
              <w:tc>
                <w:tcPr>
                  <w:tcW w:w="758" w:type="pct"/>
                  <w:vAlign w:val="center"/>
                </w:tcPr>
                <w:p w14:paraId="48FEC24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环保设备</w:t>
                  </w:r>
                </w:p>
              </w:tc>
              <w:tc>
                <w:tcPr>
                  <w:tcW w:w="606" w:type="pct"/>
                  <w:vAlign w:val="center"/>
                </w:tcPr>
                <w:p w14:paraId="0FAD822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废气治理设施</w:t>
                  </w:r>
                </w:p>
              </w:tc>
              <w:tc>
                <w:tcPr>
                  <w:tcW w:w="1483" w:type="pct"/>
                  <w:vAlign w:val="center"/>
                </w:tcPr>
                <w:p w14:paraId="5B84671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非甲烷总烃、颗粒物</w:t>
                  </w:r>
                  <w:r>
                    <w:rPr>
                      <w:rFonts w:hint="eastAsia" w:ascii="Times New Roman" w:hAnsi="Times New Roman" w:cs="Times New Roman"/>
                      <w:color w:val="auto"/>
                      <w:sz w:val="21"/>
                      <w:szCs w:val="21"/>
                      <w:lang w:eastAsia="zh-CN"/>
                    </w:rPr>
                    <w:t>、臭气浓度</w:t>
                  </w:r>
                </w:p>
              </w:tc>
              <w:tc>
                <w:tcPr>
                  <w:tcW w:w="2152" w:type="pct"/>
                  <w:vAlign w:val="center"/>
                </w:tcPr>
                <w:p w14:paraId="1DCB49D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吸风系统和环保设备发生故障，造成废气未处理外排，影响大气环境</w:t>
                  </w:r>
                </w:p>
              </w:tc>
            </w:tr>
          </w:tbl>
          <w:p w14:paraId="539EFCAE">
            <w:pPr>
              <w:spacing w:line="480" w:lineRule="atLeast"/>
              <w:ind w:firstLine="480" w:firstLineChars="200"/>
              <w:rPr>
                <w:rFonts w:hint="default" w:ascii="Times New Roman" w:hAnsi="Times New Roman" w:cs="Times New Roman" w:eastAsiaTheme="majorEastAsia"/>
                <w:color w:val="auto"/>
                <w:sz w:val="24"/>
                <w:szCs w:val="24"/>
              </w:rPr>
            </w:pPr>
            <w:r>
              <w:rPr>
                <w:rFonts w:hint="default" w:ascii="Times New Roman" w:hAnsi="Times New Roman" w:cs="Times New Roman" w:eastAsiaTheme="majorEastAsia"/>
                <w:color w:val="auto"/>
                <w:sz w:val="24"/>
                <w:szCs w:val="24"/>
              </w:rPr>
              <w:t>3、风险评价等级</w:t>
            </w:r>
          </w:p>
          <w:p w14:paraId="6E9EF9A6">
            <w:pPr>
              <w:spacing w:line="480" w:lineRule="atLeast"/>
              <w:ind w:firstLine="480" w:firstLineChars="200"/>
              <w:rPr>
                <w:rFonts w:hint="default" w:ascii="Times New Roman" w:hAnsi="Times New Roman" w:cs="Times New Roman" w:eastAsiaTheme="majorEastAsia"/>
                <w:color w:val="auto"/>
                <w:sz w:val="24"/>
                <w:szCs w:val="24"/>
              </w:rPr>
            </w:pPr>
            <w:r>
              <w:rPr>
                <w:rFonts w:hint="default" w:ascii="Times New Roman" w:hAnsi="Times New Roman" w:cs="Times New Roman" w:eastAsiaTheme="majorEastAsia"/>
                <w:color w:val="auto"/>
                <w:sz w:val="24"/>
                <w:szCs w:val="24"/>
              </w:rPr>
              <w:t>计算所涉及到的每种危险物质在厂界内的最大存在总量与其在《建设项目环境风险评价技术导则》</w:t>
            </w:r>
            <w:r>
              <w:rPr>
                <w:rFonts w:hint="default" w:ascii="Times New Roman" w:hAnsi="Times New Roman" w:cs="Times New Roman" w:eastAsiaTheme="majorEastAsia"/>
                <w:color w:val="auto"/>
                <w:sz w:val="24"/>
                <w:szCs w:val="24"/>
                <w:lang w:eastAsia="zh-CN"/>
              </w:rPr>
              <w:t>（</w:t>
            </w:r>
            <w:r>
              <w:rPr>
                <w:rFonts w:hint="default" w:ascii="Times New Roman" w:hAnsi="Times New Roman" w:cs="Times New Roman" w:eastAsiaTheme="majorEastAsia"/>
                <w:color w:val="auto"/>
                <w:sz w:val="24"/>
                <w:szCs w:val="24"/>
              </w:rPr>
              <w:t>HJ169-2018）附录B中对应临界量的比值Q。</w:t>
            </w:r>
          </w:p>
          <w:p w14:paraId="76327E45">
            <w:pPr>
              <w:spacing w:line="480" w:lineRule="atLeast"/>
              <w:ind w:firstLine="480" w:firstLineChars="200"/>
              <w:rPr>
                <w:rFonts w:hint="default" w:ascii="Times New Roman" w:hAnsi="Times New Roman" w:cs="Times New Roman" w:eastAsiaTheme="majorEastAsia"/>
                <w:color w:val="auto"/>
                <w:sz w:val="24"/>
                <w:szCs w:val="24"/>
              </w:rPr>
            </w:pPr>
            <w:r>
              <w:rPr>
                <w:rFonts w:hint="default" w:ascii="Times New Roman" w:hAnsi="Times New Roman" w:cs="Times New Roman" w:eastAsiaTheme="majorEastAsia"/>
                <w:color w:val="auto"/>
                <w:sz w:val="24"/>
                <w:szCs w:val="24"/>
              </w:rPr>
              <w:t>当存在多种危险物质时，则按下式计算物质总量与其临界量比值Q</w:t>
            </w:r>
          </w:p>
          <w:p w14:paraId="4FD43908">
            <w:pPr>
              <w:spacing w:line="480" w:lineRule="atLeast"/>
              <w:ind w:firstLine="480" w:firstLineChars="200"/>
              <w:rPr>
                <w:rFonts w:hint="default" w:ascii="Times New Roman" w:hAnsi="Times New Roman" w:cs="Times New Roman" w:eastAsiaTheme="majorEastAsia"/>
                <w:color w:val="auto"/>
                <w:sz w:val="24"/>
                <w:szCs w:val="24"/>
              </w:rPr>
            </w:pPr>
            <w:r>
              <w:rPr>
                <w:rFonts w:hint="default" w:ascii="Times New Roman" w:hAnsi="Times New Roman" w:cs="Times New Roman" w:eastAsiaTheme="majorEastAsia"/>
                <w:color w:val="auto"/>
                <w:sz w:val="24"/>
                <w:szCs w:val="24"/>
              </w:rPr>
              <w:t>Q=q1/Q1+q2/Q2+……+qn/Qn</w:t>
            </w:r>
          </w:p>
          <w:p w14:paraId="1FC862D5">
            <w:pPr>
              <w:spacing w:line="480" w:lineRule="atLeast"/>
              <w:ind w:firstLine="480" w:firstLineChars="200"/>
              <w:rPr>
                <w:rFonts w:hint="default" w:ascii="Times New Roman" w:hAnsi="Times New Roman" w:cs="Times New Roman" w:eastAsiaTheme="majorEastAsia"/>
                <w:color w:val="auto"/>
                <w:sz w:val="24"/>
                <w:szCs w:val="24"/>
              </w:rPr>
            </w:pPr>
            <w:r>
              <w:rPr>
                <w:rFonts w:hint="default" w:ascii="Times New Roman" w:hAnsi="Times New Roman" w:cs="Times New Roman" w:eastAsiaTheme="majorEastAsia"/>
                <w:color w:val="auto"/>
                <w:sz w:val="24"/>
                <w:szCs w:val="24"/>
              </w:rPr>
              <w:t>式中：q1，q2，……，qn-每种危险物质的最大存在量，t</w:t>
            </w:r>
          </w:p>
          <w:p w14:paraId="3D14255C">
            <w:pPr>
              <w:spacing w:line="480" w:lineRule="atLeast"/>
              <w:ind w:firstLine="480" w:firstLineChars="200"/>
              <w:rPr>
                <w:rFonts w:hint="default" w:ascii="Times New Roman" w:hAnsi="Times New Roman" w:cs="Times New Roman" w:eastAsiaTheme="majorEastAsia"/>
                <w:color w:val="auto"/>
                <w:sz w:val="24"/>
                <w:szCs w:val="24"/>
              </w:rPr>
            </w:pPr>
            <w:r>
              <w:rPr>
                <w:rFonts w:hint="default" w:ascii="Times New Roman" w:hAnsi="Times New Roman" w:cs="Times New Roman" w:eastAsiaTheme="majorEastAsia"/>
                <w:color w:val="auto"/>
                <w:sz w:val="24"/>
                <w:szCs w:val="24"/>
              </w:rPr>
              <w:t>Q1，Q2，……，Qn-每种物质的临界量，t</w:t>
            </w:r>
          </w:p>
          <w:p w14:paraId="1A7D65A0">
            <w:pPr>
              <w:spacing w:line="480" w:lineRule="atLeast"/>
              <w:ind w:firstLine="480" w:firstLineChars="200"/>
              <w:rPr>
                <w:rFonts w:hint="default" w:ascii="Times New Roman" w:hAnsi="Times New Roman" w:cs="Times New Roman" w:eastAsiaTheme="majorEastAsia"/>
                <w:color w:val="auto"/>
                <w:sz w:val="24"/>
                <w:szCs w:val="24"/>
              </w:rPr>
            </w:pPr>
            <w:r>
              <w:rPr>
                <w:rFonts w:hint="default" w:ascii="Times New Roman" w:hAnsi="Times New Roman" w:cs="Times New Roman" w:eastAsiaTheme="majorEastAsia"/>
                <w:color w:val="auto"/>
                <w:sz w:val="24"/>
                <w:szCs w:val="24"/>
              </w:rPr>
              <w:t>当Q&lt;1时，该项目环境风险潜势为Ⅰ。</w:t>
            </w:r>
          </w:p>
          <w:p w14:paraId="0F67A908">
            <w:pPr>
              <w:spacing w:line="480" w:lineRule="atLeast"/>
              <w:ind w:firstLine="480" w:firstLineChars="200"/>
              <w:rPr>
                <w:rFonts w:hint="default" w:ascii="Times New Roman" w:hAnsi="Times New Roman" w:cs="Times New Roman" w:eastAsiaTheme="majorEastAsia"/>
                <w:color w:val="auto"/>
                <w:sz w:val="24"/>
                <w:szCs w:val="24"/>
              </w:rPr>
            </w:pPr>
            <w:r>
              <w:rPr>
                <w:rFonts w:hint="default" w:ascii="Times New Roman" w:hAnsi="Times New Roman" w:cs="Times New Roman" w:eastAsiaTheme="majorEastAsia"/>
                <w:color w:val="auto"/>
                <w:sz w:val="24"/>
                <w:szCs w:val="24"/>
              </w:rPr>
              <w:t>当Q≥1时，将Q值划分为：（1）1≤Q&lt;10；（2）10≤Q&lt;100；Q≥100。</w:t>
            </w:r>
          </w:p>
          <w:p w14:paraId="15DBB7F7">
            <w:pPr>
              <w:spacing w:line="480" w:lineRule="atLeast"/>
              <w:ind w:firstLine="480" w:firstLineChars="200"/>
              <w:rPr>
                <w:rFonts w:hint="default" w:ascii="Times New Roman" w:hAnsi="Times New Roman" w:cs="Times New Roman" w:eastAsiaTheme="majorEastAsia"/>
                <w:color w:val="auto"/>
                <w:sz w:val="24"/>
                <w:szCs w:val="24"/>
              </w:rPr>
            </w:pPr>
            <w:r>
              <w:rPr>
                <w:rFonts w:hint="default" w:ascii="Times New Roman" w:hAnsi="Times New Roman" w:cs="Times New Roman" w:eastAsiaTheme="majorEastAsia"/>
                <w:color w:val="auto"/>
                <w:sz w:val="24"/>
                <w:szCs w:val="24"/>
              </w:rPr>
              <w:t>根据调查，项目Q值见表</w:t>
            </w:r>
            <w:r>
              <w:rPr>
                <w:rFonts w:hint="eastAsia" w:ascii="Times New Roman" w:hAnsi="Times New Roman" w:cs="Times New Roman" w:eastAsiaTheme="majorEastAsia"/>
                <w:color w:val="auto"/>
                <w:sz w:val="24"/>
                <w:szCs w:val="24"/>
                <w:lang w:val="en-US" w:eastAsia="zh-CN"/>
              </w:rPr>
              <w:t>33</w:t>
            </w:r>
            <w:r>
              <w:rPr>
                <w:rFonts w:hint="default" w:ascii="Times New Roman" w:hAnsi="Times New Roman" w:cs="Times New Roman" w:eastAsiaTheme="majorEastAsia"/>
                <w:color w:val="auto"/>
                <w:sz w:val="24"/>
                <w:szCs w:val="24"/>
              </w:rPr>
              <w:t>。</w:t>
            </w:r>
          </w:p>
          <w:p w14:paraId="47672A61">
            <w:pPr>
              <w:spacing w:line="480" w:lineRule="atLeast"/>
              <w:jc w:val="center"/>
              <w:rPr>
                <w:rFonts w:hint="default" w:ascii="Times New Roman" w:hAnsi="Times New Roman" w:cs="Times New Roman" w:eastAsiaTheme="majorEastAsia"/>
                <w:b/>
                <w:color w:val="auto"/>
                <w:sz w:val="24"/>
                <w:szCs w:val="24"/>
              </w:rPr>
            </w:pPr>
            <w:r>
              <w:rPr>
                <w:rFonts w:hint="default" w:ascii="Times New Roman" w:hAnsi="Times New Roman" w:cs="Times New Roman" w:eastAsiaTheme="majorEastAsia"/>
                <w:b/>
                <w:color w:val="auto"/>
                <w:sz w:val="24"/>
                <w:szCs w:val="24"/>
              </w:rPr>
              <w:t>表</w:t>
            </w:r>
            <w:r>
              <w:rPr>
                <w:rFonts w:hint="eastAsia" w:ascii="Times New Roman" w:hAnsi="Times New Roman" w:cs="Times New Roman" w:eastAsiaTheme="majorEastAsia"/>
                <w:b/>
                <w:color w:val="auto"/>
                <w:sz w:val="24"/>
                <w:szCs w:val="24"/>
                <w:lang w:val="en-US" w:eastAsia="zh-CN"/>
              </w:rPr>
              <w:t>33</w:t>
            </w:r>
            <w:r>
              <w:rPr>
                <w:rFonts w:hint="default" w:ascii="Times New Roman" w:hAnsi="Times New Roman" w:cs="Times New Roman" w:eastAsiaTheme="majorEastAsia"/>
                <w:b/>
                <w:color w:val="auto"/>
                <w:sz w:val="24"/>
                <w:szCs w:val="24"/>
              </w:rPr>
              <w:t>建设项目Q值确定表</w:t>
            </w:r>
          </w:p>
          <w:tbl>
            <w:tblPr>
              <w:tblStyle w:val="34"/>
              <w:tblW w:w="80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42"/>
              <w:gridCol w:w="1582"/>
              <w:gridCol w:w="1268"/>
              <w:gridCol w:w="1621"/>
              <w:gridCol w:w="1164"/>
              <w:gridCol w:w="1781"/>
            </w:tblGrid>
            <w:tr w14:paraId="39E09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 w:hRule="atLeast"/>
                <w:tblHeader/>
                <w:jc w:val="center"/>
              </w:trPr>
              <w:tc>
                <w:tcPr>
                  <w:tcW w:w="642" w:type="dxa"/>
                  <w:vAlign w:val="center"/>
                </w:tcPr>
                <w:p w14:paraId="275AD9E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序号</w:t>
                  </w:r>
                </w:p>
              </w:tc>
              <w:tc>
                <w:tcPr>
                  <w:tcW w:w="1582" w:type="dxa"/>
                  <w:vAlign w:val="center"/>
                </w:tcPr>
                <w:p w14:paraId="2AA8021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主要危险品名称</w:t>
                  </w:r>
                </w:p>
              </w:tc>
              <w:tc>
                <w:tcPr>
                  <w:tcW w:w="1268" w:type="dxa"/>
                  <w:vAlign w:val="center"/>
                </w:tcPr>
                <w:p w14:paraId="18BAE72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CAS号</w:t>
                  </w:r>
                </w:p>
              </w:tc>
              <w:tc>
                <w:tcPr>
                  <w:tcW w:w="1621" w:type="dxa"/>
                  <w:vAlign w:val="center"/>
                </w:tcPr>
                <w:p w14:paraId="07DB563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最大储存量（t）</w:t>
                  </w:r>
                </w:p>
              </w:tc>
              <w:tc>
                <w:tcPr>
                  <w:tcW w:w="1164" w:type="dxa"/>
                  <w:vAlign w:val="center"/>
                </w:tcPr>
                <w:p w14:paraId="5FEC5C5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临界量（t）</w:t>
                  </w:r>
                </w:p>
              </w:tc>
              <w:tc>
                <w:tcPr>
                  <w:tcW w:w="1781" w:type="dxa"/>
                  <w:vAlign w:val="center"/>
                </w:tcPr>
                <w:p w14:paraId="09D26AC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该种危险物质Q值</w:t>
                  </w:r>
                </w:p>
              </w:tc>
            </w:tr>
            <w:tr w14:paraId="5FF7B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 w:hRule="atLeast"/>
                <w:tblHeader/>
                <w:jc w:val="center"/>
              </w:trPr>
              <w:tc>
                <w:tcPr>
                  <w:tcW w:w="642" w:type="dxa"/>
                  <w:vAlign w:val="center"/>
                </w:tcPr>
                <w:p w14:paraId="26F2B0CB">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1582" w:type="dxa"/>
                  <w:vAlign w:val="center"/>
                </w:tcPr>
                <w:p w14:paraId="5E214DFD">
                  <w:pPr>
                    <w:pStyle w:val="5"/>
                    <w:keepNext w:val="0"/>
                    <w:keepLines w:val="0"/>
                    <w:pageBreakBefore w:val="0"/>
                    <w:kinsoku/>
                    <w:wordWrap/>
                    <w:overflowPunct/>
                    <w:topLinePunct w:val="0"/>
                    <w:autoSpaceDE/>
                    <w:autoSpaceDN/>
                    <w:bidi w:val="0"/>
                    <w:adjustRightInd/>
                    <w:snapToGrid/>
                    <w:spacing w:after="0" w:line="300" w:lineRule="exact"/>
                    <w:ind w:firstLine="0" w:firstLineChars="0"/>
                    <w:jc w:val="center"/>
                    <w:textAlignment w:val="auto"/>
                    <w:rPr>
                      <w:rFonts w:hint="eastAsia" w:ascii="Times New Roman" w:hAnsi="Times New Roman" w:eastAsia="宋体" w:cs="Times New Roman"/>
                      <w:snapToGrid w:val="0"/>
                      <w:color w:val="auto"/>
                      <w:sz w:val="21"/>
                      <w:szCs w:val="21"/>
                      <w:lang w:val="en-US" w:eastAsia="zh-CN" w:bidi="ar-SA"/>
                    </w:rPr>
                  </w:pPr>
                  <w:r>
                    <w:rPr>
                      <w:rFonts w:hint="eastAsia" w:ascii="Times New Roman" w:hAnsi="Times New Roman" w:cs="Times New Roman"/>
                      <w:color w:val="auto"/>
                      <w:sz w:val="21"/>
                      <w:szCs w:val="21"/>
                      <w:lang w:eastAsia="zh-CN"/>
                    </w:rPr>
                    <w:t>废机油</w:t>
                  </w:r>
                </w:p>
              </w:tc>
              <w:tc>
                <w:tcPr>
                  <w:tcW w:w="1268" w:type="dxa"/>
                  <w:vAlign w:val="center"/>
                </w:tcPr>
                <w:p w14:paraId="01C7415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cs="Times New Roman"/>
                      <w:color w:val="auto"/>
                      <w:sz w:val="21"/>
                      <w:szCs w:val="21"/>
                      <w:lang w:bidi="ar"/>
                    </w:rPr>
                    <w:t>/</w:t>
                  </w:r>
                </w:p>
              </w:tc>
              <w:tc>
                <w:tcPr>
                  <w:tcW w:w="1621" w:type="dxa"/>
                  <w:vAlign w:val="center"/>
                </w:tcPr>
                <w:p w14:paraId="00F3C80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bCs/>
                      <w:snapToGrid w:val="0"/>
                      <w:color w:val="auto"/>
                      <w:sz w:val="21"/>
                      <w:szCs w:val="21"/>
                      <w:lang w:val="en-US" w:eastAsia="zh-CN" w:bidi="ar-SA"/>
                    </w:rPr>
                  </w:pPr>
                  <w:r>
                    <w:rPr>
                      <w:rFonts w:hint="eastAsia" w:ascii="Times New Roman" w:hAnsi="Times New Roman" w:cs="Times New Roman"/>
                      <w:bCs/>
                      <w:color w:val="auto"/>
                      <w:sz w:val="21"/>
                      <w:szCs w:val="21"/>
                      <w:lang w:val="en-US" w:eastAsia="zh-CN"/>
                    </w:rPr>
                    <w:t>0.8</w:t>
                  </w:r>
                </w:p>
              </w:tc>
              <w:tc>
                <w:tcPr>
                  <w:tcW w:w="1164" w:type="dxa"/>
                  <w:vAlign w:val="center"/>
                </w:tcPr>
                <w:p w14:paraId="775EA70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cs="Times New Roman"/>
                      <w:color w:val="auto"/>
                      <w:sz w:val="21"/>
                      <w:szCs w:val="21"/>
                    </w:rPr>
                    <w:t>2500</w:t>
                  </w:r>
                </w:p>
              </w:tc>
              <w:tc>
                <w:tcPr>
                  <w:tcW w:w="1781" w:type="dxa"/>
                  <w:vAlign w:val="center"/>
                </w:tcPr>
                <w:p w14:paraId="42B0019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0.00032</w:t>
                  </w:r>
                </w:p>
              </w:tc>
            </w:tr>
            <w:tr w14:paraId="1C6E8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642" w:type="dxa"/>
                  <w:vAlign w:val="center"/>
                </w:tcPr>
                <w:p w14:paraId="16F809CE">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w:t>
                  </w:r>
                </w:p>
              </w:tc>
              <w:tc>
                <w:tcPr>
                  <w:tcW w:w="1582" w:type="dxa"/>
                  <w:vAlign w:val="center"/>
                </w:tcPr>
                <w:p w14:paraId="5783461C">
                  <w:pPr>
                    <w:pStyle w:val="5"/>
                    <w:keepNext w:val="0"/>
                    <w:keepLines w:val="0"/>
                    <w:pageBreakBefore w:val="0"/>
                    <w:kinsoku/>
                    <w:wordWrap/>
                    <w:overflowPunct/>
                    <w:topLinePunct w:val="0"/>
                    <w:autoSpaceDE/>
                    <w:autoSpaceDN/>
                    <w:bidi w:val="0"/>
                    <w:adjustRightInd/>
                    <w:snapToGrid/>
                    <w:spacing w:after="0" w:line="300" w:lineRule="exact"/>
                    <w:ind w:firstLine="0" w:firstLineChars="0"/>
                    <w:jc w:val="center"/>
                    <w:textAlignment w:val="auto"/>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cs="Times New Roman"/>
                      <w:color w:val="auto"/>
                      <w:sz w:val="21"/>
                      <w:szCs w:val="21"/>
                    </w:rPr>
                    <w:t>废活性炭</w:t>
                  </w:r>
                </w:p>
              </w:tc>
              <w:tc>
                <w:tcPr>
                  <w:tcW w:w="1268" w:type="dxa"/>
                  <w:vAlign w:val="center"/>
                </w:tcPr>
                <w:p w14:paraId="55C9252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cs="Times New Roman"/>
                      <w:color w:val="auto"/>
                      <w:sz w:val="21"/>
                      <w:szCs w:val="21"/>
                      <w:lang w:bidi="ar"/>
                    </w:rPr>
                    <w:t>/</w:t>
                  </w:r>
                </w:p>
              </w:tc>
              <w:tc>
                <w:tcPr>
                  <w:tcW w:w="1621" w:type="dxa"/>
                  <w:vAlign w:val="center"/>
                </w:tcPr>
                <w:p w14:paraId="2CBFBC2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bCs/>
                      <w:snapToGrid w:val="0"/>
                      <w:color w:val="auto"/>
                      <w:sz w:val="21"/>
                      <w:szCs w:val="21"/>
                      <w:lang w:val="en-US" w:eastAsia="zh-CN" w:bidi="ar-SA"/>
                    </w:rPr>
                  </w:pPr>
                  <w:r>
                    <w:rPr>
                      <w:rFonts w:hint="eastAsia" w:ascii="Times New Roman" w:hAnsi="Times New Roman" w:cs="Times New Roman"/>
                      <w:bCs/>
                      <w:snapToGrid w:val="0"/>
                      <w:color w:val="auto"/>
                      <w:sz w:val="21"/>
                      <w:szCs w:val="21"/>
                      <w:lang w:val="en-US" w:eastAsia="zh-CN" w:bidi="ar-SA"/>
                    </w:rPr>
                    <w:t>1.8</w:t>
                  </w:r>
                </w:p>
              </w:tc>
              <w:tc>
                <w:tcPr>
                  <w:tcW w:w="1164" w:type="dxa"/>
                  <w:vAlign w:val="center"/>
                </w:tcPr>
                <w:p w14:paraId="6E95B7E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cs="Times New Roman"/>
                      <w:snapToGrid w:val="0"/>
                      <w:color w:val="auto"/>
                      <w:sz w:val="21"/>
                      <w:szCs w:val="21"/>
                      <w:lang w:val="en-US" w:eastAsia="zh-CN" w:bidi="ar-SA"/>
                    </w:rPr>
                    <w:t>50</w:t>
                  </w:r>
                </w:p>
              </w:tc>
              <w:tc>
                <w:tcPr>
                  <w:tcW w:w="1781" w:type="dxa"/>
                  <w:vAlign w:val="center"/>
                </w:tcPr>
                <w:p w14:paraId="10D479A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0.036</w:t>
                  </w:r>
                </w:p>
              </w:tc>
            </w:tr>
            <w:tr w14:paraId="6067B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642" w:type="dxa"/>
                  <w:vAlign w:val="center"/>
                </w:tcPr>
                <w:p w14:paraId="1DFED930">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w:t>
                  </w:r>
                </w:p>
              </w:tc>
              <w:tc>
                <w:tcPr>
                  <w:tcW w:w="1582" w:type="dxa"/>
                  <w:vAlign w:val="center"/>
                </w:tcPr>
                <w:p w14:paraId="1863C639">
                  <w:pPr>
                    <w:pStyle w:val="5"/>
                    <w:keepNext w:val="0"/>
                    <w:keepLines w:val="0"/>
                    <w:pageBreakBefore w:val="0"/>
                    <w:kinsoku/>
                    <w:wordWrap/>
                    <w:overflowPunct/>
                    <w:topLinePunct w:val="0"/>
                    <w:autoSpaceDE/>
                    <w:autoSpaceDN/>
                    <w:bidi w:val="0"/>
                    <w:adjustRightInd/>
                    <w:snapToGrid/>
                    <w:spacing w:after="0" w:line="300" w:lineRule="exact"/>
                    <w:ind w:firstLine="0" w:firstLineChars="0"/>
                    <w:jc w:val="center"/>
                    <w:textAlignment w:val="auto"/>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cs="Times New Roman"/>
                      <w:color w:val="auto"/>
                      <w:sz w:val="21"/>
                      <w:szCs w:val="21"/>
                    </w:rPr>
                    <w:t>废油桶</w:t>
                  </w:r>
                </w:p>
              </w:tc>
              <w:tc>
                <w:tcPr>
                  <w:tcW w:w="1268" w:type="dxa"/>
                  <w:vAlign w:val="center"/>
                </w:tcPr>
                <w:p w14:paraId="0864D05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napToGrid w:val="0"/>
                      <w:color w:val="auto"/>
                      <w:sz w:val="21"/>
                      <w:szCs w:val="21"/>
                      <w:lang w:val="en-US" w:eastAsia="zh-CN" w:bidi="ar"/>
                    </w:rPr>
                  </w:pPr>
                  <w:r>
                    <w:rPr>
                      <w:rFonts w:hint="default" w:ascii="Times New Roman" w:hAnsi="Times New Roman" w:cs="Times New Roman"/>
                      <w:color w:val="auto"/>
                      <w:sz w:val="21"/>
                      <w:szCs w:val="21"/>
                      <w:lang w:bidi="ar"/>
                    </w:rPr>
                    <w:t>/</w:t>
                  </w:r>
                </w:p>
              </w:tc>
              <w:tc>
                <w:tcPr>
                  <w:tcW w:w="1621" w:type="dxa"/>
                  <w:vAlign w:val="center"/>
                </w:tcPr>
                <w:p w14:paraId="6BB85C82">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cs="Times New Roman"/>
                      <w:color w:val="auto"/>
                      <w:sz w:val="21"/>
                      <w:szCs w:val="21"/>
                    </w:rPr>
                    <w:t>0.0</w:t>
                  </w:r>
                  <w:r>
                    <w:rPr>
                      <w:rFonts w:hint="default" w:ascii="Times New Roman" w:hAnsi="Times New Roman" w:cs="Times New Roman"/>
                      <w:color w:val="auto"/>
                      <w:sz w:val="21"/>
                      <w:szCs w:val="21"/>
                      <w:lang w:val="en-US" w:eastAsia="zh-CN"/>
                    </w:rPr>
                    <w:t>8</w:t>
                  </w:r>
                </w:p>
              </w:tc>
              <w:tc>
                <w:tcPr>
                  <w:tcW w:w="1164" w:type="dxa"/>
                  <w:vAlign w:val="center"/>
                </w:tcPr>
                <w:p w14:paraId="26E2C33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cs="Times New Roman"/>
                      <w:snapToGrid w:val="0"/>
                      <w:color w:val="auto"/>
                      <w:sz w:val="21"/>
                      <w:szCs w:val="21"/>
                      <w:lang w:val="en-US" w:eastAsia="zh-CN" w:bidi="ar-SA"/>
                    </w:rPr>
                    <w:t>50</w:t>
                  </w:r>
                </w:p>
              </w:tc>
              <w:tc>
                <w:tcPr>
                  <w:tcW w:w="1781" w:type="dxa"/>
                  <w:vAlign w:val="center"/>
                </w:tcPr>
                <w:p w14:paraId="0967E8B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0.0008</w:t>
                  </w:r>
                </w:p>
              </w:tc>
            </w:tr>
            <w:tr w14:paraId="6D756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642" w:type="dxa"/>
                  <w:vAlign w:val="center"/>
                </w:tcPr>
                <w:p w14:paraId="08AC2D15">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4</w:t>
                  </w:r>
                </w:p>
              </w:tc>
              <w:tc>
                <w:tcPr>
                  <w:tcW w:w="1582" w:type="dxa"/>
                  <w:vAlign w:val="center"/>
                </w:tcPr>
                <w:p w14:paraId="56E711AF">
                  <w:pPr>
                    <w:pStyle w:val="5"/>
                    <w:keepNext w:val="0"/>
                    <w:keepLines w:val="0"/>
                    <w:pageBreakBefore w:val="0"/>
                    <w:kinsoku/>
                    <w:wordWrap/>
                    <w:overflowPunct/>
                    <w:topLinePunct w:val="0"/>
                    <w:autoSpaceDE/>
                    <w:autoSpaceDN/>
                    <w:bidi w:val="0"/>
                    <w:adjustRightInd/>
                    <w:snapToGrid/>
                    <w:spacing w:after="0" w:line="300" w:lineRule="exact"/>
                    <w:ind w:firstLine="0" w:firstLineChars="0"/>
                    <w:jc w:val="center"/>
                    <w:textAlignment w:val="auto"/>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eastAsia="zh-CN"/>
                    </w:rPr>
                    <w:t>机油</w:t>
                  </w:r>
                </w:p>
              </w:tc>
              <w:tc>
                <w:tcPr>
                  <w:tcW w:w="1268" w:type="dxa"/>
                  <w:vAlign w:val="center"/>
                </w:tcPr>
                <w:p w14:paraId="6656AD2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w:t>
                  </w:r>
                </w:p>
              </w:tc>
              <w:tc>
                <w:tcPr>
                  <w:tcW w:w="1621" w:type="dxa"/>
                  <w:vAlign w:val="center"/>
                </w:tcPr>
                <w:p w14:paraId="5185C2D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bCs/>
                      <w:color w:val="auto"/>
                      <w:sz w:val="21"/>
                      <w:szCs w:val="21"/>
                      <w:lang w:val="en-US" w:eastAsia="zh-CN"/>
                    </w:rPr>
                    <w:t>1</w:t>
                  </w:r>
                </w:p>
              </w:tc>
              <w:tc>
                <w:tcPr>
                  <w:tcW w:w="1164" w:type="dxa"/>
                  <w:vAlign w:val="center"/>
                </w:tcPr>
                <w:p w14:paraId="2535152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2500</w:t>
                  </w:r>
                </w:p>
              </w:tc>
              <w:tc>
                <w:tcPr>
                  <w:tcW w:w="1781" w:type="dxa"/>
                  <w:vAlign w:val="center"/>
                </w:tcPr>
                <w:p w14:paraId="57A364B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0.0004</w:t>
                  </w:r>
                </w:p>
              </w:tc>
            </w:tr>
          </w:tbl>
          <w:p w14:paraId="1CB8A4C9">
            <w:pPr>
              <w:spacing w:line="480" w:lineRule="exact"/>
              <w:ind w:firstLine="480" w:firstLineChars="200"/>
              <w:rPr>
                <w:rFonts w:hint="default" w:ascii="Times New Roman" w:hAnsi="Times New Roman" w:cs="Times New Roman" w:eastAsiaTheme="majorEastAsia"/>
                <w:color w:val="auto"/>
                <w:sz w:val="24"/>
                <w:szCs w:val="24"/>
              </w:rPr>
            </w:pPr>
            <w:r>
              <w:rPr>
                <w:rFonts w:hint="default" w:ascii="Times New Roman" w:hAnsi="Times New Roman" w:cs="Times New Roman" w:eastAsiaTheme="majorEastAsia"/>
                <w:color w:val="auto"/>
                <w:sz w:val="24"/>
                <w:szCs w:val="24"/>
              </w:rPr>
              <w:t>由上表可知，Q&lt;1，该项目环境风险潜势为Ⅰ</w:t>
            </w:r>
          </w:p>
          <w:p w14:paraId="34E770DD">
            <w:pPr>
              <w:adjustRightInd w:val="0"/>
              <w:snapToGrid w:val="0"/>
              <w:spacing w:line="480" w:lineRule="atLeast"/>
              <w:ind w:firstLine="480" w:firstLineChars="200"/>
              <w:rPr>
                <w:rFonts w:hint="default" w:ascii="Times New Roman" w:hAnsi="Times New Roman" w:cs="Times New Roman" w:eastAsiaTheme="majorEastAsia"/>
                <w:color w:val="auto"/>
                <w:sz w:val="24"/>
                <w:szCs w:val="24"/>
              </w:rPr>
            </w:pPr>
            <w:r>
              <w:rPr>
                <w:rFonts w:hint="default" w:ascii="Times New Roman" w:hAnsi="Times New Roman" w:cs="Times New Roman" w:eastAsiaTheme="majorEastAsia"/>
                <w:color w:val="auto"/>
                <w:sz w:val="24"/>
                <w:szCs w:val="24"/>
              </w:rPr>
              <w:t>根据《建设项目环境风险评价技术导则》HJ169-2018评价工作等级划分原则，结合本项目所处地区的环境敏感程度等因素，最终确定环境风险评价工作等级为简单分析。</w:t>
            </w:r>
          </w:p>
          <w:p w14:paraId="1A640800">
            <w:pPr>
              <w:adjustRightInd w:val="0"/>
              <w:snapToGrid w:val="0"/>
              <w:spacing w:line="480" w:lineRule="atLeas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4、风险分析</w:t>
            </w:r>
          </w:p>
          <w:p w14:paraId="2EC75771">
            <w:pPr>
              <w:spacing w:line="480" w:lineRule="atLeas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项目采用的风险物质在使用和存储过程中具有泄漏、挥发风险，一旦泄漏、挥发至环境中浓度过大，则将会对环境造成较大的影响，详见表</w:t>
            </w:r>
            <w:r>
              <w:rPr>
                <w:rFonts w:hint="eastAsia" w:ascii="Times New Roman" w:hAnsi="Times New Roman" w:cs="Times New Roman"/>
                <w:color w:val="auto"/>
                <w:sz w:val="24"/>
                <w:szCs w:val="24"/>
                <w:lang w:val="en-US" w:eastAsia="zh-CN"/>
              </w:rPr>
              <w:t>34</w:t>
            </w:r>
            <w:r>
              <w:rPr>
                <w:rFonts w:hint="default" w:ascii="Times New Roman" w:hAnsi="Times New Roman" w:cs="Times New Roman"/>
                <w:color w:val="auto"/>
                <w:sz w:val="24"/>
                <w:szCs w:val="24"/>
              </w:rPr>
              <w:t>。</w:t>
            </w:r>
          </w:p>
          <w:p w14:paraId="6A6EE3AC">
            <w:pPr>
              <w:spacing w:line="480" w:lineRule="atLeast"/>
              <w:ind w:firstLine="482" w:firstLineChars="200"/>
              <w:jc w:val="center"/>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表</w:t>
            </w:r>
            <w:r>
              <w:rPr>
                <w:rFonts w:hint="eastAsia" w:ascii="Times New Roman" w:hAnsi="Times New Roman" w:cs="Times New Roman"/>
                <w:b/>
                <w:color w:val="auto"/>
                <w:sz w:val="24"/>
                <w:szCs w:val="24"/>
                <w:lang w:val="en-US" w:eastAsia="zh-CN"/>
              </w:rPr>
              <w:t>34</w:t>
            </w:r>
            <w:r>
              <w:rPr>
                <w:rFonts w:hint="default" w:ascii="Times New Roman" w:hAnsi="Times New Roman" w:cs="Times New Roman"/>
                <w:b/>
                <w:color w:val="auto"/>
                <w:sz w:val="24"/>
                <w:szCs w:val="24"/>
              </w:rPr>
              <w:t>项目风险环境影响</w:t>
            </w:r>
          </w:p>
          <w:tbl>
            <w:tblPr>
              <w:tblStyle w:val="34"/>
              <w:tblW w:w="8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5"/>
              <w:gridCol w:w="6824"/>
            </w:tblGrid>
            <w:tr w14:paraId="47D44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215" w:type="dxa"/>
                  <w:vAlign w:val="center"/>
                </w:tcPr>
                <w:p w14:paraId="0F63BF01">
                  <w:pPr>
                    <w:keepNext w:val="0"/>
                    <w:keepLines w:val="0"/>
                    <w:pageBreakBefore w:val="0"/>
                    <w:kinsoku/>
                    <w:wordWrap/>
                    <w:overflowPunct/>
                    <w:topLinePunct w:val="0"/>
                    <w:autoSpaceDE/>
                    <w:autoSpaceDN/>
                    <w:bidi w:val="0"/>
                    <w:adjustRightInd/>
                    <w:snapToGrid/>
                    <w:spacing w:line="280" w:lineRule="atLeast"/>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类型</w:t>
                  </w:r>
                </w:p>
              </w:tc>
              <w:tc>
                <w:tcPr>
                  <w:tcW w:w="6824" w:type="dxa"/>
                  <w:vAlign w:val="center"/>
                </w:tcPr>
                <w:p w14:paraId="59A86734">
                  <w:pPr>
                    <w:keepNext w:val="0"/>
                    <w:keepLines w:val="0"/>
                    <w:pageBreakBefore w:val="0"/>
                    <w:widowControl/>
                    <w:kinsoku/>
                    <w:wordWrap/>
                    <w:overflowPunct/>
                    <w:topLinePunct w:val="0"/>
                    <w:autoSpaceDE/>
                    <w:autoSpaceDN/>
                    <w:bidi w:val="0"/>
                    <w:adjustRightInd/>
                    <w:snapToGrid/>
                    <w:spacing w:line="280" w:lineRule="atLeast"/>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影响分析</w:t>
                  </w:r>
                </w:p>
              </w:tc>
            </w:tr>
            <w:tr w14:paraId="17DCA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215" w:type="dxa"/>
                  <w:vAlign w:val="center"/>
                </w:tcPr>
                <w:p w14:paraId="10030113">
                  <w:pPr>
                    <w:keepNext w:val="0"/>
                    <w:keepLines w:val="0"/>
                    <w:pageBreakBefore w:val="0"/>
                    <w:kinsoku/>
                    <w:wordWrap/>
                    <w:overflowPunct/>
                    <w:topLinePunct w:val="0"/>
                    <w:autoSpaceDE/>
                    <w:autoSpaceDN/>
                    <w:bidi w:val="0"/>
                    <w:adjustRightInd/>
                    <w:snapToGrid/>
                    <w:spacing w:line="280" w:lineRule="atLeast"/>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火灾影响</w:t>
                  </w:r>
                </w:p>
              </w:tc>
              <w:tc>
                <w:tcPr>
                  <w:tcW w:w="6824" w:type="dxa"/>
                  <w:vAlign w:val="center"/>
                </w:tcPr>
                <w:p w14:paraId="6A166B51">
                  <w:pPr>
                    <w:keepNext w:val="0"/>
                    <w:keepLines w:val="0"/>
                    <w:pageBreakBefore w:val="0"/>
                    <w:kinsoku/>
                    <w:wordWrap/>
                    <w:overflowPunct/>
                    <w:topLinePunct w:val="0"/>
                    <w:autoSpaceDE/>
                    <w:autoSpaceDN/>
                    <w:bidi w:val="0"/>
                    <w:adjustRightInd/>
                    <w:snapToGrid/>
                    <w:spacing w:line="280" w:lineRule="atLeast"/>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一旦发生火灾事故，有毒有害气体可通过热辐射、烟雾及冲击波等形式扩散至空气中，泄漏液体和消防水将进入排水系统以及渗透到土壤中，会造成财产损失和人员伤亡，以及水环境、土壤环境的污染。</w:t>
                  </w:r>
                </w:p>
              </w:tc>
            </w:tr>
            <w:tr w14:paraId="24210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215" w:type="dxa"/>
                  <w:vAlign w:val="center"/>
                </w:tcPr>
                <w:p w14:paraId="3702DE41">
                  <w:pPr>
                    <w:keepNext w:val="0"/>
                    <w:keepLines w:val="0"/>
                    <w:pageBreakBefore w:val="0"/>
                    <w:kinsoku/>
                    <w:wordWrap/>
                    <w:overflowPunct/>
                    <w:topLinePunct w:val="0"/>
                    <w:autoSpaceDE/>
                    <w:autoSpaceDN/>
                    <w:bidi w:val="0"/>
                    <w:adjustRightInd/>
                    <w:snapToGrid/>
                    <w:spacing w:line="280" w:lineRule="atLeast"/>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泄漏影响</w:t>
                  </w:r>
                </w:p>
              </w:tc>
              <w:tc>
                <w:tcPr>
                  <w:tcW w:w="6824" w:type="dxa"/>
                  <w:vAlign w:val="center"/>
                </w:tcPr>
                <w:p w14:paraId="4E36AC92">
                  <w:pPr>
                    <w:keepNext w:val="0"/>
                    <w:keepLines w:val="0"/>
                    <w:pageBreakBefore w:val="0"/>
                    <w:kinsoku/>
                    <w:wordWrap/>
                    <w:overflowPunct/>
                    <w:topLinePunct w:val="0"/>
                    <w:autoSpaceDE/>
                    <w:autoSpaceDN/>
                    <w:bidi w:val="0"/>
                    <w:adjustRightInd/>
                    <w:snapToGrid/>
                    <w:spacing w:line="280" w:lineRule="atLeast"/>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若管理操作不当或意外事故，如发生泄漏，存在着泄漏从而引起燃烧甚至爆炸的事故风险</w:t>
                  </w:r>
                </w:p>
              </w:tc>
            </w:tr>
          </w:tbl>
          <w:p w14:paraId="46800C35">
            <w:pPr>
              <w:adjustRightInd w:val="0"/>
              <w:snapToGrid w:val="0"/>
              <w:spacing w:line="480" w:lineRule="atLeas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5、风险防范措施</w:t>
            </w:r>
          </w:p>
          <w:p w14:paraId="0FA5F169">
            <w:pPr>
              <w:adjustRightInd w:val="0"/>
              <w:snapToGrid w:val="0"/>
              <w:spacing w:line="480" w:lineRule="atLeas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w:t>
            </w:r>
            <w:r>
              <w:rPr>
                <w:rFonts w:hint="default" w:ascii="Times New Roman" w:hAnsi="Times New Roman" w:cs="Times New Roman"/>
                <w:color w:val="auto"/>
                <w:sz w:val="24"/>
                <w:szCs w:val="20"/>
              </w:rPr>
              <w:t>原料使用、储存的风险防范措施</w:t>
            </w:r>
          </w:p>
          <w:p w14:paraId="172C9668">
            <w:pPr>
              <w:pStyle w:val="49"/>
              <w:spacing w:after="0" w:line="480" w:lineRule="atLeast"/>
              <w:ind w:left="0" w:leftChars="0" w:firstLine="480" w:firstLineChars="200"/>
              <w:jc w:val="both"/>
              <w:rPr>
                <w:rFonts w:hint="default" w:ascii="Times New Roman" w:hAnsi="Times New Roman" w:cs="Times New Roman"/>
                <w:bCs w:val="0"/>
                <w:color w:val="auto"/>
                <w:lang w:val="en-US"/>
              </w:rPr>
            </w:pPr>
            <w:r>
              <w:rPr>
                <w:rFonts w:hint="default" w:ascii="Times New Roman" w:hAnsi="Times New Roman" w:cs="Times New Roman"/>
                <w:bCs w:val="0"/>
                <w:color w:val="auto"/>
                <w:lang w:val="en-US"/>
              </w:rPr>
              <w:t>对于原料的购买、储存、保管、使用等储存在</w:t>
            </w:r>
            <w:r>
              <w:rPr>
                <w:rFonts w:hint="eastAsia" w:cs="Times New Roman"/>
                <w:bCs w:val="0"/>
                <w:color w:val="auto"/>
                <w:lang w:val="en-US" w:eastAsia="zh-CN"/>
              </w:rPr>
              <w:t>生产车间</w:t>
            </w:r>
            <w:r>
              <w:rPr>
                <w:rFonts w:hint="default" w:ascii="Times New Roman" w:hAnsi="Times New Roman" w:cs="Times New Roman"/>
                <w:bCs w:val="0"/>
                <w:color w:val="auto"/>
                <w:lang w:val="en-US"/>
              </w:rPr>
              <w:t>，并由专人管理。原料库，应当符合国家标准对安全、消防的要求。设置明显标志。储存设备和安全设施应当定期检测。</w:t>
            </w:r>
          </w:p>
          <w:p w14:paraId="29624A88">
            <w:pPr>
              <w:pStyle w:val="4"/>
              <w:spacing w:line="480" w:lineRule="atLeast"/>
              <w:ind w:firstLine="480"/>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eastAsiaTheme="minorEastAsia"/>
                <w:color w:val="auto"/>
                <w:sz w:val="24"/>
                <w:szCs w:val="24"/>
              </w:rPr>
              <w:t>2）火灾风险防范措施</w:t>
            </w:r>
          </w:p>
          <w:p w14:paraId="35A6BCA6">
            <w:pPr>
              <w:pStyle w:val="4"/>
              <w:spacing w:line="460" w:lineRule="exact"/>
              <w:ind w:firstLine="480"/>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lang w:eastAsia="zh-CN"/>
              </w:rPr>
              <w:t>本</w:t>
            </w:r>
            <w:r>
              <w:rPr>
                <w:rFonts w:hint="default" w:ascii="Times New Roman" w:hAnsi="Times New Roman" w:cs="Times New Roman" w:eastAsiaTheme="minorEastAsia"/>
                <w:color w:val="auto"/>
                <w:sz w:val="24"/>
                <w:szCs w:val="24"/>
              </w:rPr>
              <w:t>项目原料一旦发生火灾，将会对周边企业或设施及居民造成一定的生命、财产损失。建设单位必须严格遵守消防部门相关规定，对相关操作人员进行必要的消防培训，生产区域杜绝明火，同时配备相关的消防器材，一旦发生火灾能够及时进行扑救。</w:t>
            </w:r>
          </w:p>
          <w:p w14:paraId="64B0AEEA">
            <w:pPr>
              <w:pStyle w:val="4"/>
              <w:spacing w:line="460" w:lineRule="exact"/>
              <w:ind w:firstLine="480"/>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①本项目塑料原料及产品储存均位于厂房内（禁止露天存放），厂房内应设置干粉灭火器、二氧化碳灭火器、消防栓等消防器材。</w:t>
            </w:r>
          </w:p>
          <w:p w14:paraId="1173C015">
            <w:pPr>
              <w:pStyle w:val="4"/>
              <w:spacing w:line="460" w:lineRule="exact"/>
              <w:ind w:firstLine="480"/>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②消除和控制明火源：在堆场内设置醒目的严禁烟火标志；严禁吸烟、携带火柴、打火机等；对车间、堆场等场所等进行经常性的安全防火检查。车间内设备维修时，可燃性原辅材远离设备，并采取围挡等防火防护措施，确保安全无误后，方可动火作业。</w:t>
            </w:r>
          </w:p>
          <w:p w14:paraId="57DBA2F4">
            <w:pPr>
              <w:pStyle w:val="4"/>
              <w:spacing w:line="460" w:lineRule="exact"/>
              <w:ind w:firstLine="480"/>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③防止电气火花：采取有效措施防止电气线路和电气设施在开关断开、接触不良、短路、漏电时产生火花，防止静电放电火花；采取防雷接地措施，防止雷电放电火花。生产过程遵守电气安全使用规定，正确操作及时维护电气设备，保证供电线路完好。</w:t>
            </w:r>
          </w:p>
          <w:p w14:paraId="4ED3C86E">
            <w:pPr>
              <w:pStyle w:val="4"/>
              <w:spacing w:line="460" w:lineRule="exact"/>
              <w:ind w:firstLine="480"/>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④加强管理、严格纪律。遵守各项规章制度和操作规程，严格执行岗位责任制。坚持巡回检查，发现问题及时处理。加强培训、教育和考核工作。</w:t>
            </w:r>
          </w:p>
          <w:p w14:paraId="3AD11356">
            <w:pPr>
              <w:pStyle w:val="4"/>
              <w:numPr>
                <w:ilvl w:val="0"/>
                <w:numId w:val="4"/>
              </w:numPr>
              <w:spacing w:line="460" w:lineRule="exact"/>
              <w:ind w:firstLine="480"/>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危废贮存间风险防范措施</w:t>
            </w:r>
          </w:p>
          <w:p w14:paraId="09E3E5F8">
            <w:pPr>
              <w:pStyle w:val="4"/>
              <w:numPr>
                <w:ilvl w:val="0"/>
                <w:numId w:val="0"/>
              </w:numPr>
              <w:spacing w:line="460" w:lineRule="exact"/>
              <w:ind w:firstLine="480" w:firstLineChars="200"/>
              <w:rPr>
                <w:rFonts w:hint="default" w:ascii="Times New Roman" w:hAnsi="Times New Roman" w:cs="Times New Roman"/>
                <w:color w:val="auto"/>
                <w:sz w:val="24"/>
                <w:szCs w:val="24"/>
              </w:rPr>
            </w:pPr>
            <w:r>
              <w:rPr>
                <w:rFonts w:hint="default" w:ascii="Times New Roman" w:hAnsi="Times New Roman" w:cs="Times New Roman" w:eastAsiaTheme="minorEastAsia"/>
                <w:color w:val="auto"/>
                <w:sz w:val="24"/>
                <w:szCs w:val="24"/>
              </w:rPr>
              <w:t>危险废物的收集、暂存等过程中存在一定的风险</w:t>
            </w:r>
            <w:r>
              <w:rPr>
                <w:rFonts w:hint="default" w:ascii="Times New Roman" w:hAnsi="Times New Roman" w:cs="Times New Roman"/>
                <w:color w:val="auto"/>
                <w:sz w:val="24"/>
                <w:szCs w:val="24"/>
              </w:rPr>
              <w:t>，为保证项目产生的危险废物得到有效处置，使其风险减小到最小程度，项目采取以下风险防范措施：</w:t>
            </w:r>
          </w:p>
          <w:p w14:paraId="42D88979">
            <w:pPr>
              <w:adjustRightInd w:val="0"/>
              <w:snapToGrid w:val="0"/>
              <w:spacing w:line="460" w:lineRule="exac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危废暂存间由专人监控，值班领导定期检查危废暂存间的安全情况和应急物资的配备情况。定期检查地面与裙角防腐材料是否存在损坏脱落现象，容器有无损坏。根据《国家危险废物名录》（202</w:t>
            </w:r>
            <w:r>
              <w:rPr>
                <w:rFonts w:hint="eastAsia" w:ascii="Times New Roman" w:hAnsi="Times New Roman" w:cs="Times New Roman"/>
                <w:color w:val="auto"/>
                <w:sz w:val="24"/>
                <w:szCs w:val="24"/>
                <w:lang w:val="en-US" w:eastAsia="zh-CN"/>
              </w:rPr>
              <w:t>5</w:t>
            </w:r>
            <w:r>
              <w:rPr>
                <w:rFonts w:hint="default" w:ascii="Times New Roman" w:hAnsi="Times New Roman" w:cs="Times New Roman"/>
                <w:color w:val="auto"/>
                <w:sz w:val="24"/>
                <w:szCs w:val="24"/>
              </w:rPr>
              <w:t>年版），对危险废物，按照《危险废物贮存污染控制标准》（GB18597-20</w:t>
            </w:r>
            <w:r>
              <w:rPr>
                <w:rFonts w:hint="default" w:ascii="Times New Roman" w:hAnsi="Times New Roman" w:cs="Times New Roman"/>
                <w:color w:val="auto"/>
                <w:sz w:val="24"/>
                <w:szCs w:val="24"/>
                <w:lang w:val="en-US" w:eastAsia="zh-CN"/>
              </w:rPr>
              <w:t>23</w:t>
            </w:r>
            <w:r>
              <w:rPr>
                <w:rFonts w:hint="default" w:ascii="Times New Roman" w:hAnsi="Times New Roman" w:cs="Times New Roman"/>
                <w:color w:val="auto"/>
                <w:sz w:val="24"/>
                <w:szCs w:val="24"/>
              </w:rPr>
              <w:t>）的要求进行建设，设计堵截泄漏的裙脚，地面与裙脚所围建的容积不低于堵截最大容器的最大储量；地面与裙脚要用坚固、防渗的材料建造；设置泄漏液体收集装置；存放危险废物的容器的地面做耐腐蚀硬化处理，且表面无缝隙；同时设立危险废物警示标志并由专人进行管理，并做好危险废物的排放量及处置记录。同时，危险固废不在厂内长期贮存，废物在回收运输过程中采用密闭方式运输，避免对沿途环境造成危害。在危废暂存间暂存后，委托有资质的单位处理。危废暂存间设为密闭间，防风、防漏，设有明显标识，以达到防腐防渗漏的目的。</w:t>
            </w:r>
          </w:p>
          <w:p w14:paraId="260F16F4">
            <w:pPr>
              <w:adjustRightInd w:val="0"/>
              <w:snapToGrid w:val="0"/>
              <w:spacing w:line="460" w:lineRule="exac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4）废气治理设施风险防范措施</w:t>
            </w:r>
          </w:p>
          <w:p w14:paraId="161EDB00">
            <w:pPr>
              <w:adjustRightInd w:val="0"/>
              <w:snapToGrid w:val="0"/>
              <w:spacing w:line="460" w:lineRule="exac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设专人管理及监控，领导定期检查运行情况和检查、维修设备的配备情况。</w:t>
            </w:r>
          </w:p>
          <w:p w14:paraId="4414FFD8">
            <w:pPr>
              <w:adjustRightInd w:val="0"/>
              <w:snapToGrid w:val="0"/>
              <w:spacing w:line="460" w:lineRule="exact"/>
              <w:ind w:firstLine="480" w:firstLineChars="200"/>
              <w:rPr>
                <w:rFonts w:hint="default" w:ascii="Times New Roman" w:hAnsi="Times New Roman" w:cs="Times New Roman"/>
                <w:color w:val="auto"/>
                <w:sz w:val="24"/>
                <w:szCs w:val="24"/>
              </w:rPr>
            </w:pPr>
            <w:r>
              <w:rPr>
                <w:rFonts w:hint="default" w:ascii="Times New Roman" w:hAnsi="Times New Roman" w:cs="Times New Roman" w:eastAsiaTheme="minorEastAsia"/>
                <w:color w:val="auto"/>
                <w:sz w:val="24"/>
                <w:szCs w:val="24"/>
              </w:rPr>
              <w:t>⑴</w:t>
            </w:r>
            <w:r>
              <w:rPr>
                <w:rFonts w:hint="default" w:ascii="Times New Roman" w:hAnsi="Times New Roman" w:cs="Times New Roman"/>
                <w:color w:val="auto"/>
                <w:sz w:val="24"/>
                <w:szCs w:val="24"/>
              </w:rPr>
              <w:t>管理人员应熟悉废气治理设施的原理、性能、使用条件，掌握维修方法。</w:t>
            </w:r>
          </w:p>
          <w:p w14:paraId="0A85208F">
            <w:pPr>
              <w:adjustRightInd w:val="0"/>
              <w:snapToGrid w:val="0"/>
              <w:spacing w:line="460" w:lineRule="exact"/>
              <w:ind w:firstLine="480" w:firstLineChars="200"/>
              <w:rPr>
                <w:rFonts w:hint="default" w:ascii="Times New Roman" w:hAnsi="Times New Roman" w:cs="Times New Roman"/>
                <w:color w:val="auto"/>
                <w:sz w:val="24"/>
                <w:szCs w:val="24"/>
              </w:rPr>
            </w:pPr>
            <w:r>
              <w:rPr>
                <w:rFonts w:hint="default" w:ascii="Times New Roman" w:hAnsi="Times New Roman" w:cs="Times New Roman" w:eastAsiaTheme="minorEastAsia"/>
                <w:color w:val="auto"/>
                <w:sz w:val="24"/>
                <w:szCs w:val="24"/>
              </w:rPr>
              <w:t>⑵</w:t>
            </w:r>
            <w:r>
              <w:rPr>
                <w:rFonts w:hint="default" w:ascii="Times New Roman" w:hAnsi="Times New Roman" w:cs="Times New Roman"/>
                <w:color w:val="auto"/>
                <w:sz w:val="24"/>
                <w:szCs w:val="24"/>
              </w:rPr>
              <w:t>废气治理设备需要定时的清理和维护，维护周期需要根据生产操作环境和设备工作时间确定。</w:t>
            </w:r>
          </w:p>
          <w:p w14:paraId="196F0C4F">
            <w:pPr>
              <w:adjustRightInd w:val="0"/>
              <w:snapToGrid w:val="0"/>
              <w:spacing w:line="460" w:lineRule="exact"/>
              <w:ind w:firstLine="480" w:firstLineChars="200"/>
              <w:rPr>
                <w:rFonts w:hint="default" w:ascii="Times New Roman" w:hAnsi="Times New Roman" w:cs="Times New Roman"/>
                <w:color w:val="auto"/>
                <w:sz w:val="24"/>
                <w:szCs w:val="24"/>
              </w:rPr>
            </w:pPr>
            <w:r>
              <w:rPr>
                <w:rFonts w:hint="default" w:ascii="Times New Roman" w:hAnsi="Times New Roman" w:cs="Times New Roman" w:eastAsiaTheme="minorEastAsia"/>
                <w:color w:val="auto"/>
                <w:sz w:val="24"/>
                <w:szCs w:val="24"/>
              </w:rPr>
              <w:t>⑶</w:t>
            </w:r>
            <w:r>
              <w:rPr>
                <w:rFonts w:hint="default" w:ascii="Times New Roman" w:hAnsi="Times New Roman" w:cs="Times New Roman"/>
                <w:color w:val="auto"/>
                <w:sz w:val="24"/>
                <w:szCs w:val="24"/>
              </w:rPr>
              <w:t>针对生产时间密集阶段，操作人员需要自行调整设备维护周期和方式。发生故障后立即停止生产作业，</w:t>
            </w:r>
          </w:p>
          <w:p w14:paraId="55C08657">
            <w:pPr>
              <w:adjustRightInd w:val="0"/>
              <w:snapToGrid w:val="0"/>
              <w:spacing w:line="480" w:lineRule="atLeast"/>
              <w:ind w:firstLine="480" w:firstLineChars="200"/>
              <w:rPr>
                <w:rFonts w:hint="default" w:ascii="Times New Roman" w:hAnsi="Times New Roman" w:cs="Times New Roman"/>
                <w:color w:val="auto"/>
                <w:sz w:val="24"/>
                <w:szCs w:val="24"/>
              </w:rPr>
            </w:pPr>
            <w:r>
              <w:rPr>
                <w:rFonts w:hint="default" w:ascii="Times New Roman" w:hAnsi="Times New Roman" w:cs="Times New Roman" w:eastAsiaTheme="minorEastAsia"/>
                <w:color w:val="auto"/>
                <w:sz w:val="24"/>
                <w:szCs w:val="24"/>
              </w:rPr>
              <w:t>⑷</w:t>
            </w:r>
            <w:r>
              <w:rPr>
                <w:rFonts w:hint="default" w:ascii="Times New Roman" w:hAnsi="Times New Roman" w:cs="Times New Roman"/>
                <w:color w:val="auto"/>
                <w:sz w:val="24"/>
                <w:szCs w:val="24"/>
              </w:rPr>
              <w:t>对故障废气设备进行维修，停止生产，发现严重超标时，立即通知运行人员立即通知总经理，实施部分停工或减少废气排放，并迅速调查清楚超标原因。</w:t>
            </w:r>
          </w:p>
          <w:p w14:paraId="17635347">
            <w:pPr>
              <w:pStyle w:val="4"/>
              <w:spacing w:line="480" w:lineRule="atLeast"/>
              <w:ind w:firstLine="480"/>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5）生产车间</w:t>
            </w:r>
            <w:r>
              <w:rPr>
                <w:rFonts w:hint="default" w:ascii="Times New Roman" w:hAnsi="Times New Roman" w:cs="Times New Roman"/>
                <w:color w:val="auto"/>
                <w:sz w:val="24"/>
                <w:szCs w:val="24"/>
              </w:rPr>
              <w:t>风险防范措施</w:t>
            </w:r>
          </w:p>
          <w:p w14:paraId="33A7C39D">
            <w:pPr>
              <w:autoSpaceDE w:val="0"/>
              <w:autoSpaceDN w:val="0"/>
              <w:adjustRightInd w:val="0"/>
              <w:snapToGrid w:val="0"/>
              <w:spacing w:line="460" w:lineRule="atLeast"/>
              <w:ind w:firstLine="480" w:firstLineChars="200"/>
              <w:jc w:val="left"/>
              <w:rPr>
                <w:rFonts w:hint="default" w:ascii="Times New Roman" w:hAnsi="Times New Roman" w:cs="Times New Roman"/>
                <w:color w:val="auto"/>
                <w:sz w:val="24"/>
              </w:rPr>
            </w:pPr>
            <w:r>
              <w:rPr>
                <w:rFonts w:hint="default" w:ascii="Times New Roman" w:hAnsi="Times New Roman" w:cs="Times New Roman" w:eastAsiaTheme="minorEastAsia"/>
                <w:color w:val="auto"/>
                <w:sz w:val="24"/>
                <w:szCs w:val="24"/>
              </w:rPr>
              <w:t>⑴</w:t>
            </w:r>
            <w:r>
              <w:rPr>
                <w:rFonts w:hint="default" w:ascii="Times New Roman" w:hAnsi="Times New Roman" w:cs="Times New Roman"/>
                <w:color w:val="auto"/>
                <w:sz w:val="24"/>
              </w:rPr>
              <w:t>生产车间严禁烟火及堆放易燃物品，并配备必要消防设施、泄漏处理设施等。</w:t>
            </w:r>
          </w:p>
          <w:p w14:paraId="0CC08525">
            <w:pPr>
              <w:pStyle w:val="4"/>
              <w:spacing w:line="480" w:lineRule="atLeast"/>
              <w:ind w:firstLine="480"/>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⑵</w:t>
            </w:r>
            <w:r>
              <w:rPr>
                <w:rFonts w:hint="default" w:ascii="Times New Roman" w:hAnsi="Times New Roman" w:cs="Times New Roman"/>
                <w:color w:val="auto"/>
                <w:sz w:val="24"/>
              </w:rPr>
              <w:t>生产过程中</w:t>
            </w:r>
            <w:r>
              <w:rPr>
                <w:rFonts w:hint="default" w:ascii="Times New Roman" w:hAnsi="Times New Roman" w:cs="Times New Roman"/>
                <w:color w:val="auto"/>
                <w:sz w:val="24"/>
                <w:lang w:val="zh-CN"/>
              </w:rPr>
              <w:t>各生产物料管线连结不严密、腐蚀、破裂，造成物料泄漏，有火灾、爆炸的危险，电气、设备应有可靠的防静电接地措施。</w:t>
            </w:r>
          </w:p>
          <w:p w14:paraId="22125CDB">
            <w:pPr>
              <w:pStyle w:val="4"/>
              <w:spacing w:line="480" w:lineRule="atLeast"/>
              <w:ind w:firstLine="480"/>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⑶</w:t>
            </w:r>
            <w:r>
              <w:rPr>
                <w:rFonts w:hint="default" w:ascii="Times New Roman" w:hAnsi="Times New Roman" w:cs="Times New Roman"/>
                <w:color w:val="auto"/>
                <w:sz w:val="24"/>
              </w:rPr>
              <w:t>管道、阀门等的材质符</w:t>
            </w:r>
            <w:r>
              <w:rPr>
                <w:rFonts w:hint="default" w:ascii="Times New Roman" w:hAnsi="Times New Roman" w:cs="Times New Roman"/>
                <w:color w:val="auto"/>
                <w:sz w:val="24"/>
                <w:szCs w:val="24"/>
              </w:rPr>
              <w:t>合储运的要求，加强对输送管道的维护、管理，定期巡视，发现问题或隐患，及时解决。</w:t>
            </w:r>
          </w:p>
          <w:p w14:paraId="721996EA">
            <w:pPr>
              <w:overflowPunct w:val="0"/>
              <w:autoSpaceDE w:val="0"/>
              <w:autoSpaceDN w:val="0"/>
              <w:adjustRightInd w:val="0"/>
              <w:snapToGrid w:val="0"/>
              <w:spacing w:line="460" w:lineRule="atLeast"/>
              <w:ind w:firstLine="480" w:firstLineChars="200"/>
              <w:rPr>
                <w:rFonts w:hint="default" w:ascii="Times New Roman" w:hAnsi="Times New Roman" w:cs="Times New Roman"/>
                <w:color w:val="auto"/>
                <w:sz w:val="24"/>
                <w:szCs w:val="24"/>
                <w:lang w:val="zh-CN"/>
              </w:rPr>
            </w:pPr>
            <w:r>
              <w:rPr>
                <w:rFonts w:hint="default" w:ascii="Times New Roman" w:hAnsi="Times New Roman" w:cs="Times New Roman" w:eastAsiaTheme="minorEastAsia"/>
                <w:color w:val="auto"/>
                <w:sz w:val="24"/>
                <w:szCs w:val="24"/>
              </w:rPr>
              <w:t>⑷</w:t>
            </w:r>
            <w:r>
              <w:rPr>
                <w:rFonts w:hint="default" w:ascii="Times New Roman" w:hAnsi="Times New Roman" w:cs="Times New Roman"/>
                <w:color w:val="auto"/>
                <w:sz w:val="24"/>
                <w:szCs w:val="24"/>
              </w:rPr>
              <w:t>企业应组建应急事故抢险队，并经严格的培训和演练，厂内配备足够的应急物资和使用工具。</w:t>
            </w:r>
          </w:p>
          <w:p w14:paraId="521A5C88">
            <w:pPr>
              <w:pStyle w:val="4"/>
              <w:spacing w:line="480" w:lineRule="atLeast"/>
              <w:ind w:firstLine="480"/>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7、评价结论</w:t>
            </w:r>
          </w:p>
          <w:p w14:paraId="42343EB4">
            <w:pPr>
              <w:widowControl/>
              <w:spacing w:line="480" w:lineRule="atLeast"/>
              <w:ind w:firstLine="480" w:firstLineChars="20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项目采取了较为完善的环境风险防范措施，不会区域环境产生明显影响。结合项目的风险防范措施可知，项目环境风险是可防控的。</w:t>
            </w:r>
          </w:p>
          <w:p w14:paraId="16868191">
            <w:pPr>
              <w:widowControl/>
              <w:spacing w:line="480" w:lineRule="atLeast"/>
              <w:jc w:val="left"/>
              <w:rPr>
                <w:rFonts w:hint="default" w:ascii="Times New Roman" w:hAnsi="Times New Roman" w:eastAsia="宋体" w:cs="Times New Roman"/>
                <w:color w:val="auto"/>
                <w:sz w:val="24"/>
                <w:szCs w:val="24"/>
                <w:lang w:eastAsia="zh-CN"/>
              </w:rPr>
            </w:pPr>
            <w:r>
              <w:rPr>
                <w:rFonts w:hint="default" w:ascii="Times New Roman" w:hAnsi="Times New Roman" w:cs="Times New Roman"/>
                <w:b/>
                <w:bCs/>
                <w:color w:val="auto"/>
                <w:sz w:val="24"/>
                <w:szCs w:val="24"/>
                <w:lang w:bidi="ar"/>
              </w:rPr>
              <w:t>八、电磁辐射</w:t>
            </w:r>
          </w:p>
          <w:p w14:paraId="2DC13184">
            <w:pPr>
              <w:widowControl/>
              <w:spacing w:line="480" w:lineRule="atLeast"/>
              <w:ind w:firstLine="480" w:firstLineChars="20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项目不涉及电磁辐射内容。</w:t>
            </w:r>
          </w:p>
          <w:p w14:paraId="672B3D7E">
            <w:pPr>
              <w:widowControl/>
              <w:spacing w:line="480" w:lineRule="atLeast"/>
              <w:jc w:val="left"/>
              <w:rPr>
                <w:rFonts w:hint="default" w:ascii="Times New Roman" w:hAnsi="Times New Roman" w:eastAsia="黑体" w:cs="Times New Roman"/>
                <w:color w:val="auto"/>
                <w:sz w:val="30"/>
                <w:szCs w:val="30"/>
                <w:lang w:bidi="ar"/>
              </w:rPr>
            </w:pPr>
          </w:p>
        </w:tc>
      </w:tr>
    </w:tbl>
    <w:p w14:paraId="294C2FFA">
      <w:pPr>
        <w:rPr>
          <w:rFonts w:hint="default" w:ascii="Times New Roman" w:hAnsi="Times New Roman" w:eastAsia="黑体" w:cs="Times New Roman"/>
          <w:color w:val="auto"/>
          <w:sz w:val="30"/>
          <w:szCs w:val="30"/>
          <w:lang w:bidi="ar"/>
        </w:rPr>
      </w:pPr>
      <w:r>
        <w:rPr>
          <w:rFonts w:hint="default" w:ascii="Times New Roman" w:hAnsi="Times New Roman" w:eastAsia="黑体" w:cs="Times New Roman"/>
          <w:color w:val="auto"/>
          <w:sz w:val="30"/>
          <w:szCs w:val="30"/>
          <w:lang w:bidi="ar"/>
        </w:rPr>
        <w:br w:type="page"/>
      </w:r>
    </w:p>
    <w:p w14:paraId="7CC59862">
      <w:pPr>
        <w:widowControl/>
        <w:jc w:val="center"/>
        <w:rPr>
          <w:rFonts w:hint="default" w:ascii="Times New Roman" w:hAnsi="Times New Roman" w:cs="Times New Roman"/>
          <w:color w:val="auto"/>
        </w:rPr>
      </w:pPr>
      <w:r>
        <w:rPr>
          <w:rFonts w:hint="default" w:ascii="Times New Roman" w:hAnsi="Times New Roman" w:eastAsia="黑体" w:cs="Times New Roman"/>
          <w:color w:val="auto"/>
          <w:sz w:val="30"/>
          <w:szCs w:val="30"/>
          <w:lang w:bidi="ar"/>
        </w:rPr>
        <w:t>五、环境保护措施监督检查清单</w:t>
      </w:r>
    </w:p>
    <w:tbl>
      <w:tblPr>
        <w:tblStyle w:val="35"/>
        <w:tblW w:w="89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
      <w:tblGrid>
        <w:gridCol w:w="1004"/>
        <w:gridCol w:w="1397"/>
        <w:gridCol w:w="1160"/>
        <w:gridCol w:w="1590"/>
        <w:gridCol w:w="3806"/>
      </w:tblGrid>
      <w:tr w14:paraId="6DC54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jc w:val="center"/>
        </w:trPr>
        <w:tc>
          <w:tcPr>
            <w:tcW w:w="1004" w:type="dxa"/>
            <w:tcBorders>
              <w:tr2bl w:val="single" w:color="auto" w:sz="4" w:space="0"/>
            </w:tcBorders>
            <w:vAlign w:val="center"/>
          </w:tcPr>
          <w:p w14:paraId="26016C2B">
            <w:pPr>
              <w:widowControl/>
              <w:spacing w:line="340" w:lineRule="exact"/>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要素</w:t>
            </w:r>
          </w:p>
          <w:p w14:paraId="6B002824">
            <w:pPr>
              <w:widowControl/>
              <w:spacing w:line="340" w:lineRule="exact"/>
              <w:jc w:val="right"/>
              <w:rPr>
                <w:rFonts w:hint="default" w:ascii="Times New Roman" w:hAnsi="Times New Roman" w:cs="Times New Roman"/>
                <w:b/>
                <w:bCs/>
                <w:color w:val="auto"/>
                <w:sz w:val="24"/>
                <w:szCs w:val="24"/>
                <w:lang w:bidi="ar"/>
              </w:rPr>
            </w:pPr>
          </w:p>
          <w:p w14:paraId="468795F9">
            <w:pPr>
              <w:widowControl/>
              <w:spacing w:line="340" w:lineRule="exact"/>
              <w:jc w:val="right"/>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lang w:bidi="ar"/>
              </w:rPr>
              <w:t>内容</w:t>
            </w:r>
          </w:p>
        </w:tc>
        <w:tc>
          <w:tcPr>
            <w:tcW w:w="1397" w:type="dxa"/>
            <w:vAlign w:val="center"/>
          </w:tcPr>
          <w:p w14:paraId="4DE64F3A">
            <w:pPr>
              <w:widowControl/>
              <w:spacing w:line="340" w:lineRule="exact"/>
              <w:jc w:val="center"/>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lang w:bidi="ar"/>
              </w:rPr>
              <w:t>排放口</w:t>
            </w:r>
            <w:r>
              <w:rPr>
                <w:rFonts w:hint="default" w:ascii="Times New Roman" w:hAnsi="Times New Roman" w:cs="Times New Roman"/>
                <w:b/>
                <w:bCs/>
                <w:color w:val="auto"/>
                <w:sz w:val="24"/>
                <w:szCs w:val="24"/>
                <w:lang w:eastAsia="zh-CN" w:bidi="ar"/>
              </w:rPr>
              <w:t>（</w:t>
            </w:r>
            <w:r>
              <w:rPr>
                <w:rFonts w:hint="default" w:ascii="Times New Roman" w:hAnsi="Times New Roman" w:cs="Times New Roman"/>
                <w:b/>
                <w:bCs/>
                <w:color w:val="auto"/>
                <w:sz w:val="24"/>
                <w:szCs w:val="24"/>
                <w:lang w:bidi="ar"/>
              </w:rPr>
              <w:t>编号、名称</w:t>
            </w:r>
            <w:r>
              <w:rPr>
                <w:rFonts w:hint="default" w:ascii="Times New Roman" w:hAnsi="Times New Roman" w:cs="Times New Roman"/>
                <w:b/>
                <w:bCs/>
                <w:color w:val="auto"/>
                <w:sz w:val="24"/>
                <w:szCs w:val="24"/>
                <w:lang w:eastAsia="zh-CN" w:bidi="ar"/>
              </w:rPr>
              <w:t>）</w:t>
            </w:r>
            <w:r>
              <w:rPr>
                <w:rFonts w:hint="default" w:ascii="Times New Roman" w:hAnsi="Times New Roman" w:cs="Times New Roman"/>
                <w:b/>
                <w:bCs/>
                <w:color w:val="auto"/>
                <w:sz w:val="24"/>
                <w:szCs w:val="24"/>
                <w:lang w:bidi="ar"/>
              </w:rPr>
              <w:t>/污染源</w:t>
            </w:r>
          </w:p>
        </w:tc>
        <w:tc>
          <w:tcPr>
            <w:tcW w:w="1160" w:type="dxa"/>
            <w:vAlign w:val="center"/>
          </w:tcPr>
          <w:p w14:paraId="65B0EC89">
            <w:pPr>
              <w:widowControl/>
              <w:spacing w:line="340" w:lineRule="exact"/>
              <w:jc w:val="center"/>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lang w:bidi="ar"/>
              </w:rPr>
              <w:t>污染物项目</w:t>
            </w:r>
          </w:p>
        </w:tc>
        <w:tc>
          <w:tcPr>
            <w:tcW w:w="1590" w:type="dxa"/>
            <w:vAlign w:val="center"/>
          </w:tcPr>
          <w:p w14:paraId="066276E6">
            <w:pPr>
              <w:widowControl/>
              <w:spacing w:line="340" w:lineRule="exact"/>
              <w:jc w:val="center"/>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lang w:bidi="ar"/>
              </w:rPr>
              <w:t>环境保护措施</w:t>
            </w:r>
          </w:p>
        </w:tc>
        <w:tc>
          <w:tcPr>
            <w:tcW w:w="3806" w:type="dxa"/>
            <w:vAlign w:val="center"/>
          </w:tcPr>
          <w:p w14:paraId="71D18D6F">
            <w:pPr>
              <w:widowControl/>
              <w:spacing w:line="340" w:lineRule="exact"/>
              <w:jc w:val="center"/>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lang w:bidi="ar"/>
              </w:rPr>
              <w:t>执行标准</w:t>
            </w:r>
          </w:p>
        </w:tc>
      </w:tr>
      <w:tr w14:paraId="03B04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54" w:hRule="atLeast"/>
          <w:jc w:val="center"/>
        </w:trPr>
        <w:tc>
          <w:tcPr>
            <w:tcW w:w="1004" w:type="dxa"/>
            <w:vMerge w:val="restart"/>
            <w:vAlign w:val="center"/>
          </w:tcPr>
          <w:p w14:paraId="04B84371">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cs="Times New Roman"/>
                <w:color w:val="auto"/>
                <w:sz w:val="24"/>
                <w:szCs w:val="24"/>
                <w:lang w:bidi="ar"/>
              </w:rPr>
            </w:pPr>
            <w:r>
              <w:rPr>
                <w:rFonts w:hint="default" w:ascii="Times New Roman" w:hAnsi="Times New Roman" w:cs="Times New Roman"/>
                <w:color w:val="auto"/>
                <w:sz w:val="24"/>
                <w:szCs w:val="24"/>
                <w:lang w:bidi="ar"/>
              </w:rPr>
              <w:t>大气</w:t>
            </w:r>
          </w:p>
          <w:p w14:paraId="42FC67F5">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bidi="ar"/>
              </w:rPr>
              <w:t>环境</w:t>
            </w:r>
          </w:p>
        </w:tc>
        <w:tc>
          <w:tcPr>
            <w:tcW w:w="1397" w:type="dxa"/>
            <w:vMerge w:val="restart"/>
            <w:vAlign w:val="center"/>
          </w:tcPr>
          <w:p w14:paraId="0065EB81">
            <w:pPr>
              <w:keepNext w:val="0"/>
              <w:keepLines w:val="0"/>
              <w:pageBreakBefore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lang w:eastAsia="zh-CN"/>
              </w:rPr>
              <w:t>注塑</w:t>
            </w:r>
            <w:r>
              <w:rPr>
                <w:rFonts w:hint="default" w:ascii="Times New Roman" w:hAnsi="Times New Roman" w:cs="Times New Roman"/>
                <w:color w:val="auto"/>
                <w:sz w:val="24"/>
                <w:szCs w:val="24"/>
              </w:rPr>
              <w:t>废气排气筒</w:t>
            </w:r>
            <w:r>
              <w:rPr>
                <w:rFonts w:hint="default" w:ascii="Times New Roman" w:hAnsi="Times New Roman" w:cs="Times New Roman"/>
                <w:color w:val="auto"/>
                <w:sz w:val="24"/>
                <w:szCs w:val="24"/>
                <w:lang w:eastAsia="zh-CN"/>
              </w:rPr>
              <w:t>DA001</w:t>
            </w:r>
          </w:p>
        </w:tc>
        <w:tc>
          <w:tcPr>
            <w:tcW w:w="1160" w:type="dxa"/>
            <w:vAlign w:val="center"/>
          </w:tcPr>
          <w:p w14:paraId="4D8FE9D9">
            <w:pPr>
              <w:pStyle w:val="9"/>
              <w:keepNext w:val="0"/>
              <w:keepLines w:val="0"/>
              <w:pageBreakBefore w:val="0"/>
              <w:kinsoku/>
              <w:wordWrap/>
              <w:overflowPunct/>
              <w:topLinePunct w:val="0"/>
              <w:autoSpaceDE/>
              <w:autoSpaceDN/>
              <w:bidi w:val="0"/>
              <w:adjustRightInd/>
              <w:snapToGrid/>
              <w:spacing w:before="0" w:after="0" w:line="280" w:lineRule="exact"/>
              <w:jc w:val="center"/>
              <w:textAlignment w:val="auto"/>
              <w:outlineLvl w:val="3"/>
              <w:rPr>
                <w:rFonts w:hint="default" w:ascii="Times New Roman" w:hAnsi="Times New Roman" w:eastAsia="宋体" w:cs="Times New Roman"/>
                <w:color w:val="auto"/>
                <w:sz w:val="24"/>
                <w:szCs w:val="24"/>
              </w:rPr>
            </w:pPr>
            <w:r>
              <w:rPr>
                <w:rFonts w:hint="default" w:ascii="Times New Roman" w:hAnsi="Times New Roman" w:eastAsia="宋体" w:cs="Times New Roman"/>
                <w:b w:val="0"/>
                <w:bCs w:val="0"/>
                <w:color w:val="auto"/>
                <w:sz w:val="24"/>
                <w:szCs w:val="24"/>
              </w:rPr>
              <w:t>非甲烷总烃</w:t>
            </w:r>
          </w:p>
        </w:tc>
        <w:tc>
          <w:tcPr>
            <w:tcW w:w="1590" w:type="dxa"/>
            <w:vMerge w:val="restart"/>
            <w:vAlign w:val="center"/>
          </w:tcPr>
          <w:p w14:paraId="4FBB27CF">
            <w:pPr>
              <w:keepNext w:val="0"/>
              <w:keepLines w:val="0"/>
              <w:pageBreakBefore w:val="0"/>
              <w:kinsoku/>
              <w:wordWrap/>
              <w:overflowPunct/>
              <w:topLinePunct w:val="0"/>
              <w:autoSpaceDE/>
              <w:autoSpaceDN/>
              <w:bidi w:val="0"/>
              <w:adjustRightInd/>
              <w:snapToGrid/>
              <w:spacing w:line="280" w:lineRule="exact"/>
              <w:jc w:val="center"/>
              <w:textAlignment w:val="auto"/>
              <w:rPr>
                <w:rFonts w:hint="default" w:ascii="Times New Roman" w:hAnsi="Times New Roman" w:cs="Times New Roman"/>
                <w:color w:val="auto"/>
                <w:sz w:val="24"/>
                <w:szCs w:val="24"/>
              </w:rPr>
            </w:pPr>
            <w:r>
              <w:rPr>
                <w:rFonts w:hint="default" w:ascii="Times New Roman" w:hAnsi="Times New Roman" w:eastAsia="宋体" w:cs="Times New Roman"/>
                <w:color w:val="auto"/>
                <w:sz w:val="24"/>
                <w:szCs w:val="24"/>
              </w:rPr>
              <w:t>集气罩+</w:t>
            </w:r>
            <w:r>
              <w:rPr>
                <w:rFonts w:hint="eastAsia" w:ascii="Times New Roman" w:hAnsi="Times New Roman" w:cs="Times New Roman"/>
                <w:color w:val="auto"/>
                <w:sz w:val="24"/>
                <w:szCs w:val="24"/>
                <w:lang w:eastAsia="zh-CN"/>
              </w:rPr>
              <w:t>二级活性炭装置</w:t>
            </w:r>
            <w:r>
              <w:rPr>
                <w:rFonts w:hint="default" w:ascii="Times New Roman" w:hAnsi="Times New Roman" w:eastAsia="宋体" w:cs="Times New Roman"/>
                <w:color w:val="auto"/>
                <w:sz w:val="24"/>
                <w:szCs w:val="24"/>
              </w:rPr>
              <w:t>+15m排气筒</w:t>
            </w:r>
            <w:r>
              <w:rPr>
                <w:rFonts w:hint="default" w:ascii="Times New Roman" w:hAnsi="Times New Roman" w:cs="Times New Roman"/>
                <w:color w:val="auto"/>
                <w:sz w:val="24"/>
                <w:szCs w:val="24"/>
                <w:lang w:eastAsia="zh-CN"/>
              </w:rPr>
              <w:t>DA001</w:t>
            </w:r>
          </w:p>
        </w:tc>
        <w:tc>
          <w:tcPr>
            <w:tcW w:w="3806" w:type="dxa"/>
            <w:vAlign w:val="center"/>
          </w:tcPr>
          <w:p w14:paraId="1CB6A82E">
            <w:pPr>
              <w:keepNext w:val="0"/>
              <w:keepLines w:val="0"/>
              <w:pageBreakBefore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color w:val="auto"/>
                <w:sz w:val="24"/>
                <w:szCs w:val="24"/>
                <w:lang w:eastAsia="zh-CN"/>
              </w:rPr>
            </w:pPr>
            <w:r>
              <w:rPr>
                <w:rFonts w:hint="eastAsia" w:ascii="Times New Roman" w:hAnsi="Times New Roman" w:cs="Times New Roman"/>
                <w:bCs/>
                <w:color w:val="auto"/>
                <w:sz w:val="24"/>
                <w:szCs w:val="24"/>
                <w:lang w:eastAsia="zh-CN"/>
              </w:rPr>
              <w:t>《合成树脂工业污染物排放标准》(GB31572-2015)及修改单</w:t>
            </w:r>
            <w:r>
              <w:rPr>
                <w:rFonts w:hint="default" w:ascii="Times New Roman" w:hAnsi="Times New Roman" w:cs="Times New Roman"/>
                <w:bCs/>
                <w:color w:val="auto"/>
                <w:sz w:val="24"/>
                <w:szCs w:val="24"/>
              </w:rPr>
              <w:t>表5大气污染物特别排放限值</w:t>
            </w:r>
            <w:r>
              <w:rPr>
                <w:rFonts w:hint="default" w:ascii="Times New Roman" w:hAnsi="Times New Roman" w:cs="Times New Roman"/>
                <w:bCs/>
                <w:color w:val="auto"/>
                <w:sz w:val="24"/>
                <w:szCs w:val="24"/>
                <w:lang w:eastAsia="zh-CN"/>
              </w:rPr>
              <w:t>、</w:t>
            </w:r>
            <w:r>
              <w:rPr>
                <w:rFonts w:hint="default" w:ascii="Times New Roman" w:hAnsi="Times New Roman" w:cs="Times New Roman"/>
                <w:bCs/>
                <w:color w:val="auto"/>
                <w:sz w:val="24"/>
                <w:szCs w:val="24"/>
              </w:rPr>
              <w:t>《工业企业挥发性有机物排放控制标准》（DB13/2322-201</w:t>
            </w:r>
            <w:r>
              <w:rPr>
                <w:rFonts w:hint="default" w:ascii="Times New Roman" w:hAnsi="Times New Roman" w:cs="Times New Roman"/>
                <w:bCs/>
                <w:color w:val="auto"/>
                <w:sz w:val="24"/>
                <w:szCs w:val="24"/>
                <w:lang w:bidi="ar"/>
              </w:rPr>
              <w:t>6）表1有机化工行业去除效率标准</w:t>
            </w:r>
          </w:p>
        </w:tc>
      </w:tr>
      <w:tr w14:paraId="3AC11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54" w:hRule="atLeast"/>
          <w:jc w:val="center"/>
        </w:trPr>
        <w:tc>
          <w:tcPr>
            <w:tcW w:w="1004" w:type="dxa"/>
            <w:vMerge w:val="continue"/>
            <w:vAlign w:val="center"/>
          </w:tcPr>
          <w:p w14:paraId="56454E58">
            <w:pPr>
              <w:keepNext w:val="0"/>
              <w:keepLines w:val="0"/>
              <w:pageBreakBefore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val="0"/>
                <w:bCs w:val="0"/>
                <w:color w:val="auto"/>
                <w:sz w:val="24"/>
                <w:szCs w:val="24"/>
              </w:rPr>
            </w:pPr>
          </w:p>
        </w:tc>
        <w:tc>
          <w:tcPr>
            <w:tcW w:w="1397" w:type="dxa"/>
            <w:vMerge w:val="continue"/>
            <w:vAlign w:val="center"/>
          </w:tcPr>
          <w:p w14:paraId="067ECD04">
            <w:pPr>
              <w:keepNext w:val="0"/>
              <w:keepLines w:val="0"/>
              <w:pageBreakBefore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val="0"/>
                <w:bCs w:val="0"/>
                <w:color w:val="auto"/>
                <w:sz w:val="24"/>
                <w:szCs w:val="24"/>
              </w:rPr>
            </w:pPr>
          </w:p>
        </w:tc>
        <w:tc>
          <w:tcPr>
            <w:tcW w:w="1160" w:type="dxa"/>
            <w:vAlign w:val="center"/>
          </w:tcPr>
          <w:p w14:paraId="393D761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rPr>
                <w:rFonts w:hint="default" w:ascii="Times New Roman" w:hAnsi="Times New Roman" w:eastAsia="宋体" w:cs="Times New Roman"/>
                <w:b w:val="0"/>
                <w:bCs w:val="0"/>
                <w:color w:val="auto"/>
                <w:sz w:val="24"/>
                <w:szCs w:val="24"/>
              </w:rPr>
            </w:pPr>
            <w:r>
              <w:rPr>
                <w:rFonts w:hint="default" w:ascii="Times New Roman" w:hAnsi="Times New Roman" w:cs="Times New Roman"/>
                <w:color w:val="auto"/>
                <w:sz w:val="24"/>
                <w:szCs w:val="24"/>
                <w:lang w:eastAsia="zh-CN"/>
              </w:rPr>
              <w:t>臭气浓度</w:t>
            </w:r>
          </w:p>
        </w:tc>
        <w:tc>
          <w:tcPr>
            <w:tcW w:w="1590" w:type="dxa"/>
            <w:vMerge w:val="continue"/>
            <w:vAlign w:val="center"/>
          </w:tcPr>
          <w:p w14:paraId="39151378">
            <w:pPr>
              <w:keepNext w:val="0"/>
              <w:keepLines w:val="0"/>
              <w:pageBreakBefore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val="0"/>
                <w:bCs w:val="0"/>
                <w:color w:val="auto"/>
                <w:sz w:val="24"/>
                <w:szCs w:val="24"/>
              </w:rPr>
            </w:pPr>
          </w:p>
        </w:tc>
        <w:tc>
          <w:tcPr>
            <w:tcW w:w="3806" w:type="dxa"/>
            <w:vAlign w:val="center"/>
          </w:tcPr>
          <w:p w14:paraId="6CDC2BD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rPr>
                <w:rFonts w:hint="default" w:ascii="Times New Roman" w:hAnsi="Times New Roman" w:eastAsia="宋体" w:cs="Times New Roman"/>
                <w:b w:val="0"/>
                <w:bCs w:val="0"/>
                <w:color w:val="auto"/>
                <w:sz w:val="24"/>
                <w:szCs w:val="24"/>
              </w:rPr>
            </w:pPr>
            <w:r>
              <w:rPr>
                <w:rFonts w:hint="default" w:ascii="Times New Roman" w:hAnsi="Times New Roman" w:cs="Times New Roman"/>
                <w:color w:val="auto"/>
                <w:sz w:val="24"/>
                <w:szCs w:val="24"/>
                <w:lang w:val="en-US" w:eastAsia="zh-CN"/>
              </w:rPr>
              <w:t>《恶臭污染物排放标准》（GB14554-93）表2排放限值</w:t>
            </w:r>
          </w:p>
        </w:tc>
      </w:tr>
      <w:tr w14:paraId="66B9F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599" w:hRule="atLeast"/>
          <w:jc w:val="center"/>
        </w:trPr>
        <w:tc>
          <w:tcPr>
            <w:tcW w:w="1004" w:type="dxa"/>
            <w:vMerge w:val="continue"/>
            <w:vAlign w:val="center"/>
          </w:tcPr>
          <w:p w14:paraId="1A4E9C94">
            <w:pPr>
              <w:pStyle w:val="4"/>
              <w:keepNext w:val="0"/>
              <w:keepLines w:val="0"/>
              <w:pageBreakBefore w:val="0"/>
              <w:kinsoku/>
              <w:wordWrap/>
              <w:overflowPunct/>
              <w:topLinePunct w:val="0"/>
              <w:autoSpaceDE/>
              <w:autoSpaceDN/>
              <w:bidi w:val="0"/>
              <w:adjustRightInd/>
              <w:snapToGrid/>
              <w:spacing w:line="280" w:lineRule="exact"/>
              <w:ind w:firstLine="0" w:firstLineChars="0"/>
              <w:jc w:val="center"/>
              <w:textAlignment w:val="auto"/>
              <w:rPr>
                <w:rFonts w:hint="default" w:ascii="Times New Roman" w:hAnsi="Times New Roman" w:cs="Times New Roman"/>
                <w:color w:val="auto"/>
                <w:sz w:val="24"/>
                <w:szCs w:val="24"/>
              </w:rPr>
            </w:pPr>
          </w:p>
        </w:tc>
        <w:tc>
          <w:tcPr>
            <w:tcW w:w="1397" w:type="dxa"/>
            <w:vAlign w:val="center"/>
          </w:tcPr>
          <w:p w14:paraId="0714CF6E">
            <w:pPr>
              <w:keepNext w:val="0"/>
              <w:keepLines w:val="0"/>
              <w:pageBreakBefore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rPr>
              <w:t>粉碎废气排气筒</w:t>
            </w:r>
            <w:r>
              <w:rPr>
                <w:rFonts w:hint="default" w:ascii="Times New Roman" w:hAnsi="Times New Roman" w:cs="Times New Roman"/>
                <w:color w:val="auto"/>
                <w:sz w:val="24"/>
                <w:szCs w:val="24"/>
                <w:lang w:eastAsia="zh-CN"/>
              </w:rPr>
              <w:t>DA00</w:t>
            </w:r>
            <w:r>
              <w:rPr>
                <w:rFonts w:hint="default" w:ascii="Times New Roman" w:hAnsi="Times New Roman" w:cs="Times New Roman"/>
                <w:color w:val="auto"/>
                <w:sz w:val="24"/>
                <w:szCs w:val="24"/>
                <w:lang w:val="en-US" w:eastAsia="zh-CN"/>
              </w:rPr>
              <w:t>2</w:t>
            </w:r>
          </w:p>
        </w:tc>
        <w:tc>
          <w:tcPr>
            <w:tcW w:w="1160" w:type="dxa"/>
            <w:vAlign w:val="center"/>
          </w:tcPr>
          <w:p w14:paraId="3E12C0BF">
            <w:pPr>
              <w:pStyle w:val="9"/>
              <w:keepNext w:val="0"/>
              <w:keepLines w:val="0"/>
              <w:pageBreakBefore w:val="0"/>
              <w:kinsoku/>
              <w:wordWrap/>
              <w:overflowPunct/>
              <w:topLinePunct w:val="0"/>
              <w:autoSpaceDE/>
              <w:autoSpaceDN/>
              <w:bidi w:val="0"/>
              <w:adjustRightInd/>
              <w:snapToGrid/>
              <w:spacing w:before="0" w:after="0" w:line="280" w:lineRule="exact"/>
              <w:jc w:val="center"/>
              <w:textAlignment w:val="auto"/>
              <w:outlineLvl w:val="3"/>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颗粒物</w:t>
            </w:r>
          </w:p>
        </w:tc>
        <w:tc>
          <w:tcPr>
            <w:tcW w:w="1590" w:type="dxa"/>
            <w:vAlign w:val="center"/>
          </w:tcPr>
          <w:p w14:paraId="089FA951">
            <w:pPr>
              <w:keepNext w:val="0"/>
              <w:keepLines w:val="0"/>
              <w:pageBreakBefore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rPr>
              <w:t>集气罩+布袋除尘器+15m排气筒</w:t>
            </w:r>
            <w:r>
              <w:rPr>
                <w:rFonts w:hint="default" w:ascii="Times New Roman" w:hAnsi="Times New Roman" w:cs="Times New Roman"/>
                <w:color w:val="auto"/>
                <w:sz w:val="24"/>
                <w:szCs w:val="24"/>
                <w:lang w:eastAsia="zh-CN"/>
              </w:rPr>
              <w:t>DA00</w:t>
            </w:r>
            <w:r>
              <w:rPr>
                <w:rFonts w:hint="default" w:ascii="Times New Roman" w:hAnsi="Times New Roman" w:cs="Times New Roman"/>
                <w:color w:val="auto"/>
                <w:sz w:val="24"/>
                <w:szCs w:val="24"/>
                <w:lang w:val="en-US" w:eastAsia="zh-CN"/>
              </w:rPr>
              <w:t>2</w:t>
            </w:r>
          </w:p>
        </w:tc>
        <w:tc>
          <w:tcPr>
            <w:tcW w:w="3806" w:type="dxa"/>
            <w:vAlign w:val="center"/>
          </w:tcPr>
          <w:p w14:paraId="1B93FC66">
            <w:pPr>
              <w:keepNext w:val="0"/>
              <w:keepLines w:val="0"/>
              <w:pageBreakBefore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Cs/>
                <w:color w:val="auto"/>
                <w:sz w:val="24"/>
                <w:szCs w:val="24"/>
                <w:lang w:eastAsia="zh-CN"/>
              </w:rPr>
            </w:pPr>
            <w:r>
              <w:rPr>
                <w:rFonts w:hint="eastAsia" w:ascii="Times New Roman" w:hAnsi="Times New Roman" w:cs="Times New Roman"/>
                <w:bCs/>
                <w:color w:val="auto"/>
                <w:sz w:val="24"/>
                <w:szCs w:val="24"/>
                <w:lang w:eastAsia="zh-CN"/>
              </w:rPr>
              <w:t>《合成树脂工业污染物排放标准》(GB31572-2015)及修改单</w:t>
            </w:r>
            <w:r>
              <w:rPr>
                <w:rFonts w:hint="default" w:ascii="Times New Roman" w:hAnsi="Times New Roman" w:cs="Times New Roman"/>
                <w:bCs/>
                <w:color w:val="auto"/>
                <w:sz w:val="24"/>
                <w:szCs w:val="24"/>
              </w:rPr>
              <w:t>表5大气污染物特别排放限值</w:t>
            </w:r>
          </w:p>
        </w:tc>
      </w:tr>
      <w:tr w14:paraId="7D1A1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3" w:hRule="atLeast"/>
          <w:jc w:val="center"/>
        </w:trPr>
        <w:tc>
          <w:tcPr>
            <w:tcW w:w="1004" w:type="dxa"/>
            <w:vMerge w:val="continue"/>
            <w:vAlign w:val="center"/>
          </w:tcPr>
          <w:p w14:paraId="39D7E411">
            <w:pPr>
              <w:pStyle w:val="4"/>
              <w:keepNext w:val="0"/>
              <w:keepLines w:val="0"/>
              <w:pageBreakBefore w:val="0"/>
              <w:kinsoku/>
              <w:wordWrap/>
              <w:overflowPunct/>
              <w:topLinePunct w:val="0"/>
              <w:autoSpaceDE/>
              <w:autoSpaceDN/>
              <w:bidi w:val="0"/>
              <w:adjustRightInd/>
              <w:snapToGrid/>
              <w:spacing w:line="280" w:lineRule="exact"/>
              <w:ind w:firstLine="0" w:firstLineChars="0"/>
              <w:jc w:val="center"/>
              <w:textAlignment w:val="auto"/>
              <w:rPr>
                <w:rFonts w:hint="default" w:ascii="Times New Roman" w:hAnsi="Times New Roman" w:cs="Times New Roman"/>
                <w:color w:val="auto"/>
                <w:sz w:val="24"/>
                <w:szCs w:val="24"/>
              </w:rPr>
            </w:pPr>
          </w:p>
        </w:tc>
        <w:tc>
          <w:tcPr>
            <w:tcW w:w="1397" w:type="dxa"/>
            <w:vMerge w:val="restart"/>
            <w:vAlign w:val="center"/>
          </w:tcPr>
          <w:p w14:paraId="003A9DDC">
            <w:pPr>
              <w:pStyle w:val="15"/>
              <w:keepNext w:val="0"/>
              <w:keepLines w:val="0"/>
              <w:pageBreakBefore w:val="0"/>
              <w:kinsoku/>
              <w:wordWrap/>
              <w:overflowPunct/>
              <w:topLinePunct w:val="0"/>
              <w:autoSpaceDE/>
              <w:autoSpaceDN/>
              <w:bidi w:val="0"/>
              <w:adjustRightInd/>
              <w:snapToGrid/>
              <w:spacing w:line="280" w:lineRule="exact"/>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厂界上、下风向</w:t>
            </w:r>
          </w:p>
        </w:tc>
        <w:tc>
          <w:tcPr>
            <w:tcW w:w="1160" w:type="dxa"/>
            <w:vAlign w:val="center"/>
          </w:tcPr>
          <w:p w14:paraId="08CDCE66">
            <w:pPr>
              <w:pStyle w:val="9"/>
              <w:keepNext w:val="0"/>
              <w:keepLines w:val="0"/>
              <w:pageBreakBefore w:val="0"/>
              <w:kinsoku/>
              <w:wordWrap/>
              <w:overflowPunct/>
              <w:topLinePunct w:val="0"/>
              <w:autoSpaceDE/>
              <w:autoSpaceDN/>
              <w:bidi w:val="0"/>
              <w:adjustRightInd/>
              <w:snapToGrid/>
              <w:spacing w:before="0" w:after="0" w:line="280" w:lineRule="exact"/>
              <w:jc w:val="center"/>
              <w:textAlignment w:val="auto"/>
              <w:outlineLvl w:val="3"/>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颗粒物</w:t>
            </w:r>
          </w:p>
        </w:tc>
        <w:tc>
          <w:tcPr>
            <w:tcW w:w="1590" w:type="dxa"/>
            <w:vMerge w:val="restart"/>
            <w:vAlign w:val="center"/>
          </w:tcPr>
          <w:p w14:paraId="7E936A1C">
            <w:pPr>
              <w:keepNext w:val="0"/>
              <w:keepLines w:val="0"/>
              <w:pageBreakBefore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lang w:eastAsia="zh-CN"/>
              </w:rPr>
              <w:t>车间封闭</w:t>
            </w:r>
          </w:p>
        </w:tc>
        <w:tc>
          <w:tcPr>
            <w:tcW w:w="3806" w:type="dxa"/>
            <w:vAlign w:val="center"/>
          </w:tcPr>
          <w:p w14:paraId="25D8C2DF">
            <w:pPr>
              <w:keepNext w:val="0"/>
              <w:keepLines w:val="0"/>
              <w:pageBreakBefore w:val="0"/>
              <w:kinsoku/>
              <w:wordWrap/>
              <w:overflowPunct/>
              <w:topLinePunct w:val="0"/>
              <w:autoSpaceDE/>
              <w:autoSpaceDN/>
              <w:bidi w:val="0"/>
              <w:adjustRightInd/>
              <w:snapToGrid/>
              <w:spacing w:line="280" w:lineRule="exact"/>
              <w:jc w:val="center"/>
              <w:textAlignment w:val="auto"/>
              <w:rPr>
                <w:rFonts w:hint="default" w:ascii="Times New Roman" w:hAnsi="Times New Roman" w:cs="Times New Roman"/>
                <w:bCs/>
                <w:color w:val="auto"/>
                <w:sz w:val="24"/>
                <w:szCs w:val="24"/>
              </w:rPr>
            </w:pPr>
            <w:r>
              <w:rPr>
                <w:rFonts w:hint="eastAsia" w:ascii="Times New Roman" w:hAnsi="Times New Roman" w:cs="Times New Roman"/>
                <w:bCs/>
                <w:color w:val="auto"/>
                <w:sz w:val="24"/>
                <w:szCs w:val="24"/>
                <w:lang w:eastAsia="zh-CN"/>
              </w:rPr>
              <w:t>《合成树脂工业污染物排放标准》(GB31572-2015)及修改单</w:t>
            </w:r>
            <w:r>
              <w:rPr>
                <w:rFonts w:hint="default" w:ascii="Times New Roman" w:hAnsi="Times New Roman" w:cs="Times New Roman"/>
                <w:bCs/>
                <w:color w:val="auto"/>
                <w:sz w:val="24"/>
                <w:szCs w:val="24"/>
              </w:rPr>
              <w:t>表9企业边界大气污染物浓度限值</w:t>
            </w:r>
          </w:p>
        </w:tc>
      </w:tr>
      <w:tr w14:paraId="3D2AF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88" w:hRule="atLeast"/>
          <w:jc w:val="center"/>
        </w:trPr>
        <w:tc>
          <w:tcPr>
            <w:tcW w:w="1004" w:type="dxa"/>
            <w:vMerge w:val="continue"/>
            <w:vAlign w:val="center"/>
          </w:tcPr>
          <w:p w14:paraId="01E660AB">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cs="Times New Roman"/>
                <w:color w:val="auto"/>
                <w:sz w:val="24"/>
                <w:szCs w:val="24"/>
                <w:lang w:bidi="ar"/>
              </w:rPr>
            </w:pPr>
          </w:p>
        </w:tc>
        <w:tc>
          <w:tcPr>
            <w:tcW w:w="1397" w:type="dxa"/>
            <w:vMerge w:val="continue"/>
            <w:vAlign w:val="center"/>
          </w:tcPr>
          <w:p w14:paraId="1B5473BA">
            <w:pPr>
              <w:pStyle w:val="15"/>
              <w:keepNext w:val="0"/>
              <w:keepLines w:val="0"/>
              <w:pageBreakBefore w:val="0"/>
              <w:kinsoku/>
              <w:wordWrap/>
              <w:overflowPunct/>
              <w:topLinePunct w:val="0"/>
              <w:autoSpaceDE/>
              <w:autoSpaceDN/>
              <w:bidi w:val="0"/>
              <w:adjustRightInd/>
              <w:snapToGrid/>
              <w:spacing w:line="280" w:lineRule="exact"/>
              <w:jc w:val="center"/>
              <w:textAlignment w:val="auto"/>
              <w:rPr>
                <w:rFonts w:hint="default" w:ascii="Times New Roman" w:hAnsi="Times New Roman" w:cs="Times New Roman"/>
                <w:color w:val="auto"/>
                <w:sz w:val="24"/>
                <w:szCs w:val="24"/>
              </w:rPr>
            </w:pPr>
          </w:p>
        </w:tc>
        <w:tc>
          <w:tcPr>
            <w:tcW w:w="1160" w:type="dxa"/>
            <w:vAlign w:val="center"/>
          </w:tcPr>
          <w:p w14:paraId="51606046">
            <w:pPr>
              <w:pStyle w:val="15"/>
              <w:keepNext w:val="0"/>
              <w:keepLines w:val="0"/>
              <w:pageBreakBefore w:val="0"/>
              <w:kinsoku/>
              <w:wordWrap/>
              <w:overflowPunct/>
              <w:topLinePunct w:val="0"/>
              <w:autoSpaceDE/>
              <w:autoSpaceDN/>
              <w:bidi w:val="0"/>
              <w:adjustRightInd/>
              <w:snapToGrid/>
              <w:spacing w:line="280" w:lineRule="exact"/>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非甲烷总烃</w:t>
            </w:r>
          </w:p>
        </w:tc>
        <w:tc>
          <w:tcPr>
            <w:tcW w:w="1590" w:type="dxa"/>
            <w:vMerge w:val="continue"/>
            <w:vAlign w:val="center"/>
          </w:tcPr>
          <w:p w14:paraId="0B9E46BB">
            <w:pPr>
              <w:pStyle w:val="15"/>
              <w:keepNext w:val="0"/>
              <w:keepLines w:val="0"/>
              <w:pageBreakBefore w:val="0"/>
              <w:kinsoku/>
              <w:wordWrap/>
              <w:overflowPunct/>
              <w:topLinePunct w:val="0"/>
              <w:autoSpaceDE/>
              <w:autoSpaceDN/>
              <w:bidi w:val="0"/>
              <w:adjustRightInd/>
              <w:snapToGrid/>
              <w:spacing w:line="280" w:lineRule="exact"/>
              <w:jc w:val="center"/>
              <w:textAlignment w:val="auto"/>
              <w:rPr>
                <w:rFonts w:hint="default" w:ascii="Times New Roman" w:hAnsi="Times New Roman" w:cs="Times New Roman"/>
                <w:color w:val="auto"/>
                <w:sz w:val="24"/>
                <w:szCs w:val="24"/>
              </w:rPr>
            </w:pPr>
          </w:p>
        </w:tc>
        <w:tc>
          <w:tcPr>
            <w:tcW w:w="3806" w:type="dxa"/>
            <w:vAlign w:val="center"/>
          </w:tcPr>
          <w:p w14:paraId="7CAF839A">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《工业企业挥发性有机物排放控制标准》（DB13/2322-2016）</w:t>
            </w:r>
            <w:r>
              <w:rPr>
                <w:rFonts w:hint="default" w:ascii="Times New Roman" w:hAnsi="Times New Roman" w:cs="Times New Roman"/>
                <w:color w:val="auto"/>
                <w:sz w:val="24"/>
                <w:szCs w:val="24"/>
              </w:rPr>
              <w:t>表2其他企业标准限值</w:t>
            </w:r>
          </w:p>
        </w:tc>
      </w:tr>
      <w:tr w14:paraId="541E5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92" w:hRule="atLeast"/>
          <w:jc w:val="center"/>
        </w:trPr>
        <w:tc>
          <w:tcPr>
            <w:tcW w:w="1004" w:type="dxa"/>
            <w:vMerge w:val="continue"/>
            <w:vAlign w:val="center"/>
          </w:tcPr>
          <w:p w14:paraId="43F48263">
            <w:pPr>
              <w:pStyle w:val="15"/>
              <w:keepNext w:val="0"/>
              <w:keepLines w:val="0"/>
              <w:pageBreakBefore w:val="0"/>
              <w:kinsoku/>
              <w:wordWrap/>
              <w:overflowPunct/>
              <w:topLinePunct w:val="0"/>
              <w:autoSpaceDE/>
              <w:autoSpaceDN/>
              <w:bidi w:val="0"/>
              <w:adjustRightInd/>
              <w:snapToGrid/>
              <w:spacing w:line="280" w:lineRule="exact"/>
              <w:jc w:val="center"/>
              <w:textAlignment w:val="auto"/>
              <w:rPr>
                <w:rFonts w:hint="default" w:ascii="Times New Roman" w:hAnsi="Times New Roman" w:cs="Times New Roman"/>
                <w:color w:val="auto"/>
                <w:sz w:val="24"/>
                <w:szCs w:val="24"/>
              </w:rPr>
            </w:pPr>
          </w:p>
        </w:tc>
        <w:tc>
          <w:tcPr>
            <w:tcW w:w="1397" w:type="dxa"/>
            <w:vMerge w:val="continue"/>
            <w:vAlign w:val="center"/>
          </w:tcPr>
          <w:p w14:paraId="31042124">
            <w:pPr>
              <w:pStyle w:val="15"/>
              <w:keepNext w:val="0"/>
              <w:keepLines w:val="0"/>
              <w:pageBreakBefore w:val="0"/>
              <w:kinsoku/>
              <w:wordWrap/>
              <w:overflowPunct/>
              <w:topLinePunct w:val="0"/>
              <w:autoSpaceDE/>
              <w:autoSpaceDN/>
              <w:bidi w:val="0"/>
              <w:adjustRightInd/>
              <w:snapToGrid/>
              <w:spacing w:line="280" w:lineRule="exact"/>
              <w:jc w:val="center"/>
              <w:textAlignment w:val="auto"/>
              <w:rPr>
                <w:rFonts w:hint="default" w:ascii="Times New Roman" w:hAnsi="Times New Roman" w:cs="Times New Roman"/>
                <w:color w:val="auto"/>
                <w:sz w:val="24"/>
                <w:szCs w:val="24"/>
              </w:rPr>
            </w:pPr>
          </w:p>
        </w:tc>
        <w:tc>
          <w:tcPr>
            <w:tcW w:w="1160" w:type="dxa"/>
            <w:vAlign w:val="center"/>
          </w:tcPr>
          <w:p w14:paraId="584309A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臭气浓度</w:t>
            </w:r>
          </w:p>
        </w:tc>
        <w:tc>
          <w:tcPr>
            <w:tcW w:w="1590" w:type="dxa"/>
            <w:vMerge w:val="continue"/>
            <w:vAlign w:val="center"/>
          </w:tcPr>
          <w:p w14:paraId="219C6429">
            <w:pPr>
              <w:pStyle w:val="15"/>
              <w:keepNext w:val="0"/>
              <w:keepLines w:val="0"/>
              <w:pageBreakBefore w:val="0"/>
              <w:kinsoku/>
              <w:wordWrap/>
              <w:overflowPunct/>
              <w:topLinePunct w:val="0"/>
              <w:autoSpaceDE/>
              <w:autoSpaceDN/>
              <w:bidi w:val="0"/>
              <w:adjustRightInd/>
              <w:snapToGrid/>
              <w:spacing w:line="280" w:lineRule="exact"/>
              <w:jc w:val="center"/>
              <w:textAlignment w:val="auto"/>
              <w:rPr>
                <w:rFonts w:hint="default" w:ascii="Times New Roman" w:hAnsi="Times New Roman" w:cs="Times New Roman"/>
                <w:color w:val="auto"/>
                <w:sz w:val="24"/>
                <w:szCs w:val="24"/>
              </w:rPr>
            </w:pPr>
          </w:p>
        </w:tc>
        <w:tc>
          <w:tcPr>
            <w:tcW w:w="3806" w:type="dxa"/>
            <w:vAlign w:val="center"/>
          </w:tcPr>
          <w:p w14:paraId="273EE0F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《恶臭污染物排放标准》（GB14554-93）表1排放限值</w:t>
            </w:r>
          </w:p>
        </w:tc>
      </w:tr>
      <w:tr w14:paraId="015FD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3" w:hRule="atLeast"/>
          <w:jc w:val="center"/>
        </w:trPr>
        <w:tc>
          <w:tcPr>
            <w:tcW w:w="1004" w:type="dxa"/>
            <w:vMerge w:val="continue"/>
            <w:vAlign w:val="center"/>
          </w:tcPr>
          <w:p w14:paraId="3D9A61E2">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cs="Times New Roman"/>
                <w:color w:val="auto"/>
                <w:sz w:val="24"/>
                <w:szCs w:val="24"/>
                <w:lang w:bidi="ar"/>
              </w:rPr>
            </w:pPr>
          </w:p>
        </w:tc>
        <w:tc>
          <w:tcPr>
            <w:tcW w:w="1397" w:type="dxa"/>
            <w:vAlign w:val="center"/>
          </w:tcPr>
          <w:p w14:paraId="58FC7DB3">
            <w:pPr>
              <w:keepNext w:val="0"/>
              <w:keepLines w:val="0"/>
              <w:pageBreakBefore w:val="0"/>
              <w:kinsoku/>
              <w:wordWrap/>
              <w:overflowPunct/>
              <w:topLinePunct w:val="0"/>
              <w:autoSpaceDE/>
              <w:autoSpaceDN/>
              <w:bidi w:val="0"/>
              <w:adjustRightInd/>
              <w:snapToGrid/>
              <w:spacing w:line="280" w:lineRule="exact"/>
              <w:jc w:val="center"/>
              <w:textAlignment w:val="auto"/>
              <w:rPr>
                <w:rFonts w:hint="default" w:ascii="Times New Roman" w:hAnsi="Times New Roman" w:cs="Times New Roman"/>
                <w:color w:val="auto"/>
                <w:sz w:val="24"/>
                <w:szCs w:val="24"/>
              </w:rPr>
            </w:pPr>
            <w:r>
              <w:rPr>
                <w:rFonts w:hint="default" w:ascii="Times New Roman" w:hAnsi="Times New Roman" w:eastAsia="宋体" w:cs="Times New Roman"/>
                <w:snapToGrid w:val="0"/>
                <w:color w:val="auto"/>
                <w:sz w:val="24"/>
                <w:szCs w:val="24"/>
                <w:lang w:val="en-US" w:eastAsia="zh-CN" w:bidi="ar-SA"/>
              </w:rPr>
              <w:t>生产</w:t>
            </w:r>
            <w:r>
              <w:rPr>
                <w:rFonts w:hint="default" w:ascii="Times New Roman" w:hAnsi="Times New Roman" w:cs="Times New Roman"/>
                <w:color w:val="auto"/>
                <w:sz w:val="24"/>
                <w:szCs w:val="24"/>
                <w:lang w:eastAsia="zh-CN"/>
              </w:rPr>
              <w:t>车间或生产设备边界</w:t>
            </w:r>
          </w:p>
        </w:tc>
        <w:tc>
          <w:tcPr>
            <w:tcW w:w="1160" w:type="dxa"/>
            <w:vAlign w:val="center"/>
          </w:tcPr>
          <w:p w14:paraId="4DF358B5">
            <w:pPr>
              <w:pStyle w:val="15"/>
              <w:keepNext w:val="0"/>
              <w:keepLines w:val="0"/>
              <w:pageBreakBefore w:val="0"/>
              <w:kinsoku/>
              <w:wordWrap/>
              <w:overflowPunct/>
              <w:topLinePunct w:val="0"/>
              <w:autoSpaceDE/>
              <w:autoSpaceDN/>
              <w:bidi w:val="0"/>
              <w:adjustRightInd/>
              <w:snapToGrid/>
              <w:spacing w:line="280" w:lineRule="exact"/>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非甲烷总烃</w:t>
            </w:r>
          </w:p>
        </w:tc>
        <w:tc>
          <w:tcPr>
            <w:tcW w:w="1590" w:type="dxa"/>
            <w:vMerge w:val="continue"/>
            <w:vAlign w:val="center"/>
          </w:tcPr>
          <w:p w14:paraId="4829012D">
            <w:pPr>
              <w:pStyle w:val="15"/>
              <w:keepNext w:val="0"/>
              <w:keepLines w:val="0"/>
              <w:pageBreakBefore w:val="0"/>
              <w:kinsoku/>
              <w:wordWrap/>
              <w:overflowPunct/>
              <w:topLinePunct w:val="0"/>
              <w:autoSpaceDE/>
              <w:autoSpaceDN/>
              <w:bidi w:val="0"/>
              <w:adjustRightInd/>
              <w:snapToGrid/>
              <w:spacing w:line="280" w:lineRule="exact"/>
              <w:jc w:val="center"/>
              <w:textAlignment w:val="auto"/>
              <w:rPr>
                <w:rFonts w:hint="default" w:ascii="Times New Roman" w:hAnsi="Times New Roman" w:cs="Times New Roman"/>
                <w:color w:val="auto"/>
                <w:sz w:val="24"/>
                <w:szCs w:val="24"/>
              </w:rPr>
            </w:pPr>
          </w:p>
        </w:tc>
        <w:tc>
          <w:tcPr>
            <w:tcW w:w="3806" w:type="dxa"/>
            <w:vAlign w:val="center"/>
          </w:tcPr>
          <w:p w14:paraId="223F205C">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rPr>
              <w:t>《工业企业挥发性有机物排放标准》</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DB13/2322-2016</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表3生产车间或生产设备边界大气污染物浓度限值</w:t>
            </w:r>
            <w:r>
              <w:rPr>
                <w:rFonts w:hint="eastAsia" w:ascii="Times New Roman" w:hAnsi="Times New Roman" w:cs="Times New Roman"/>
                <w:color w:val="000000" w:themeColor="text1"/>
                <w:sz w:val="24"/>
                <w:szCs w:val="24"/>
                <w:lang w:eastAsia="zh-CN"/>
                <w14:textFill>
                  <w14:solidFill>
                    <w14:schemeClr w14:val="tx1"/>
                  </w14:solidFill>
                </w14:textFill>
              </w:rPr>
              <w:t>（去除效率不达标时）</w:t>
            </w:r>
          </w:p>
        </w:tc>
      </w:tr>
      <w:tr w14:paraId="633D6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86" w:hRule="atLeast"/>
          <w:jc w:val="center"/>
        </w:trPr>
        <w:tc>
          <w:tcPr>
            <w:tcW w:w="1004" w:type="dxa"/>
            <w:vMerge w:val="continue"/>
            <w:vAlign w:val="center"/>
          </w:tcPr>
          <w:p w14:paraId="6469CBFD">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cs="Times New Roman"/>
                <w:color w:val="auto"/>
                <w:sz w:val="24"/>
                <w:szCs w:val="24"/>
                <w:lang w:bidi="ar"/>
              </w:rPr>
            </w:pPr>
          </w:p>
        </w:tc>
        <w:tc>
          <w:tcPr>
            <w:tcW w:w="1397" w:type="dxa"/>
            <w:vAlign w:val="center"/>
          </w:tcPr>
          <w:p w14:paraId="4F53E078">
            <w:pPr>
              <w:keepNext w:val="0"/>
              <w:keepLines w:val="0"/>
              <w:pageBreakBefore w:val="0"/>
              <w:kinsoku/>
              <w:wordWrap/>
              <w:overflowPunct/>
              <w:topLinePunct w:val="0"/>
              <w:autoSpaceDE/>
              <w:autoSpaceDN/>
              <w:bidi w:val="0"/>
              <w:adjustRightInd/>
              <w:snapToGrid/>
              <w:spacing w:line="280" w:lineRule="exact"/>
              <w:jc w:val="center"/>
              <w:textAlignment w:val="auto"/>
              <w:rPr>
                <w:rFonts w:hint="default" w:ascii="Times New Roman" w:hAnsi="Times New Roman" w:cs="Times New Roman"/>
                <w:color w:val="auto"/>
                <w:sz w:val="24"/>
                <w:szCs w:val="24"/>
              </w:rPr>
            </w:pPr>
            <w:r>
              <w:rPr>
                <w:rFonts w:hint="default" w:ascii="Times New Roman" w:hAnsi="Times New Roman" w:cs="Times New Roman"/>
                <w:bCs/>
                <w:color w:val="auto"/>
                <w:sz w:val="24"/>
                <w:szCs w:val="24"/>
                <w:lang w:eastAsia="zh-CN"/>
              </w:rPr>
              <w:t>监控点处</w:t>
            </w:r>
            <w:r>
              <w:rPr>
                <w:rFonts w:hint="default" w:ascii="Times New Roman" w:hAnsi="Times New Roman" w:cs="Times New Roman"/>
                <w:bCs/>
                <w:color w:val="auto"/>
                <w:sz w:val="24"/>
                <w:szCs w:val="24"/>
              </w:rPr>
              <w:t>1h平均浓度值</w:t>
            </w:r>
          </w:p>
        </w:tc>
        <w:tc>
          <w:tcPr>
            <w:tcW w:w="1160" w:type="dxa"/>
            <w:vMerge w:val="restart"/>
            <w:vAlign w:val="center"/>
          </w:tcPr>
          <w:p w14:paraId="35B2BB99">
            <w:pPr>
              <w:pStyle w:val="15"/>
              <w:keepNext w:val="0"/>
              <w:keepLines w:val="0"/>
              <w:pageBreakBefore w:val="0"/>
              <w:kinsoku/>
              <w:wordWrap/>
              <w:overflowPunct/>
              <w:topLinePunct w:val="0"/>
              <w:autoSpaceDE/>
              <w:autoSpaceDN/>
              <w:bidi w:val="0"/>
              <w:adjustRightInd/>
              <w:snapToGrid/>
              <w:spacing w:line="280" w:lineRule="exact"/>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非甲烷总烃</w:t>
            </w:r>
          </w:p>
        </w:tc>
        <w:tc>
          <w:tcPr>
            <w:tcW w:w="1590" w:type="dxa"/>
            <w:vMerge w:val="continue"/>
            <w:vAlign w:val="center"/>
          </w:tcPr>
          <w:p w14:paraId="7DF0148F">
            <w:pPr>
              <w:pStyle w:val="15"/>
              <w:keepNext w:val="0"/>
              <w:keepLines w:val="0"/>
              <w:pageBreakBefore w:val="0"/>
              <w:kinsoku/>
              <w:wordWrap/>
              <w:overflowPunct/>
              <w:topLinePunct w:val="0"/>
              <w:autoSpaceDE/>
              <w:autoSpaceDN/>
              <w:bidi w:val="0"/>
              <w:adjustRightInd/>
              <w:snapToGrid/>
              <w:spacing w:line="280" w:lineRule="exact"/>
              <w:jc w:val="center"/>
              <w:textAlignment w:val="auto"/>
              <w:rPr>
                <w:rFonts w:hint="default" w:ascii="Times New Roman" w:hAnsi="Times New Roman" w:cs="Times New Roman"/>
                <w:color w:val="auto"/>
                <w:sz w:val="24"/>
                <w:szCs w:val="24"/>
              </w:rPr>
            </w:pPr>
          </w:p>
        </w:tc>
        <w:tc>
          <w:tcPr>
            <w:tcW w:w="3806" w:type="dxa"/>
            <w:vMerge w:val="restart"/>
            <w:vAlign w:val="center"/>
          </w:tcPr>
          <w:p w14:paraId="77CCDE5B">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rPr>
              <w:t>《挥发性有机物无组织排放控制标准》（GB37822-2019）附录A.1标准</w:t>
            </w:r>
          </w:p>
        </w:tc>
      </w:tr>
      <w:tr w14:paraId="5DF4D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3" w:hRule="atLeast"/>
          <w:jc w:val="center"/>
        </w:trPr>
        <w:tc>
          <w:tcPr>
            <w:tcW w:w="1004" w:type="dxa"/>
            <w:vMerge w:val="continue"/>
            <w:vAlign w:val="center"/>
          </w:tcPr>
          <w:p w14:paraId="72BDE6AA">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cs="Times New Roman"/>
                <w:color w:val="auto"/>
                <w:sz w:val="24"/>
                <w:szCs w:val="24"/>
                <w:lang w:bidi="ar"/>
              </w:rPr>
            </w:pPr>
          </w:p>
        </w:tc>
        <w:tc>
          <w:tcPr>
            <w:tcW w:w="1397" w:type="dxa"/>
            <w:vAlign w:val="center"/>
          </w:tcPr>
          <w:p w14:paraId="279CFAC0">
            <w:pPr>
              <w:keepNext w:val="0"/>
              <w:keepLines w:val="0"/>
              <w:pageBreakBefore w:val="0"/>
              <w:kinsoku/>
              <w:wordWrap/>
              <w:overflowPunct/>
              <w:topLinePunct w:val="0"/>
              <w:autoSpaceDE/>
              <w:autoSpaceDN/>
              <w:bidi w:val="0"/>
              <w:adjustRightInd/>
              <w:snapToGrid/>
              <w:spacing w:line="280" w:lineRule="exact"/>
              <w:jc w:val="center"/>
              <w:textAlignment w:val="auto"/>
              <w:rPr>
                <w:rFonts w:hint="default" w:ascii="Times New Roman" w:hAnsi="Times New Roman" w:cs="Times New Roman"/>
                <w:color w:val="auto"/>
                <w:sz w:val="24"/>
                <w:szCs w:val="24"/>
              </w:rPr>
            </w:pPr>
            <w:r>
              <w:rPr>
                <w:rFonts w:hint="default" w:ascii="Times New Roman" w:hAnsi="Times New Roman" w:cs="Times New Roman"/>
                <w:bCs/>
                <w:color w:val="auto"/>
                <w:sz w:val="24"/>
                <w:szCs w:val="24"/>
                <w:lang w:eastAsia="zh-CN"/>
              </w:rPr>
              <w:t>监控点处</w:t>
            </w:r>
            <w:r>
              <w:rPr>
                <w:rFonts w:hint="default" w:ascii="Times New Roman" w:hAnsi="Times New Roman" w:cs="Times New Roman"/>
                <w:bCs/>
                <w:color w:val="auto"/>
                <w:sz w:val="24"/>
                <w:szCs w:val="24"/>
              </w:rPr>
              <w:t>任意一次浓度值</w:t>
            </w:r>
          </w:p>
        </w:tc>
        <w:tc>
          <w:tcPr>
            <w:tcW w:w="1160" w:type="dxa"/>
            <w:vMerge w:val="continue"/>
            <w:vAlign w:val="center"/>
          </w:tcPr>
          <w:p w14:paraId="55E41AA7">
            <w:pPr>
              <w:pStyle w:val="15"/>
              <w:keepNext w:val="0"/>
              <w:keepLines w:val="0"/>
              <w:pageBreakBefore w:val="0"/>
              <w:kinsoku/>
              <w:wordWrap/>
              <w:overflowPunct/>
              <w:topLinePunct w:val="0"/>
              <w:autoSpaceDE/>
              <w:autoSpaceDN/>
              <w:bidi w:val="0"/>
              <w:adjustRightInd/>
              <w:snapToGrid/>
              <w:spacing w:line="280" w:lineRule="exact"/>
              <w:jc w:val="center"/>
              <w:textAlignment w:val="auto"/>
              <w:rPr>
                <w:rFonts w:hint="default" w:ascii="Times New Roman" w:hAnsi="Times New Roman" w:cs="Times New Roman"/>
                <w:color w:val="auto"/>
                <w:sz w:val="24"/>
                <w:szCs w:val="24"/>
              </w:rPr>
            </w:pPr>
          </w:p>
        </w:tc>
        <w:tc>
          <w:tcPr>
            <w:tcW w:w="1590" w:type="dxa"/>
            <w:vMerge w:val="continue"/>
            <w:vAlign w:val="center"/>
          </w:tcPr>
          <w:p w14:paraId="40455EB5">
            <w:pPr>
              <w:pStyle w:val="15"/>
              <w:keepNext w:val="0"/>
              <w:keepLines w:val="0"/>
              <w:pageBreakBefore w:val="0"/>
              <w:kinsoku/>
              <w:wordWrap/>
              <w:overflowPunct/>
              <w:topLinePunct w:val="0"/>
              <w:autoSpaceDE/>
              <w:autoSpaceDN/>
              <w:bidi w:val="0"/>
              <w:adjustRightInd/>
              <w:snapToGrid/>
              <w:spacing w:line="280" w:lineRule="exact"/>
              <w:jc w:val="center"/>
              <w:textAlignment w:val="auto"/>
              <w:rPr>
                <w:rFonts w:hint="default" w:ascii="Times New Roman" w:hAnsi="Times New Roman" w:cs="Times New Roman"/>
                <w:color w:val="auto"/>
                <w:sz w:val="24"/>
                <w:szCs w:val="24"/>
              </w:rPr>
            </w:pPr>
          </w:p>
        </w:tc>
        <w:tc>
          <w:tcPr>
            <w:tcW w:w="3806" w:type="dxa"/>
            <w:vMerge w:val="continue"/>
            <w:vAlign w:val="center"/>
          </w:tcPr>
          <w:p w14:paraId="6853AD18">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cs="Times New Roman"/>
                <w:bCs/>
                <w:color w:val="auto"/>
                <w:sz w:val="24"/>
                <w:szCs w:val="24"/>
              </w:rPr>
            </w:pPr>
          </w:p>
        </w:tc>
      </w:tr>
      <w:tr w14:paraId="1C9D5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080" w:hRule="atLeast"/>
          <w:jc w:val="center"/>
        </w:trPr>
        <w:tc>
          <w:tcPr>
            <w:tcW w:w="1004" w:type="dxa"/>
            <w:vAlign w:val="center"/>
          </w:tcPr>
          <w:p w14:paraId="35270E28">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bidi="ar"/>
              </w:rPr>
              <w:t>声环境</w:t>
            </w:r>
          </w:p>
        </w:tc>
        <w:tc>
          <w:tcPr>
            <w:tcW w:w="7953" w:type="dxa"/>
            <w:gridSpan w:val="4"/>
            <w:vAlign w:val="center"/>
          </w:tcPr>
          <w:p w14:paraId="47C7F121">
            <w:pPr>
              <w:pStyle w:val="4"/>
              <w:keepNext w:val="0"/>
              <w:keepLines w:val="0"/>
              <w:pageBreakBefore w:val="0"/>
              <w:kinsoku/>
              <w:wordWrap/>
              <w:overflowPunct/>
              <w:topLinePunct w:val="0"/>
              <w:autoSpaceDE/>
              <w:autoSpaceDN/>
              <w:bidi w:val="0"/>
              <w:adjustRightInd/>
              <w:snapToGrid/>
              <w:spacing w:line="280" w:lineRule="exact"/>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项目噪声主要为生产设备工作期间产生的噪音，通过采取选用低噪声设备、减震垫、厂房隔声、距离衰减等降噪措施后，厂界昼夜噪声预测值满足《工业企业厂界环境噪声排放标准》（GB12348-2008）中</w:t>
            </w:r>
            <w:r>
              <w:rPr>
                <w:rFonts w:hint="eastAsia" w:ascii="Times New Roman" w:hAnsi="Times New Roman" w:cs="Times New Roman"/>
                <w:color w:val="auto"/>
                <w:sz w:val="24"/>
                <w:szCs w:val="24"/>
                <w:lang w:val="en-US" w:eastAsia="zh-CN"/>
              </w:rPr>
              <w:t>2</w:t>
            </w:r>
            <w:r>
              <w:rPr>
                <w:rFonts w:hint="eastAsia" w:ascii="Times New Roman" w:hAnsi="Times New Roman" w:cs="Times New Roman"/>
                <w:color w:val="auto"/>
                <w:sz w:val="24"/>
                <w:szCs w:val="24"/>
                <w:lang w:eastAsia="zh-CN"/>
              </w:rPr>
              <w:t>类</w:t>
            </w:r>
            <w:r>
              <w:rPr>
                <w:rFonts w:hint="default" w:ascii="Times New Roman" w:hAnsi="Times New Roman" w:cs="Times New Roman"/>
                <w:color w:val="auto"/>
                <w:sz w:val="24"/>
                <w:szCs w:val="24"/>
              </w:rPr>
              <w:t>标准要求。</w:t>
            </w:r>
          </w:p>
        </w:tc>
      </w:tr>
      <w:tr w14:paraId="278EB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080" w:hRule="atLeast"/>
          <w:jc w:val="center"/>
        </w:trPr>
        <w:tc>
          <w:tcPr>
            <w:tcW w:w="1004" w:type="dxa"/>
            <w:vAlign w:val="center"/>
          </w:tcPr>
          <w:p w14:paraId="2665D4E9">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color w:val="auto"/>
                <w:sz w:val="24"/>
                <w:szCs w:val="24"/>
                <w:lang w:eastAsia="zh-CN" w:bidi="ar"/>
              </w:rPr>
            </w:pPr>
            <w:r>
              <w:rPr>
                <w:rFonts w:hint="default" w:ascii="Times New Roman" w:hAnsi="Times New Roman" w:cs="Times New Roman"/>
                <w:color w:val="auto"/>
                <w:sz w:val="24"/>
                <w:szCs w:val="24"/>
                <w:lang w:eastAsia="zh-CN" w:bidi="ar"/>
              </w:rPr>
              <w:t>地表水环境</w:t>
            </w:r>
          </w:p>
        </w:tc>
        <w:tc>
          <w:tcPr>
            <w:tcW w:w="7953" w:type="dxa"/>
            <w:gridSpan w:val="4"/>
            <w:vAlign w:val="center"/>
          </w:tcPr>
          <w:p w14:paraId="6AB2A842">
            <w:pPr>
              <w:pStyle w:val="4"/>
              <w:keepNext w:val="0"/>
              <w:keepLines w:val="0"/>
              <w:pageBreakBefore w:val="0"/>
              <w:kinsoku/>
              <w:wordWrap/>
              <w:overflowPunct/>
              <w:topLinePunct w:val="0"/>
              <w:autoSpaceDE/>
              <w:autoSpaceDN/>
              <w:bidi w:val="0"/>
              <w:adjustRightInd/>
              <w:snapToGrid/>
              <w:spacing w:line="280" w:lineRule="exact"/>
              <w:ind w:left="0" w:leftChars="0" w:firstLine="0" w:firstLine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rPr>
              <w:t>本项目</w:t>
            </w:r>
            <w:r>
              <w:rPr>
                <w:rFonts w:hint="default" w:ascii="Times New Roman" w:hAnsi="Times New Roman" w:cs="Times New Roman"/>
                <w:color w:val="auto"/>
                <w:sz w:val="24"/>
                <w:szCs w:val="24"/>
                <w:lang w:eastAsia="zh-CN"/>
              </w:rPr>
              <w:t>无外排废水</w:t>
            </w:r>
          </w:p>
        </w:tc>
      </w:tr>
      <w:tr w14:paraId="24625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694" w:hRule="atLeast"/>
          <w:jc w:val="center"/>
        </w:trPr>
        <w:tc>
          <w:tcPr>
            <w:tcW w:w="1004" w:type="dxa"/>
            <w:vAlign w:val="center"/>
          </w:tcPr>
          <w:p w14:paraId="58DF8B50">
            <w:pPr>
              <w:widowControl/>
              <w:spacing w:line="340" w:lineRule="exact"/>
              <w:jc w:val="center"/>
              <w:rPr>
                <w:rFonts w:hint="default" w:ascii="Times New Roman" w:hAnsi="Times New Roman" w:cs="Times New Roman"/>
                <w:color w:val="auto"/>
                <w:sz w:val="24"/>
                <w:szCs w:val="24"/>
                <w:lang w:bidi="ar"/>
              </w:rPr>
            </w:pPr>
            <w:r>
              <w:rPr>
                <w:rFonts w:hint="default" w:ascii="Times New Roman" w:hAnsi="Times New Roman" w:cs="Times New Roman"/>
                <w:color w:val="auto"/>
                <w:sz w:val="24"/>
                <w:szCs w:val="24"/>
                <w:lang w:bidi="ar"/>
              </w:rPr>
              <w:t>电磁</w:t>
            </w:r>
          </w:p>
          <w:p w14:paraId="4068B5DD">
            <w:pPr>
              <w:widowControl/>
              <w:spacing w:line="340" w:lineRule="exact"/>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lang w:bidi="ar"/>
              </w:rPr>
              <w:t>辐射</w:t>
            </w:r>
          </w:p>
        </w:tc>
        <w:tc>
          <w:tcPr>
            <w:tcW w:w="7953" w:type="dxa"/>
            <w:gridSpan w:val="4"/>
            <w:vAlign w:val="center"/>
          </w:tcPr>
          <w:p w14:paraId="74F1AEFF">
            <w:pPr>
              <w:pStyle w:val="4"/>
              <w:spacing w:line="340" w:lineRule="exact"/>
              <w:ind w:firstLine="0" w:firstLineChars="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无</w:t>
            </w:r>
          </w:p>
        </w:tc>
      </w:tr>
      <w:tr w14:paraId="3C091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jc w:val="center"/>
        </w:trPr>
        <w:tc>
          <w:tcPr>
            <w:tcW w:w="1004" w:type="dxa"/>
            <w:vMerge w:val="restart"/>
            <w:vAlign w:val="center"/>
          </w:tcPr>
          <w:p w14:paraId="14B995F5">
            <w:pPr>
              <w:widowControl/>
              <w:spacing w:line="340" w:lineRule="exact"/>
              <w:jc w:val="center"/>
              <w:rPr>
                <w:rFonts w:hint="default" w:ascii="Times New Roman" w:hAnsi="Times New Roman" w:cs="Times New Roman"/>
                <w:color w:val="auto"/>
                <w:sz w:val="24"/>
                <w:szCs w:val="24"/>
                <w:lang w:bidi="ar"/>
              </w:rPr>
            </w:pPr>
            <w:r>
              <w:rPr>
                <w:rFonts w:hint="default" w:ascii="Times New Roman" w:hAnsi="Times New Roman" w:cs="Times New Roman"/>
                <w:color w:val="auto"/>
                <w:sz w:val="24"/>
                <w:szCs w:val="24"/>
                <w:lang w:bidi="ar"/>
              </w:rPr>
              <w:t>固体废物</w:t>
            </w:r>
          </w:p>
        </w:tc>
        <w:tc>
          <w:tcPr>
            <w:tcW w:w="1397" w:type="dxa"/>
            <w:vMerge w:val="restart"/>
            <w:vAlign w:val="center"/>
          </w:tcPr>
          <w:p w14:paraId="325FCE9F">
            <w:pPr>
              <w:pStyle w:val="4"/>
              <w:spacing w:line="340" w:lineRule="exact"/>
              <w:ind w:firstLine="0" w:firstLineChars="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一般固废</w:t>
            </w:r>
          </w:p>
        </w:tc>
        <w:tc>
          <w:tcPr>
            <w:tcW w:w="1160" w:type="dxa"/>
            <w:vAlign w:val="center"/>
          </w:tcPr>
          <w:p w14:paraId="17EBF57A">
            <w:pPr>
              <w:spacing w:line="360" w:lineRule="exact"/>
              <w:jc w:val="center"/>
              <w:rPr>
                <w:rFonts w:hint="default" w:ascii="Times New Roman" w:hAnsi="Times New Roman" w:cs="Times New Roman"/>
                <w:color w:val="auto"/>
                <w:sz w:val="24"/>
                <w:szCs w:val="24"/>
              </w:rPr>
            </w:pPr>
            <w:r>
              <w:rPr>
                <w:rStyle w:val="46"/>
                <w:rFonts w:hint="default" w:ascii="Times New Roman" w:hAnsi="Times New Roman" w:cs="Times New Roman"/>
                <w:color w:val="auto"/>
                <w:sz w:val="24"/>
                <w:szCs w:val="24"/>
              </w:rPr>
              <w:t>生活垃圾</w:t>
            </w:r>
          </w:p>
        </w:tc>
        <w:tc>
          <w:tcPr>
            <w:tcW w:w="1590" w:type="dxa"/>
            <w:vAlign w:val="center"/>
          </w:tcPr>
          <w:p w14:paraId="67EE4620">
            <w:pPr>
              <w:spacing w:line="360" w:lineRule="exact"/>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集中收集后交环卫部门处理</w:t>
            </w:r>
          </w:p>
        </w:tc>
        <w:tc>
          <w:tcPr>
            <w:tcW w:w="3806" w:type="dxa"/>
            <w:vMerge w:val="restart"/>
            <w:vAlign w:val="center"/>
          </w:tcPr>
          <w:p w14:paraId="54E0F305">
            <w:pPr>
              <w:spacing w:line="340" w:lineRule="exact"/>
              <w:jc w:val="center"/>
              <w:rPr>
                <w:rFonts w:hint="default" w:ascii="Times New Roman" w:hAnsi="Times New Roman" w:cs="Times New Roman"/>
                <w:color w:val="auto"/>
                <w:sz w:val="24"/>
                <w:szCs w:val="24"/>
              </w:rPr>
            </w:pPr>
            <w:r>
              <w:rPr>
                <w:rFonts w:hint="default" w:ascii="Times New Roman" w:hAnsi="Times New Roman" w:eastAsia="宋体" w:cs="Times New Roman"/>
                <w:color w:val="auto"/>
                <w:sz w:val="24"/>
                <w:szCs w:val="24"/>
                <w:highlight w:val="none"/>
                <w:lang w:val="en-US" w:eastAsia="zh-CN"/>
              </w:rPr>
              <w:t>《中华人民共和国固体废物污染环境防治法》（2020年版）中第四章</w:t>
            </w:r>
            <w:r>
              <w:rPr>
                <w:rFonts w:hint="default" w:ascii="Times New Roman" w:hAnsi="Times New Roman"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生活垃圾</w:t>
            </w:r>
            <w:r>
              <w:rPr>
                <w:rFonts w:hint="default" w:ascii="Times New Roman" w:hAnsi="Times New Roman"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中的相关内容</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cs="Times New Roman"/>
                <w:color w:val="auto"/>
                <w:sz w:val="24"/>
                <w:szCs w:val="24"/>
              </w:rPr>
              <w:t>《中华人民共和国固体废物污染环境防治法》（2020年版）第三章</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工业固体废物</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标准要求及《一般工业固体废物贮存和填埋污染控制标准》（GB18599-2020）的相关规定</w:t>
            </w:r>
          </w:p>
        </w:tc>
      </w:tr>
      <w:tr w14:paraId="649D8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jc w:val="center"/>
        </w:trPr>
        <w:tc>
          <w:tcPr>
            <w:tcW w:w="1004" w:type="dxa"/>
            <w:vMerge w:val="continue"/>
            <w:vAlign w:val="center"/>
          </w:tcPr>
          <w:p w14:paraId="36090C35">
            <w:pPr>
              <w:widowControl/>
              <w:spacing w:line="340" w:lineRule="exact"/>
              <w:jc w:val="center"/>
              <w:rPr>
                <w:rFonts w:hint="default" w:ascii="Times New Roman" w:hAnsi="Times New Roman" w:cs="Times New Roman"/>
                <w:color w:val="auto"/>
                <w:sz w:val="24"/>
                <w:szCs w:val="24"/>
                <w:lang w:bidi="ar"/>
              </w:rPr>
            </w:pPr>
          </w:p>
        </w:tc>
        <w:tc>
          <w:tcPr>
            <w:tcW w:w="1397" w:type="dxa"/>
            <w:vMerge w:val="continue"/>
            <w:vAlign w:val="center"/>
          </w:tcPr>
          <w:p w14:paraId="021BDBF3">
            <w:pPr>
              <w:pStyle w:val="4"/>
              <w:spacing w:line="340" w:lineRule="exact"/>
              <w:ind w:firstLine="0" w:firstLineChars="0"/>
              <w:jc w:val="center"/>
              <w:rPr>
                <w:rFonts w:hint="default" w:ascii="Times New Roman" w:hAnsi="Times New Roman" w:cs="Times New Roman"/>
                <w:color w:val="auto"/>
                <w:sz w:val="24"/>
                <w:szCs w:val="24"/>
              </w:rPr>
            </w:pPr>
          </w:p>
        </w:tc>
        <w:tc>
          <w:tcPr>
            <w:tcW w:w="1160" w:type="dxa"/>
            <w:vAlign w:val="center"/>
          </w:tcPr>
          <w:p w14:paraId="536CAD19">
            <w:pPr>
              <w:spacing w:line="360" w:lineRule="exact"/>
              <w:jc w:val="center"/>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lang w:eastAsia="zh-CN"/>
              </w:rPr>
              <w:t>除尘灰</w:t>
            </w:r>
          </w:p>
        </w:tc>
        <w:tc>
          <w:tcPr>
            <w:tcW w:w="1590" w:type="dxa"/>
            <w:vAlign w:val="center"/>
          </w:tcPr>
          <w:p w14:paraId="4153C866">
            <w:pPr>
              <w:spacing w:line="360" w:lineRule="exact"/>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集中收集外售</w:t>
            </w:r>
          </w:p>
        </w:tc>
        <w:tc>
          <w:tcPr>
            <w:tcW w:w="3806" w:type="dxa"/>
            <w:vMerge w:val="continue"/>
            <w:vAlign w:val="center"/>
          </w:tcPr>
          <w:p w14:paraId="30895D12">
            <w:pPr>
              <w:spacing w:line="340" w:lineRule="exact"/>
              <w:jc w:val="center"/>
              <w:rPr>
                <w:rFonts w:hint="default" w:ascii="Times New Roman" w:hAnsi="Times New Roman" w:cs="Times New Roman"/>
                <w:color w:val="auto"/>
                <w:sz w:val="24"/>
                <w:szCs w:val="24"/>
              </w:rPr>
            </w:pPr>
          </w:p>
        </w:tc>
      </w:tr>
      <w:tr w14:paraId="7EB37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66" w:hRule="atLeast"/>
          <w:jc w:val="center"/>
        </w:trPr>
        <w:tc>
          <w:tcPr>
            <w:tcW w:w="1004" w:type="dxa"/>
            <w:vMerge w:val="continue"/>
            <w:vAlign w:val="center"/>
          </w:tcPr>
          <w:p w14:paraId="18F48034">
            <w:pPr>
              <w:widowControl/>
              <w:spacing w:line="340" w:lineRule="exact"/>
              <w:jc w:val="center"/>
              <w:rPr>
                <w:rFonts w:hint="default" w:ascii="Times New Roman" w:hAnsi="Times New Roman" w:cs="Times New Roman"/>
                <w:color w:val="auto"/>
                <w:sz w:val="24"/>
                <w:szCs w:val="24"/>
                <w:lang w:bidi="ar"/>
              </w:rPr>
            </w:pPr>
          </w:p>
        </w:tc>
        <w:tc>
          <w:tcPr>
            <w:tcW w:w="1397" w:type="dxa"/>
            <w:vMerge w:val="continue"/>
            <w:vAlign w:val="center"/>
          </w:tcPr>
          <w:p w14:paraId="45AB0FDA">
            <w:pPr>
              <w:pStyle w:val="4"/>
              <w:spacing w:line="340" w:lineRule="exact"/>
              <w:ind w:firstLine="0" w:firstLineChars="0"/>
              <w:jc w:val="center"/>
              <w:rPr>
                <w:rFonts w:hint="default" w:ascii="Times New Roman" w:hAnsi="Times New Roman" w:cs="Times New Roman"/>
                <w:color w:val="auto"/>
                <w:sz w:val="24"/>
                <w:szCs w:val="24"/>
              </w:rPr>
            </w:pPr>
          </w:p>
        </w:tc>
        <w:tc>
          <w:tcPr>
            <w:tcW w:w="1160" w:type="dxa"/>
            <w:vAlign w:val="center"/>
          </w:tcPr>
          <w:p w14:paraId="42FDB394">
            <w:pPr>
              <w:spacing w:line="360" w:lineRule="exact"/>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废包装物</w:t>
            </w:r>
          </w:p>
        </w:tc>
        <w:tc>
          <w:tcPr>
            <w:tcW w:w="1590" w:type="dxa"/>
            <w:vAlign w:val="center"/>
          </w:tcPr>
          <w:p w14:paraId="4191AB2D">
            <w:pPr>
              <w:spacing w:line="360" w:lineRule="exact"/>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集中收集外售</w:t>
            </w:r>
          </w:p>
        </w:tc>
        <w:tc>
          <w:tcPr>
            <w:tcW w:w="3806" w:type="dxa"/>
            <w:vMerge w:val="continue"/>
            <w:vAlign w:val="center"/>
          </w:tcPr>
          <w:p w14:paraId="2DB2C81D">
            <w:pPr>
              <w:spacing w:line="340" w:lineRule="exact"/>
              <w:jc w:val="center"/>
              <w:rPr>
                <w:rFonts w:hint="default" w:ascii="Times New Roman" w:hAnsi="Times New Roman" w:cs="Times New Roman"/>
                <w:color w:val="auto"/>
                <w:sz w:val="24"/>
                <w:szCs w:val="24"/>
              </w:rPr>
            </w:pPr>
          </w:p>
        </w:tc>
      </w:tr>
      <w:tr w14:paraId="36A6E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66" w:hRule="atLeast"/>
          <w:jc w:val="center"/>
        </w:trPr>
        <w:tc>
          <w:tcPr>
            <w:tcW w:w="1004" w:type="dxa"/>
            <w:vMerge w:val="continue"/>
            <w:vAlign w:val="center"/>
          </w:tcPr>
          <w:p w14:paraId="408B5180">
            <w:pPr>
              <w:widowControl/>
              <w:spacing w:line="340" w:lineRule="exact"/>
              <w:jc w:val="center"/>
              <w:rPr>
                <w:rFonts w:hint="default" w:ascii="Times New Roman" w:hAnsi="Times New Roman" w:cs="Times New Roman"/>
                <w:color w:val="auto"/>
                <w:sz w:val="24"/>
                <w:szCs w:val="24"/>
                <w:lang w:bidi="ar"/>
              </w:rPr>
            </w:pPr>
          </w:p>
        </w:tc>
        <w:tc>
          <w:tcPr>
            <w:tcW w:w="1397" w:type="dxa"/>
            <w:vMerge w:val="continue"/>
            <w:vAlign w:val="center"/>
          </w:tcPr>
          <w:p w14:paraId="1DD050BE">
            <w:pPr>
              <w:pStyle w:val="4"/>
              <w:spacing w:line="340" w:lineRule="exact"/>
              <w:ind w:firstLine="0" w:firstLineChars="0"/>
              <w:jc w:val="center"/>
              <w:rPr>
                <w:rFonts w:hint="default" w:ascii="Times New Roman" w:hAnsi="Times New Roman" w:cs="Times New Roman"/>
                <w:color w:val="auto"/>
                <w:sz w:val="24"/>
                <w:szCs w:val="24"/>
              </w:rPr>
            </w:pPr>
          </w:p>
        </w:tc>
        <w:tc>
          <w:tcPr>
            <w:tcW w:w="1160" w:type="dxa"/>
            <w:vAlign w:val="center"/>
          </w:tcPr>
          <w:p w14:paraId="6003A4ED">
            <w:pPr>
              <w:spacing w:line="360" w:lineRule="exact"/>
              <w:jc w:val="center"/>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lang w:eastAsia="zh-CN"/>
              </w:rPr>
              <w:t>废布袋</w:t>
            </w:r>
          </w:p>
        </w:tc>
        <w:tc>
          <w:tcPr>
            <w:tcW w:w="1590" w:type="dxa"/>
            <w:vAlign w:val="center"/>
          </w:tcPr>
          <w:p w14:paraId="354BE76F">
            <w:pPr>
              <w:spacing w:line="360" w:lineRule="exact"/>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集中收集外售</w:t>
            </w:r>
          </w:p>
        </w:tc>
        <w:tc>
          <w:tcPr>
            <w:tcW w:w="3806" w:type="dxa"/>
            <w:vMerge w:val="continue"/>
            <w:vAlign w:val="center"/>
          </w:tcPr>
          <w:p w14:paraId="64C06F17">
            <w:pPr>
              <w:spacing w:line="340" w:lineRule="exact"/>
              <w:jc w:val="center"/>
              <w:rPr>
                <w:rFonts w:hint="default" w:ascii="Times New Roman" w:hAnsi="Times New Roman" w:cs="Times New Roman"/>
                <w:color w:val="auto"/>
                <w:sz w:val="24"/>
                <w:szCs w:val="24"/>
              </w:rPr>
            </w:pPr>
          </w:p>
        </w:tc>
      </w:tr>
      <w:tr w14:paraId="64E04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jc w:val="center"/>
        </w:trPr>
        <w:tc>
          <w:tcPr>
            <w:tcW w:w="1004" w:type="dxa"/>
            <w:vMerge w:val="continue"/>
            <w:vAlign w:val="center"/>
          </w:tcPr>
          <w:p w14:paraId="5CA0B9C2">
            <w:pPr>
              <w:widowControl/>
              <w:spacing w:line="340" w:lineRule="exact"/>
              <w:jc w:val="center"/>
              <w:rPr>
                <w:rFonts w:hint="default" w:ascii="Times New Roman" w:hAnsi="Times New Roman" w:cs="Times New Roman"/>
                <w:color w:val="auto"/>
                <w:sz w:val="24"/>
                <w:szCs w:val="24"/>
                <w:lang w:bidi="ar"/>
              </w:rPr>
            </w:pPr>
          </w:p>
        </w:tc>
        <w:tc>
          <w:tcPr>
            <w:tcW w:w="1397" w:type="dxa"/>
            <w:vMerge w:val="restart"/>
            <w:vAlign w:val="center"/>
          </w:tcPr>
          <w:p w14:paraId="3B2519B5">
            <w:pPr>
              <w:pStyle w:val="4"/>
              <w:spacing w:line="340" w:lineRule="exact"/>
              <w:ind w:firstLine="0" w:firstLineChars="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危险固废</w:t>
            </w:r>
          </w:p>
        </w:tc>
        <w:tc>
          <w:tcPr>
            <w:tcW w:w="1160" w:type="dxa"/>
            <w:vAlign w:val="center"/>
          </w:tcPr>
          <w:p w14:paraId="5A975440">
            <w:pPr>
              <w:spacing w:line="340" w:lineRule="exact"/>
              <w:jc w:val="center"/>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lang w:eastAsia="zh-CN"/>
              </w:rPr>
              <w:t>废机油</w:t>
            </w:r>
          </w:p>
        </w:tc>
        <w:tc>
          <w:tcPr>
            <w:tcW w:w="1590" w:type="dxa"/>
            <w:vMerge w:val="restart"/>
            <w:vAlign w:val="center"/>
          </w:tcPr>
          <w:p w14:paraId="3EE95986">
            <w:pPr>
              <w:spacing w:line="360" w:lineRule="exact"/>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在危废贮存间内暂存，定期由有资质单位处置</w:t>
            </w:r>
          </w:p>
        </w:tc>
        <w:tc>
          <w:tcPr>
            <w:tcW w:w="3806" w:type="dxa"/>
            <w:vMerge w:val="restart"/>
            <w:vAlign w:val="center"/>
          </w:tcPr>
          <w:p w14:paraId="6FFB8110">
            <w:pPr>
              <w:spacing w:line="360" w:lineRule="exact"/>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《危险废物转移管理办法》（部令第23号，2022年1月1日实施）、</w:t>
            </w:r>
            <w:r>
              <w:rPr>
                <w:rFonts w:hint="default" w:ascii="Times New Roman" w:hAnsi="Times New Roman" w:cs="Times New Roman"/>
                <w:color w:val="auto"/>
                <w:sz w:val="24"/>
                <w:szCs w:val="24"/>
                <w:lang w:eastAsia="zh-CN"/>
              </w:rPr>
              <w:t>《危险废物贮存污染控制标准》（GB18597-2023）（2023年7月1日执行）</w:t>
            </w:r>
            <w:r>
              <w:rPr>
                <w:rFonts w:hint="default" w:ascii="Times New Roman" w:hAnsi="Times New Roman" w:cs="Times New Roman"/>
                <w:color w:val="auto"/>
                <w:sz w:val="24"/>
                <w:szCs w:val="24"/>
              </w:rPr>
              <w:t>、《危险废物收集贮存运输技术规范》（HJ2025-2012）及相关法律法规</w:t>
            </w:r>
          </w:p>
        </w:tc>
      </w:tr>
      <w:tr w14:paraId="5654F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jc w:val="center"/>
        </w:trPr>
        <w:tc>
          <w:tcPr>
            <w:tcW w:w="1004" w:type="dxa"/>
            <w:vMerge w:val="continue"/>
            <w:vAlign w:val="center"/>
          </w:tcPr>
          <w:p w14:paraId="52AA1324">
            <w:pPr>
              <w:spacing w:line="340" w:lineRule="exact"/>
              <w:jc w:val="center"/>
              <w:rPr>
                <w:rFonts w:hint="default" w:ascii="Times New Roman" w:hAnsi="Times New Roman" w:cs="Times New Roman"/>
                <w:color w:val="auto"/>
                <w:sz w:val="24"/>
                <w:szCs w:val="24"/>
              </w:rPr>
            </w:pPr>
          </w:p>
        </w:tc>
        <w:tc>
          <w:tcPr>
            <w:tcW w:w="1397" w:type="dxa"/>
            <w:vMerge w:val="continue"/>
            <w:vAlign w:val="center"/>
          </w:tcPr>
          <w:p w14:paraId="3D00D2EE">
            <w:pPr>
              <w:pStyle w:val="4"/>
              <w:spacing w:line="340" w:lineRule="exact"/>
              <w:ind w:firstLine="0" w:firstLineChars="0"/>
              <w:jc w:val="center"/>
              <w:rPr>
                <w:rFonts w:hint="default" w:ascii="Times New Roman" w:hAnsi="Times New Roman" w:cs="Times New Roman"/>
                <w:color w:val="auto"/>
                <w:sz w:val="24"/>
                <w:szCs w:val="24"/>
              </w:rPr>
            </w:pPr>
          </w:p>
        </w:tc>
        <w:tc>
          <w:tcPr>
            <w:tcW w:w="1160" w:type="dxa"/>
            <w:vAlign w:val="center"/>
          </w:tcPr>
          <w:p w14:paraId="02298DEC">
            <w:pPr>
              <w:spacing w:line="340" w:lineRule="exact"/>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废油桶</w:t>
            </w:r>
          </w:p>
        </w:tc>
        <w:tc>
          <w:tcPr>
            <w:tcW w:w="1590" w:type="dxa"/>
            <w:vMerge w:val="continue"/>
            <w:vAlign w:val="center"/>
          </w:tcPr>
          <w:p w14:paraId="0442930E">
            <w:pPr>
              <w:spacing w:line="340" w:lineRule="exact"/>
              <w:jc w:val="center"/>
              <w:rPr>
                <w:rFonts w:hint="default" w:ascii="Times New Roman" w:hAnsi="Times New Roman" w:cs="Times New Roman"/>
                <w:color w:val="auto"/>
                <w:sz w:val="24"/>
                <w:szCs w:val="24"/>
              </w:rPr>
            </w:pPr>
          </w:p>
        </w:tc>
        <w:tc>
          <w:tcPr>
            <w:tcW w:w="3806" w:type="dxa"/>
            <w:vMerge w:val="continue"/>
            <w:vAlign w:val="center"/>
          </w:tcPr>
          <w:p w14:paraId="7744307F">
            <w:pPr>
              <w:spacing w:line="340" w:lineRule="exact"/>
              <w:jc w:val="center"/>
              <w:rPr>
                <w:rFonts w:hint="default" w:ascii="Times New Roman" w:hAnsi="Times New Roman" w:cs="Times New Roman"/>
                <w:color w:val="auto"/>
                <w:sz w:val="24"/>
                <w:szCs w:val="24"/>
              </w:rPr>
            </w:pPr>
          </w:p>
        </w:tc>
      </w:tr>
      <w:tr w14:paraId="17C0AC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jc w:val="center"/>
        </w:trPr>
        <w:tc>
          <w:tcPr>
            <w:tcW w:w="1004" w:type="dxa"/>
            <w:vMerge w:val="continue"/>
            <w:vAlign w:val="center"/>
          </w:tcPr>
          <w:p w14:paraId="468B07FF">
            <w:pPr>
              <w:spacing w:line="340" w:lineRule="exact"/>
              <w:jc w:val="center"/>
              <w:rPr>
                <w:rFonts w:hint="default" w:ascii="Times New Roman" w:hAnsi="Times New Roman" w:cs="Times New Roman"/>
                <w:color w:val="auto"/>
                <w:sz w:val="24"/>
                <w:szCs w:val="24"/>
              </w:rPr>
            </w:pPr>
          </w:p>
        </w:tc>
        <w:tc>
          <w:tcPr>
            <w:tcW w:w="1397" w:type="dxa"/>
            <w:vMerge w:val="continue"/>
            <w:vAlign w:val="center"/>
          </w:tcPr>
          <w:p w14:paraId="67416770">
            <w:pPr>
              <w:pStyle w:val="4"/>
              <w:spacing w:line="340" w:lineRule="exact"/>
              <w:ind w:firstLine="0" w:firstLineChars="0"/>
              <w:jc w:val="center"/>
              <w:rPr>
                <w:rFonts w:hint="default" w:ascii="Times New Roman" w:hAnsi="Times New Roman" w:cs="Times New Roman"/>
                <w:color w:val="auto"/>
                <w:sz w:val="24"/>
                <w:szCs w:val="24"/>
              </w:rPr>
            </w:pPr>
          </w:p>
        </w:tc>
        <w:tc>
          <w:tcPr>
            <w:tcW w:w="1160" w:type="dxa"/>
            <w:vAlign w:val="center"/>
          </w:tcPr>
          <w:p w14:paraId="17DA6E6C">
            <w:pPr>
              <w:spacing w:line="340" w:lineRule="exact"/>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废活性炭</w:t>
            </w:r>
          </w:p>
        </w:tc>
        <w:tc>
          <w:tcPr>
            <w:tcW w:w="1590" w:type="dxa"/>
            <w:vMerge w:val="continue"/>
            <w:vAlign w:val="center"/>
          </w:tcPr>
          <w:p w14:paraId="2758124A">
            <w:pPr>
              <w:spacing w:line="340" w:lineRule="exact"/>
              <w:jc w:val="center"/>
              <w:rPr>
                <w:rFonts w:hint="default" w:ascii="Times New Roman" w:hAnsi="Times New Roman" w:cs="Times New Roman"/>
                <w:color w:val="auto"/>
                <w:sz w:val="24"/>
                <w:szCs w:val="24"/>
              </w:rPr>
            </w:pPr>
          </w:p>
        </w:tc>
        <w:tc>
          <w:tcPr>
            <w:tcW w:w="3806" w:type="dxa"/>
            <w:vMerge w:val="continue"/>
            <w:vAlign w:val="center"/>
          </w:tcPr>
          <w:p w14:paraId="38891AA1">
            <w:pPr>
              <w:spacing w:line="340" w:lineRule="exact"/>
              <w:jc w:val="center"/>
              <w:rPr>
                <w:rFonts w:hint="default" w:ascii="Times New Roman" w:hAnsi="Times New Roman" w:cs="Times New Roman"/>
                <w:color w:val="auto"/>
                <w:sz w:val="24"/>
                <w:szCs w:val="24"/>
              </w:rPr>
            </w:pPr>
          </w:p>
        </w:tc>
      </w:tr>
      <w:tr w14:paraId="04109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jc w:val="center"/>
        </w:trPr>
        <w:tc>
          <w:tcPr>
            <w:tcW w:w="1004" w:type="dxa"/>
            <w:vAlign w:val="center"/>
          </w:tcPr>
          <w:p w14:paraId="699A77BC">
            <w:pPr>
              <w:widowControl/>
              <w:spacing w:line="340" w:lineRule="exact"/>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lang w:bidi="ar"/>
              </w:rPr>
              <w:t>土壤及地下水污染防治措施</w:t>
            </w:r>
          </w:p>
        </w:tc>
        <w:tc>
          <w:tcPr>
            <w:tcW w:w="7953" w:type="dxa"/>
            <w:gridSpan w:val="4"/>
            <w:vAlign w:val="center"/>
          </w:tcPr>
          <w:p w14:paraId="52C6B50D">
            <w:pPr>
              <w:pStyle w:val="4"/>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a、原料库地面硬化并进行防腐防渗处理，使防渗层渗透系数小于1x10</w:t>
            </w:r>
            <w:r>
              <w:rPr>
                <w:rFonts w:hint="default" w:ascii="Times New Roman" w:hAnsi="Times New Roman" w:cs="Times New Roman"/>
                <w:color w:val="auto"/>
                <w:sz w:val="24"/>
                <w:szCs w:val="24"/>
                <w:vertAlign w:val="superscript"/>
              </w:rPr>
              <w:t>-7</w:t>
            </w:r>
            <w:r>
              <w:rPr>
                <w:rFonts w:hint="default" w:ascii="Times New Roman" w:hAnsi="Times New Roman" w:cs="Times New Roman"/>
                <w:color w:val="auto"/>
                <w:sz w:val="24"/>
                <w:szCs w:val="24"/>
              </w:rPr>
              <w:t>cm/s，并制定仓库管理要求；</w:t>
            </w:r>
          </w:p>
          <w:p w14:paraId="0284A1B4">
            <w:pPr>
              <w:pStyle w:val="4"/>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b、危废贮存间按照《危险废物贮存污染控制标准》</w:t>
            </w:r>
            <w:r>
              <w:rPr>
                <w:rFonts w:hint="default" w:ascii="Times New Roman" w:hAnsi="Times New Roman" w:cs="Times New Roman"/>
                <w:color w:val="auto"/>
                <w:sz w:val="24"/>
                <w:szCs w:val="24"/>
                <w:lang w:eastAsia="zh-CN"/>
              </w:rPr>
              <w:t>（</w:t>
            </w:r>
            <w:r>
              <w:rPr>
                <w:rFonts w:hint="eastAsia" w:ascii="Times New Roman" w:hAnsi="Times New Roman" w:cs="Times New Roman"/>
                <w:color w:val="auto"/>
                <w:sz w:val="24"/>
                <w:szCs w:val="24"/>
                <w:lang w:eastAsia="zh-CN"/>
              </w:rPr>
              <w:t>GB18597-2023</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相关要求，地面和裙角做好防渗处理，用水泥硬化，并铺设环氧树脂或其它防渗材料进一步防渗处理，使渗透系数K≤1x10</w:t>
            </w:r>
            <w:r>
              <w:rPr>
                <w:rFonts w:hint="default" w:ascii="Times New Roman" w:hAnsi="Times New Roman" w:cs="Times New Roman"/>
                <w:color w:val="auto"/>
                <w:sz w:val="24"/>
                <w:szCs w:val="24"/>
                <w:vertAlign w:val="superscript"/>
              </w:rPr>
              <w:t>-10</w:t>
            </w:r>
            <w:r>
              <w:rPr>
                <w:rFonts w:hint="default" w:ascii="Times New Roman" w:hAnsi="Times New Roman" w:cs="Times New Roman"/>
                <w:color w:val="auto"/>
                <w:sz w:val="24"/>
                <w:szCs w:val="24"/>
              </w:rPr>
              <w:t>cm/s；</w:t>
            </w:r>
          </w:p>
        </w:tc>
      </w:tr>
      <w:tr w14:paraId="70D34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jc w:val="center"/>
        </w:trPr>
        <w:tc>
          <w:tcPr>
            <w:tcW w:w="1004" w:type="dxa"/>
            <w:vAlign w:val="center"/>
          </w:tcPr>
          <w:p w14:paraId="7201A996">
            <w:pPr>
              <w:widowControl/>
              <w:spacing w:line="340" w:lineRule="exact"/>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lang w:bidi="ar"/>
              </w:rPr>
              <w:t>生态保护措施</w:t>
            </w:r>
          </w:p>
        </w:tc>
        <w:tc>
          <w:tcPr>
            <w:tcW w:w="7953" w:type="dxa"/>
            <w:gridSpan w:val="4"/>
            <w:vAlign w:val="center"/>
          </w:tcPr>
          <w:p w14:paraId="392A9DAF">
            <w:pPr>
              <w:pStyle w:val="4"/>
              <w:keepNext w:val="0"/>
              <w:keepLines w:val="0"/>
              <w:pageBreakBefore w:val="0"/>
              <w:widowControl w:val="0"/>
              <w:kinsoku/>
              <w:wordWrap/>
              <w:overflowPunct/>
              <w:topLinePunct w:val="0"/>
              <w:autoSpaceDE/>
              <w:autoSpaceDN/>
              <w:bidi w:val="0"/>
              <w:adjustRightInd/>
              <w:snapToGrid/>
              <w:spacing w:line="480" w:lineRule="exact"/>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无。</w:t>
            </w:r>
          </w:p>
        </w:tc>
      </w:tr>
      <w:tr w14:paraId="0684D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jc w:val="center"/>
        </w:trPr>
        <w:tc>
          <w:tcPr>
            <w:tcW w:w="1004" w:type="dxa"/>
            <w:vAlign w:val="center"/>
          </w:tcPr>
          <w:p w14:paraId="79B13E1D">
            <w:pPr>
              <w:widowControl/>
              <w:spacing w:line="340" w:lineRule="exact"/>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lang w:bidi="ar"/>
              </w:rPr>
              <w:t>环境风险防范措施</w:t>
            </w:r>
          </w:p>
        </w:tc>
        <w:tc>
          <w:tcPr>
            <w:tcW w:w="7953" w:type="dxa"/>
            <w:gridSpan w:val="4"/>
            <w:vAlign w:val="center"/>
          </w:tcPr>
          <w:p w14:paraId="3EEA9159">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加强对生产设备、危废贮存间、原料库和废气治理设施的安全管理，确保安全生产。危废间按要求进行防渗处理；原料库设置防泄漏托盘</w:t>
            </w:r>
            <w:r>
              <w:rPr>
                <w:rFonts w:hint="eastAsia" w:ascii="Times New Roman" w:hAnsi="Times New Roman" w:cs="Times New Roman"/>
                <w:color w:val="auto"/>
                <w:sz w:val="24"/>
                <w:szCs w:val="24"/>
                <w:lang w:eastAsia="zh-CN"/>
              </w:rPr>
              <w:t>防止</w:t>
            </w:r>
            <w:r>
              <w:rPr>
                <w:rFonts w:hint="default" w:ascii="Times New Roman" w:hAnsi="Times New Roman" w:cs="Times New Roman"/>
                <w:color w:val="auto"/>
                <w:sz w:val="24"/>
                <w:szCs w:val="24"/>
              </w:rPr>
              <w:t>物料泄漏污染周围土壤，废气治理设施专人检查及管理。由专人负责定期巡查。并在仓库配备必要的消毒面具等人员防护设备、消防设施、泄漏处理设施等。在发生泄漏风险的情况下，企业应尽可能的及时堵住泄漏源。建设单位应结合本评价提出的措施建议，制定一套完善的事故风险防范措施和应急预案，并上报生态环境行政主管部门备案。</w:t>
            </w:r>
          </w:p>
          <w:p w14:paraId="4CFC7755">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①公司要保持作业人员相对稳定，并对作业人员进行岗位专业培训和环保专业培训，保证全员培训后上岗。</w:t>
            </w:r>
          </w:p>
          <w:p w14:paraId="173D427E">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②公司安环部门负责人、车间负责人和副总要定期进行对现场进行监督。</w:t>
            </w:r>
          </w:p>
          <w:p w14:paraId="19BBEED4">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③公司领导要对设计到潜在风险源的岗位人员，制定相应的奖惩制度，并且确保制度落实到位。</w:t>
            </w:r>
          </w:p>
          <w:p w14:paraId="771CE4D0">
            <w:pPr>
              <w:pStyle w:val="4"/>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④定期安排专业人员对公司环境风险源开展调查评估工作，发现异常情况及时进行处理，确保全员掌握环境风险源的种类、分布和规模，摸清各装置和风险源的底数，了解各风险源、风险物质的技术信息和理化特性，提出和更新相应的风险防范和应对措施。</w:t>
            </w:r>
          </w:p>
        </w:tc>
      </w:tr>
      <w:tr w14:paraId="22033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jc w:val="center"/>
        </w:trPr>
        <w:tc>
          <w:tcPr>
            <w:tcW w:w="1004" w:type="dxa"/>
            <w:vAlign w:val="center"/>
          </w:tcPr>
          <w:p w14:paraId="2A5C113C">
            <w:pPr>
              <w:widowControl/>
              <w:spacing w:line="340" w:lineRule="exact"/>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lang w:bidi="ar"/>
              </w:rPr>
              <w:t>其他环境管理要求</w:t>
            </w:r>
          </w:p>
        </w:tc>
        <w:tc>
          <w:tcPr>
            <w:tcW w:w="7953" w:type="dxa"/>
            <w:gridSpan w:val="4"/>
            <w:vAlign w:val="center"/>
          </w:tcPr>
          <w:p w14:paraId="5C64C064">
            <w:pPr>
              <w:pStyle w:val="4"/>
              <w:keepNext w:val="0"/>
              <w:keepLines w:val="0"/>
              <w:pageBreakBefore w:val="0"/>
              <w:widowControl w:val="0"/>
              <w:kinsoku/>
              <w:wordWrap/>
              <w:overflowPunct/>
              <w:topLinePunct w:val="0"/>
              <w:autoSpaceDE/>
              <w:autoSpaceDN/>
              <w:bidi w:val="0"/>
              <w:adjustRightInd/>
              <w:snapToGrid/>
              <w:spacing w:line="480" w:lineRule="exact"/>
              <w:ind w:firstLine="0" w:firstLineChars="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排污口规范化管理</w:t>
            </w:r>
          </w:p>
          <w:p w14:paraId="3BC6088A">
            <w:pPr>
              <w:pStyle w:val="4"/>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废气排放口、噪声源和固体废物贮存必须按照国家和河北省的有关规定进行建设，应符合</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一明显、二合理、三便于</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的要求，即环保标志明显，排污口（接管口）设置合理，便于采集样品、便于监测计量、便于监督管理。同时要求按照国家环保总局制定的《环境保护图形标志实施细则（试行）》的规定，设置与排污口相应的图形标志牌。</w:t>
            </w:r>
          </w:p>
          <w:p w14:paraId="593B3690">
            <w:pPr>
              <w:pStyle w:val="4"/>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排污口管理。建设单位应在各个排污口处树立标志牌，并如实填写《中华人民共和国规范化排污口标记登记证》，由环保部门签发。环保主管部门和建设单位可分别按以下内容建立排污口管理的专门档案：排污口性质和编号；位置；排放主要污染物种类、数量、浓度；排放去向；达标情况；治理设施运行情况及整改意见。</w:t>
            </w:r>
          </w:p>
          <w:p w14:paraId="248BFE48">
            <w:pPr>
              <w:pStyle w:val="4"/>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（2）采样孔位置要求</w:t>
            </w:r>
          </w:p>
          <w:p w14:paraId="1D65D9E4">
            <w:pPr>
              <w:pStyle w:val="4"/>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rPr>
              <w:t>①</w:t>
            </w:r>
            <w:r>
              <w:rPr>
                <w:rFonts w:hint="eastAsia" w:ascii="Times New Roman" w:hAnsi="Times New Roman" w:cs="Times New Roman"/>
                <w:color w:val="auto"/>
                <w:sz w:val="24"/>
                <w:szCs w:val="24"/>
                <w:lang w:eastAsia="zh-CN"/>
              </w:rPr>
              <w:t>采样孔</w:t>
            </w:r>
            <w:r>
              <w:rPr>
                <w:rFonts w:hint="default" w:ascii="Times New Roman" w:hAnsi="Times New Roman" w:cs="Times New Roman"/>
                <w:color w:val="auto"/>
                <w:sz w:val="24"/>
                <w:szCs w:val="24"/>
              </w:rPr>
              <w:t>位置应优先选择在垂直管段和烟道负压区域。</w:t>
            </w:r>
          </w:p>
          <w:p w14:paraId="0CE71080">
            <w:pPr>
              <w:pStyle w:val="4"/>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rPr>
              <w:t>②采样孔位置应避开烟道弯头和断面急剧变化的部位，设置在距弯头、阀门、变径管下游方向不小于6倍烟道直径处，以及距上述部件上游方向不小于3倍烟道直径处。对矩形烟道，其当量直径D=2AB/（A+B），式中A、B为边长。</w:t>
            </w:r>
          </w:p>
          <w:p w14:paraId="12BE3814">
            <w:pPr>
              <w:pStyle w:val="4"/>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rPr>
              <w:t>③当安装位置不能满足上述要求时，应尽可能选择在气流稳定的断面，但安装位置前直管段的长度必须大于安装位置后直管段的长度，同时采样孔距弯头、阀门、变径管下游距离至少是烟道直径的1.5倍。</w:t>
            </w:r>
          </w:p>
          <w:p w14:paraId="470E811A">
            <w:pPr>
              <w:pStyle w:val="4"/>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rPr>
              <w:t>（3）采样孔尺寸</w:t>
            </w:r>
          </w:p>
          <w:p w14:paraId="25DCED74">
            <w:pPr>
              <w:pStyle w:val="4"/>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rPr>
              <w:t>①在选定的测定位置上开设监测采样孔，采样孔内径应不少于80mm，采样孔管长应不大于50mm。</w:t>
            </w:r>
          </w:p>
          <w:p w14:paraId="49B12B26">
            <w:pPr>
              <w:pStyle w:val="4"/>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rPr>
              <w:t>②不使用时应用盖板、管堵或管帽封闭。</w:t>
            </w:r>
          </w:p>
          <w:p w14:paraId="6A101F1C">
            <w:pPr>
              <w:pStyle w:val="4"/>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rPr>
              <w:t>③对圆形烟道，采样孔应设在包括各测定点在内的互相垂直的直径线上。烟道直径小于或等于0.6m，设一个采样孔；烟道直径大于0.6m，在同一断面设二个互相垂直的采样孔。</w:t>
            </w:r>
          </w:p>
          <w:p w14:paraId="181F35EF">
            <w:pPr>
              <w:pStyle w:val="4"/>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rPr>
              <w:t>④对矩形或方形烟道，采样孔应设在包括各测定点在内的延长线上。在同一断面的一侧，烟道断面面积小于0.2m</w:t>
            </w:r>
            <w:r>
              <w:rPr>
                <w:rFonts w:hint="default" w:ascii="Times New Roman" w:hAnsi="Times New Roman" w:cs="Times New Roman"/>
                <w:color w:val="auto"/>
                <w:sz w:val="24"/>
                <w:szCs w:val="24"/>
                <w:vertAlign w:val="superscript"/>
              </w:rPr>
              <w:t>2</w:t>
            </w:r>
            <w:r>
              <w:rPr>
                <w:rFonts w:hint="default" w:ascii="Times New Roman" w:hAnsi="Times New Roman" w:cs="Times New Roman"/>
                <w:color w:val="auto"/>
                <w:sz w:val="24"/>
                <w:szCs w:val="24"/>
              </w:rPr>
              <w:t>，中间设一个采样孔；烟道断面面积0.2-1.0m</w:t>
            </w:r>
            <w:r>
              <w:rPr>
                <w:rFonts w:hint="default" w:ascii="Times New Roman" w:hAnsi="Times New Roman" w:cs="Times New Roman"/>
                <w:color w:val="auto"/>
                <w:sz w:val="24"/>
                <w:szCs w:val="24"/>
                <w:vertAlign w:val="superscript"/>
              </w:rPr>
              <w:t>2</w:t>
            </w:r>
            <w:r>
              <w:rPr>
                <w:rFonts w:hint="default" w:ascii="Times New Roman" w:hAnsi="Times New Roman" w:cs="Times New Roman"/>
                <w:color w:val="auto"/>
                <w:sz w:val="24"/>
                <w:szCs w:val="24"/>
              </w:rPr>
              <w:t>，等距设二个采样孔；烟道断面面积1.0-4.0m</w:t>
            </w:r>
            <w:r>
              <w:rPr>
                <w:rFonts w:hint="default" w:ascii="Times New Roman" w:hAnsi="Times New Roman" w:cs="Times New Roman"/>
                <w:color w:val="auto"/>
                <w:sz w:val="24"/>
                <w:szCs w:val="24"/>
                <w:vertAlign w:val="superscript"/>
              </w:rPr>
              <w:t>2</w:t>
            </w:r>
            <w:r>
              <w:rPr>
                <w:rFonts w:hint="default" w:ascii="Times New Roman" w:hAnsi="Times New Roman" w:cs="Times New Roman"/>
                <w:color w:val="auto"/>
                <w:sz w:val="24"/>
                <w:szCs w:val="24"/>
              </w:rPr>
              <w:t>，等距设三个采样孔；烟道断面面积4.0-9.0m</w:t>
            </w:r>
            <w:r>
              <w:rPr>
                <w:rFonts w:hint="default" w:ascii="Times New Roman" w:hAnsi="Times New Roman" w:cs="Times New Roman"/>
                <w:color w:val="auto"/>
                <w:sz w:val="24"/>
                <w:szCs w:val="24"/>
                <w:vertAlign w:val="superscript"/>
              </w:rPr>
              <w:t>2</w:t>
            </w:r>
            <w:r>
              <w:rPr>
                <w:rFonts w:hint="default" w:ascii="Times New Roman" w:hAnsi="Times New Roman" w:cs="Times New Roman"/>
                <w:color w:val="auto"/>
                <w:sz w:val="24"/>
                <w:szCs w:val="24"/>
              </w:rPr>
              <w:t>，等距设四个采样孔；烟道面积9.0-15m</w:t>
            </w:r>
            <w:r>
              <w:rPr>
                <w:rFonts w:hint="default" w:ascii="Times New Roman" w:hAnsi="Times New Roman" w:cs="Times New Roman"/>
                <w:color w:val="auto"/>
                <w:sz w:val="24"/>
                <w:szCs w:val="24"/>
                <w:vertAlign w:val="superscript"/>
              </w:rPr>
              <w:t>2</w:t>
            </w:r>
            <w:r>
              <w:rPr>
                <w:rFonts w:hint="default" w:ascii="Times New Roman" w:hAnsi="Times New Roman" w:cs="Times New Roman"/>
                <w:color w:val="auto"/>
                <w:sz w:val="24"/>
                <w:szCs w:val="24"/>
              </w:rPr>
              <w:t>，等距设五个采样孔；烟道面积大于15.0m</w:t>
            </w:r>
            <w:r>
              <w:rPr>
                <w:rFonts w:hint="default" w:ascii="Times New Roman" w:hAnsi="Times New Roman" w:cs="Times New Roman"/>
                <w:color w:val="auto"/>
                <w:sz w:val="24"/>
                <w:szCs w:val="24"/>
                <w:vertAlign w:val="superscript"/>
              </w:rPr>
              <w:t>2</w:t>
            </w:r>
            <w:r>
              <w:rPr>
                <w:rFonts w:hint="default" w:ascii="Times New Roman" w:hAnsi="Times New Roman" w:cs="Times New Roman"/>
                <w:color w:val="auto"/>
                <w:sz w:val="24"/>
                <w:szCs w:val="24"/>
              </w:rPr>
              <w:t>，等距设六至七个采样孔。</w:t>
            </w:r>
          </w:p>
          <w:p w14:paraId="35E51027">
            <w:pPr>
              <w:pStyle w:val="4"/>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（4）采样平台要求</w:t>
            </w:r>
          </w:p>
          <w:p w14:paraId="2441049B">
            <w:pPr>
              <w:pStyle w:val="4"/>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rPr>
              <w:t>①平台面积应不小于1.5m</w:t>
            </w:r>
            <w:r>
              <w:rPr>
                <w:rFonts w:hint="default" w:ascii="Times New Roman" w:hAnsi="Times New Roman" w:cs="Times New Roman"/>
                <w:color w:val="auto"/>
                <w:sz w:val="24"/>
                <w:szCs w:val="24"/>
                <w:vertAlign w:val="superscript"/>
              </w:rPr>
              <w:t>2</w:t>
            </w:r>
            <w:r>
              <w:rPr>
                <w:rFonts w:hint="default" w:ascii="Times New Roman" w:hAnsi="Times New Roman" w:cs="Times New Roman"/>
                <w:color w:val="auto"/>
                <w:sz w:val="24"/>
                <w:szCs w:val="24"/>
              </w:rPr>
              <w:t>（建议2×1.5m</w:t>
            </w:r>
            <w:r>
              <w:rPr>
                <w:rFonts w:hint="default" w:ascii="Times New Roman" w:hAnsi="Times New Roman" w:cs="Times New Roman"/>
                <w:color w:val="auto"/>
                <w:sz w:val="24"/>
                <w:szCs w:val="24"/>
                <w:vertAlign w:val="superscript"/>
              </w:rPr>
              <w:t>2</w:t>
            </w:r>
            <w:r>
              <w:rPr>
                <w:rFonts w:hint="default" w:ascii="Times New Roman" w:hAnsi="Times New Roman" w:cs="Times New Roman"/>
                <w:color w:val="auto"/>
                <w:sz w:val="24"/>
                <w:szCs w:val="24"/>
              </w:rPr>
              <w:t>以上），并设有1.2m高的护栏和不低于10cm的脚部挡板，采样平台的承重应不小于200kg/m</w:t>
            </w:r>
            <w:r>
              <w:rPr>
                <w:rFonts w:hint="default" w:ascii="Times New Roman" w:hAnsi="Times New Roman" w:cs="Times New Roman"/>
                <w:color w:val="auto"/>
                <w:sz w:val="24"/>
                <w:szCs w:val="24"/>
                <w:vertAlign w:val="superscript"/>
              </w:rPr>
              <w:t>2</w:t>
            </w:r>
            <w:r>
              <w:rPr>
                <w:rFonts w:hint="default" w:ascii="Times New Roman" w:hAnsi="Times New Roman" w:cs="Times New Roman"/>
                <w:color w:val="auto"/>
                <w:sz w:val="24"/>
                <w:szCs w:val="24"/>
              </w:rPr>
              <w:t>，采样平台面距采样孔约为1.2-1.3m。</w:t>
            </w:r>
          </w:p>
          <w:p w14:paraId="36F23EAF">
            <w:pPr>
              <w:pStyle w:val="4"/>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rPr>
              <w:t>②采样平台应设置永久性的电源。平台上方应建有防雨棚。采样平台易于人员到达，应建设监测安全通道。</w:t>
            </w:r>
          </w:p>
          <w:p w14:paraId="2640718A">
            <w:pPr>
              <w:pStyle w:val="4"/>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rPr>
              <w:t>③当采样平台设置高于地面时，应有通往平台的Z字梯/旋梯/升降梯，切勿设置猪笼梯等不安全通道。</w:t>
            </w:r>
          </w:p>
          <w:p w14:paraId="50C5DF0A">
            <w:pPr>
              <w:pStyle w:val="4"/>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（5）环境保护图形标志</w:t>
            </w:r>
          </w:p>
          <w:p w14:paraId="6EE0C81D">
            <w:pPr>
              <w:pStyle w:val="4"/>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在厂区的废气排放口、固体废物贮存处置场应设置环境保护图形标志，图形符号分为提示图形和警告图形符号两种，分别按《环境保护图形标志排放口》（GB15562.1-1995）</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《环境保护图形标志固体废物贮存（处置）场》（GB15562.2-1995）</w:t>
            </w:r>
            <w:r>
              <w:rPr>
                <w:rFonts w:hint="default" w:ascii="Times New Roman" w:hAnsi="Times New Roman" w:cs="Times New Roman"/>
                <w:color w:val="auto"/>
                <w:sz w:val="24"/>
                <w:szCs w:val="24"/>
                <w:lang w:eastAsia="zh-CN"/>
              </w:rPr>
              <w:t>、《危险废物识别标示设置技术规范》（</w:t>
            </w:r>
            <w:r>
              <w:rPr>
                <w:rFonts w:hint="default" w:ascii="Times New Roman" w:hAnsi="Times New Roman" w:cs="Times New Roman"/>
                <w:color w:val="auto"/>
                <w:sz w:val="24"/>
                <w:szCs w:val="24"/>
                <w:lang w:val="en-US" w:eastAsia="zh-CN"/>
              </w:rPr>
              <w:t>HJ1276-2022</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执行。</w:t>
            </w:r>
          </w:p>
          <w:p w14:paraId="2088A5E8">
            <w:pPr>
              <w:spacing w:line="340" w:lineRule="exact"/>
              <w:jc w:val="center"/>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表</w:t>
            </w:r>
            <w:r>
              <w:rPr>
                <w:rFonts w:hint="eastAsia" w:ascii="Times New Roman" w:hAnsi="Times New Roman" w:cs="Times New Roman"/>
                <w:b/>
                <w:bCs/>
                <w:color w:val="auto"/>
                <w:sz w:val="24"/>
                <w:szCs w:val="24"/>
                <w:lang w:val="en-US" w:eastAsia="zh-CN"/>
              </w:rPr>
              <w:t>35</w:t>
            </w:r>
            <w:r>
              <w:rPr>
                <w:rFonts w:hint="default" w:ascii="Times New Roman" w:hAnsi="Times New Roman" w:cs="Times New Roman"/>
                <w:b/>
                <w:bCs/>
                <w:color w:val="auto"/>
                <w:sz w:val="24"/>
                <w:szCs w:val="24"/>
              </w:rPr>
              <w:t>环境保护图形标志</w:t>
            </w:r>
          </w:p>
          <w:tbl>
            <w:tblPr>
              <w:tblStyle w:val="3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31"/>
              <w:gridCol w:w="1620"/>
              <w:gridCol w:w="1612"/>
              <w:gridCol w:w="1492"/>
              <w:gridCol w:w="2471"/>
            </w:tblGrid>
            <w:tr w14:paraId="66052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403" w:type="pct"/>
                  <w:tcBorders>
                    <w:tl2br w:val="nil"/>
                    <w:tr2bl w:val="nil"/>
                  </w:tcBorders>
                  <w:vAlign w:val="center"/>
                </w:tcPr>
                <w:p w14:paraId="68FEB193">
                  <w:pPr>
                    <w:pStyle w:val="4"/>
                    <w:spacing w:line="340" w:lineRule="exact"/>
                    <w:ind w:firstLine="0" w:firstLineChars="0"/>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序号</w:t>
                  </w:r>
                </w:p>
              </w:tc>
              <w:tc>
                <w:tcPr>
                  <w:tcW w:w="1034" w:type="pct"/>
                  <w:tcBorders>
                    <w:tl2br w:val="nil"/>
                    <w:tr2bl w:val="nil"/>
                  </w:tcBorders>
                  <w:vAlign w:val="center"/>
                </w:tcPr>
                <w:p w14:paraId="6E07999C">
                  <w:pPr>
                    <w:pStyle w:val="4"/>
                    <w:spacing w:line="340" w:lineRule="exact"/>
                    <w:ind w:firstLine="0" w:firstLineChars="0"/>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提示图形符号</w:t>
                  </w:r>
                </w:p>
              </w:tc>
              <w:tc>
                <w:tcPr>
                  <w:tcW w:w="1029" w:type="pct"/>
                  <w:tcBorders>
                    <w:tl2br w:val="nil"/>
                    <w:tr2bl w:val="nil"/>
                  </w:tcBorders>
                  <w:vAlign w:val="center"/>
                </w:tcPr>
                <w:p w14:paraId="13E2AFA1">
                  <w:pPr>
                    <w:pStyle w:val="4"/>
                    <w:spacing w:line="340" w:lineRule="exact"/>
                    <w:ind w:firstLine="0" w:firstLineChars="0"/>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警告图形符号</w:t>
                  </w:r>
                </w:p>
              </w:tc>
              <w:tc>
                <w:tcPr>
                  <w:tcW w:w="952" w:type="pct"/>
                  <w:tcBorders>
                    <w:tl2br w:val="nil"/>
                    <w:tr2bl w:val="nil"/>
                  </w:tcBorders>
                  <w:vAlign w:val="center"/>
                </w:tcPr>
                <w:p w14:paraId="3EF121B9">
                  <w:pPr>
                    <w:pStyle w:val="4"/>
                    <w:spacing w:line="340" w:lineRule="exact"/>
                    <w:ind w:firstLine="0" w:firstLineChars="0"/>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名称</w:t>
                  </w:r>
                </w:p>
              </w:tc>
              <w:tc>
                <w:tcPr>
                  <w:tcW w:w="1578" w:type="pct"/>
                  <w:tcBorders>
                    <w:tl2br w:val="nil"/>
                    <w:tr2bl w:val="nil"/>
                  </w:tcBorders>
                  <w:vAlign w:val="center"/>
                </w:tcPr>
                <w:p w14:paraId="23A39457">
                  <w:pPr>
                    <w:pStyle w:val="4"/>
                    <w:spacing w:line="340" w:lineRule="exact"/>
                    <w:ind w:firstLine="0" w:firstLineChars="0"/>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功能</w:t>
                  </w:r>
                </w:p>
              </w:tc>
            </w:tr>
            <w:tr w14:paraId="27173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30" w:hRule="atLeast"/>
                <w:jc w:val="center"/>
              </w:trPr>
              <w:tc>
                <w:tcPr>
                  <w:tcW w:w="403" w:type="pct"/>
                  <w:tcBorders>
                    <w:tl2br w:val="nil"/>
                    <w:tr2bl w:val="nil"/>
                  </w:tcBorders>
                  <w:vAlign w:val="center"/>
                </w:tcPr>
                <w:p w14:paraId="3D773A77">
                  <w:pPr>
                    <w:pStyle w:val="4"/>
                    <w:spacing w:line="34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1034" w:type="pct"/>
                  <w:tcBorders>
                    <w:tl2br w:val="nil"/>
                    <w:tr2bl w:val="nil"/>
                  </w:tcBorders>
                  <w:vAlign w:val="center"/>
                </w:tcPr>
                <w:p w14:paraId="18B67E75">
                  <w:pPr>
                    <w:pStyle w:val="4"/>
                    <w:spacing w:line="340" w:lineRule="exact"/>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drawing>
                      <wp:anchor distT="0" distB="0" distL="114300" distR="114300" simplePos="0" relativeHeight="251661312" behindDoc="0" locked="0" layoutInCell="1" allowOverlap="1">
                        <wp:simplePos x="0" y="0"/>
                        <wp:positionH relativeFrom="column">
                          <wp:posOffset>96520</wp:posOffset>
                        </wp:positionH>
                        <wp:positionV relativeFrom="paragraph">
                          <wp:posOffset>23495</wp:posOffset>
                        </wp:positionV>
                        <wp:extent cx="781050" cy="781050"/>
                        <wp:effectExtent l="0" t="0" r="0" b="0"/>
                        <wp:wrapNone/>
                        <wp:docPr id="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1"/>
                                <pic:cNvPicPr>
                                  <a:picLocks noChangeAspect="1"/>
                                </pic:cNvPicPr>
                              </pic:nvPicPr>
                              <pic:blipFill>
                                <a:blip r:embed="rId24"/>
                                <a:stretch>
                                  <a:fillRect/>
                                </a:stretch>
                              </pic:blipFill>
                              <pic:spPr>
                                <a:xfrm>
                                  <a:off x="0" y="0"/>
                                  <a:ext cx="781050" cy="781050"/>
                                </a:xfrm>
                                <a:prstGeom prst="rect">
                                  <a:avLst/>
                                </a:prstGeom>
                                <a:noFill/>
                                <a:ln>
                                  <a:noFill/>
                                </a:ln>
                              </pic:spPr>
                            </pic:pic>
                          </a:graphicData>
                        </a:graphic>
                      </wp:anchor>
                    </w:drawing>
                  </w:r>
                </w:p>
              </w:tc>
              <w:tc>
                <w:tcPr>
                  <w:tcW w:w="1029" w:type="pct"/>
                  <w:tcBorders>
                    <w:tl2br w:val="nil"/>
                    <w:tr2bl w:val="nil"/>
                  </w:tcBorders>
                  <w:vAlign w:val="center"/>
                </w:tcPr>
                <w:p w14:paraId="1DFAA614">
                  <w:pPr>
                    <w:pStyle w:val="4"/>
                    <w:spacing w:line="34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drawing>
                      <wp:anchor distT="0" distB="0" distL="114300" distR="114300" simplePos="0" relativeHeight="251662336" behindDoc="0" locked="0" layoutInCell="1" allowOverlap="1">
                        <wp:simplePos x="0" y="0"/>
                        <wp:positionH relativeFrom="column">
                          <wp:posOffset>97155</wp:posOffset>
                        </wp:positionH>
                        <wp:positionV relativeFrom="paragraph">
                          <wp:posOffset>16510</wp:posOffset>
                        </wp:positionV>
                        <wp:extent cx="819150" cy="828675"/>
                        <wp:effectExtent l="0" t="0" r="0" b="9525"/>
                        <wp:wrapNone/>
                        <wp:docPr id="9"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2"/>
                                <pic:cNvPicPr>
                                  <a:picLocks noChangeAspect="1"/>
                                </pic:cNvPicPr>
                              </pic:nvPicPr>
                              <pic:blipFill>
                                <a:blip r:embed="rId25"/>
                                <a:stretch>
                                  <a:fillRect/>
                                </a:stretch>
                              </pic:blipFill>
                              <pic:spPr>
                                <a:xfrm>
                                  <a:off x="0" y="0"/>
                                  <a:ext cx="819150" cy="828675"/>
                                </a:xfrm>
                                <a:prstGeom prst="rect">
                                  <a:avLst/>
                                </a:prstGeom>
                                <a:noFill/>
                                <a:ln>
                                  <a:noFill/>
                                </a:ln>
                              </pic:spPr>
                            </pic:pic>
                          </a:graphicData>
                        </a:graphic>
                      </wp:anchor>
                    </w:drawing>
                  </w:r>
                </w:p>
              </w:tc>
              <w:tc>
                <w:tcPr>
                  <w:tcW w:w="952" w:type="pct"/>
                  <w:tcBorders>
                    <w:tl2br w:val="nil"/>
                    <w:tr2bl w:val="nil"/>
                  </w:tcBorders>
                  <w:vAlign w:val="center"/>
                </w:tcPr>
                <w:p w14:paraId="05B59624">
                  <w:pPr>
                    <w:pStyle w:val="4"/>
                    <w:spacing w:line="34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废气排放口</w:t>
                  </w:r>
                </w:p>
              </w:tc>
              <w:tc>
                <w:tcPr>
                  <w:tcW w:w="1578" w:type="pct"/>
                  <w:tcBorders>
                    <w:tl2br w:val="nil"/>
                    <w:tr2bl w:val="nil"/>
                  </w:tcBorders>
                  <w:vAlign w:val="center"/>
                </w:tcPr>
                <w:p w14:paraId="7315EA6A">
                  <w:pPr>
                    <w:pStyle w:val="4"/>
                    <w:spacing w:line="34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表示废气向大气环境排放</w:t>
                  </w:r>
                </w:p>
              </w:tc>
            </w:tr>
            <w:tr w14:paraId="7B060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12" w:hRule="atLeast"/>
                <w:jc w:val="center"/>
              </w:trPr>
              <w:tc>
                <w:tcPr>
                  <w:tcW w:w="403" w:type="pct"/>
                  <w:tcBorders>
                    <w:tl2br w:val="nil"/>
                    <w:tr2bl w:val="nil"/>
                  </w:tcBorders>
                  <w:vAlign w:val="center"/>
                </w:tcPr>
                <w:p w14:paraId="3F8C6DF3">
                  <w:pPr>
                    <w:pStyle w:val="4"/>
                    <w:spacing w:line="34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w:t>
                  </w:r>
                </w:p>
              </w:tc>
              <w:tc>
                <w:tcPr>
                  <w:tcW w:w="1034" w:type="pct"/>
                  <w:tcBorders>
                    <w:tl2br w:val="nil"/>
                    <w:tr2bl w:val="nil"/>
                  </w:tcBorders>
                  <w:vAlign w:val="center"/>
                </w:tcPr>
                <w:p w14:paraId="76990840">
                  <w:pPr>
                    <w:pStyle w:val="4"/>
                    <w:spacing w:line="34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drawing>
                      <wp:anchor distT="0" distB="0" distL="114300" distR="114300" simplePos="0" relativeHeight="251663360" behindDoc="0" locked="0" layoutInCell="1" allowOverlap="1">
                        <wp:simplePos x="0" y="0"/>
                        <wp:positionH relativeFrom="column">
                          <wp:posOffset>93980</wp:posOffset>
                        </wp:positionH>
                        <wp:positionV relativeFrom="paragraph">
                          <wp:posOffset>71755</wp:posOffset>
                        </wp:positionV>
                        <wp:extent cx="762000" cy="752475"/>
                        <wp:effectExtent l="0" t="0" r="0" b="9525"/>
                        <wp:wrapNone/>
                        <wp:docPr id="13"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5"/>
                                <pic:cNvPicPr>
                                  <a:picLocks noChangeAspect="1"/>
                                </pic:cNvPicPr>
                              </pic:nvPicPr>
                              <pic:blipFill>
                                <a:blip r:embed="rId26"/>
                                <a:stretch>
                                  <a:fillRect/>
                                </a:stretch>
                              </pic:blipFill>
                              <pic:spPr>
                                <a:xfrm>
                                  <a:off x="0" y="0"/>
                                  <a:ext cx="762000" cy="752475"/>
                                </a:xfrm>
                                <a:prstGeom prst="rect">
                                  <a:avLst/>
                                </a:prstGeom>
                                <a:noFill/>
                                <a:ln>
                                  <a:noFill/>
                                </a:ln>
                              </pic:spPr>
                            </pic:pic>
                          </a:graphicData>
                        </a:graphic>
                      </wp:anchor>
                    </w:drawing>
                  </w:r>
                </w:p>
              </w:tc>
              <w:tc>
                <w:tcPr>
                  <w:tcW w:w="1029" w:type="pct"/>
                  <w:tcBorders>
                    <w:tl2br w:val="nil"/>
                    <w:tr2bl w:val="nil"/>
                  </w:tcBorders>
                  <w:vAlign w:val="center"/>
                </w:tcPr>
                <w:p w14:paraId="19F8E7C7">
                  <w:pPr>
                    <w:pStyle w:val="4"/>
                    <w:spacing w:line="34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drawing>
                      <wp:anchor distT="0" distB="0" distL="114300" distR="114300" simplePos="0" relativeHeight="251664384" behindDoc="0" locked="0" layoutInCell="1" allowOverlap="1">
                        <wp:simplePos x="0" y="0"/>
                        <wp:positionH relativeFrom="column">
                          <wp:posOffset>92710</wp:posOffset>
                        </wp:positionH>
                        <wp:positionV relativeFrom="paragraph">
                          <wp:posOffset>22860</wp:posOffset>
                        </wp:positionV>
                        <wp:extent cx="847725" cy="790575"/>
                        <wp:effectExtent l="0" t="0" r="9525" b="9525"/>
                        <wp:wrapNone/>
                        <wp:docPr id="15"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6"/>
                                <pic:cNvPicPr>
                                  <a:picLocks noChangeAspect="1"/>
                                </pic:cNvPicPr>
                              </pic:nvPicPr>
                              <pic:blipFill>
                                <a:blip r:embed="rId27"/>
                                <a:stretch>
                                  <a:fillRect/>
                                </a:stretch>
                              </pic:blipFill>
                              <pic:spPr>
                                <a:xfrm>
                                  <a:off x="0" y="0"/>
                                  <a:ext cx="847725" cy="790575"/>
                                </a:xfrm>
                                <a:prstGeom prst="rect">
                                  <a:avLst/>
                                </a:prstGeom>
                                <a:noFill/>
                                <a:ln>
                                  <a:noFill/>
                                </a:ln>
                              </pic:spPr>
                            </pic:pic>
                          </a:graphicData>
                        </a:graphic>
                      </wp:anchor>
                    </w:drawing>
                  </w:r>
                </w:p>
              </w:tc>
              <w:tc>
                <w:tcPr>
                  <w:tcW w:w="952" w:type="pct"/>
                  <w:tcBorders>
                    <w:tl2br w:val="nil"/>
                    <w:tr2bl w:val="nil"/>
                  </w:tcBorders>
                  <w:vAlign w:val="center"/>
                </w:tcPr>
                <w:p w14:paraId="509B30C9">
                  <w:pPr>
                    <w:pStyle w:val="4"/>
                    <w:spacing w:line="34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一般固体废物</w:t>
                  </w:r>
                </w:p>
              </w:tc>
              <w:tc>
                <w:tcPr>
                  <w:tcW w:w="1578" w:type="pct"/>
                  <w:tcBorders>
                    <w:tl2br w:val="nil"/>
                    <w:tr2bl w:val="nil"/>
                  </w:tcBorders>
                  <w:vAlign w:val="center"/>
                </w:tcPr>
                <w:p w14:paraId="38791261">
                  <w:pPr>
                    <w:pStyle w:val="4"/>
                    <w:spacing w:line="34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表示一般固体废物贮存、处置场</w:t>
                  </w:r>
                </w:p>
              </w:tc>
            </w:tr>
            <w:tr w14:paraId="4F4CD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56" w:hRule="atLeast"/>
                <w:jc w:val="center"/>
              </w:trPr>
              <w:tc>
                <w:tcPr>
                  <w:tcW w:w="403" w:type="pct"/>
                  <w:tcBorders>
                    <w:tl2br w:val="nil"/>
                    <w:tr2bl w:val="nil"/>
                  </w:tcBorders>
                  <w:vAlign w:val="center"/>
                </w:tcPr>
                <w:p w14:paraId="0015609C">
                  <w:pPr>
                    <w:pStyle w:val="4"/>
                    <w:spacing w:line="34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w:t>
                  </w:r>
                </w:p>
              </w:tc>
              <w:tc>
                <w:tcPr>
                  <w:tcW w:w="1034" w:type="pct"/>
                  <w:tcBorders>
                    <w:tl2br w:val="nil"/>
                    <w:tr2bl w:val="nil"/>
                  </w:tcBorders>
                  <w:vAlign w:val="center"/>
                </w:tcPr>
                <w:p w14:paraId="2D71CB28">
                  <w:pPr>
                    <w:pStyle w:val="4"/>
                    <w:spacing w:line="34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drawing>
                      <wp:anchor distT="0" distB="0" distL="114300" distR="114300" simplePos="0" relativeHeight="251665408" behindDoc="0" locked="0" layoutInCell="1" allowOverlap="1">
                        <wp:simplePos x="0" y="0"/>
                        <wp:positionH relativeFrom="column">
                          <wp:posOffset>98425</wp:posOffset>
                        </wp:positionH>
                        <wp:positionV relativeFrom="paragraph">
                          <wp:posOffset>38100</wp:posOffset>
                        </wp:positionV>
                        <wp:extent cx="793115" cy="793115"/>
                        <wp:effectExtent l="0" t="0" r="6985" b="6985"/>
                        <wp:wrapNone/>
                        <wp:docPr id="16"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7"/>
                                <pic:cNvPicPr>
                                  <a:picLocks noChangeAspect="1"/>
                                </pic:cNvPicPr>
                              </pic:nvPicPr>
                              <pic:blipFill>
                                <a:blip r:embed="rId28"/>
                                <a:stretch>
                                  <a:fillRect/>
                                </a:stretch>
                              </pic:blipFill>
                              <pic:spPr>
                                <a:xfrm>
                                  <a:off x="0" y="0"/>
                                  <a:ext cx="793115" cy="793115"/>
                                </a:xfrm>
                                <a:prstGeom prst="rect">
                                  <a:avLst/>
                                </a:prstGeom>
                                <a:noFill/>
                                <a:ln>
                                  <a:noFill/>
                                </a:ln>
                              </pic:spPr>
                            </pic:pic>
                          </a:graphicData>
                        </a:graphic>
                      </wp:anchor>
                    </w:drawing>
                  </w:r>
                </w:p>
              </w:tc>
              <w:tc>
                <w:tcPr>
                  <w:tcW w:w="1029" w:type="pct"/>
                  <w:tcBorders>
                    <w:tl2br w:val="nil"/>
                    <w:tr2bl w:val="nil"/>
                  </w:tcBorders>
                  <w:vAlign w:val="center"/>
                </w:tcPr>
                <w:p w14:paraId="616EBE41">
                  <w:pPr>
                    <w:pStyle w:val="4"/>
                    <w:spacing w:line="34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drawing>
                      <wp:anchor distT="0" distB="0" distL="114300" distR="114300" simplePos="0" relativeHeight="251666432" behindDoc="0" locked="0" layoutInCell="1" allowOverlap="1">
                        <wp:simplePos x="0" y="0"/>
                        <wp:positionH relativeFrom="column">
                          <wp:posOffset>50165</wp:posOffset>
                        </wp:positionH>
                        <wp:positionV relativeFrom="paragraph">
                          <wp:posOffset>26670</wp:posOffset>
                        </wp:positionV>
                        <wp:extent cx="905510" cy="807720"/>
                        <wp:effectExtent l="0" t="0" r="8890" b="11430"/>
                        <wp:wrapNone/>
                        <wp:docPr id="17"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8"/>
                                <pic:cNvPicPr>
                                  <a:picLocks noChangeAspect="1"/>
                                </pic:cNvPicPr>
                              </pic:nvPicPr>
                              <pic:blipFill>
                                <a:blip r:embed="rId29"/>
                                <a:stretch>
                                  <a:fillRect/>
                                </a:stretch>
                              </pic:blipFill>
                              <pic:spPr>
                                <a:xfrm>
                                  <a:off x="0" y="0"/>
                                  <a:ext cx="905510" cy="807720"/>
                                </a:xfrm>
                                <a:prstGeom prst="rect">
                                  <a:avLst/>
                                </a:prstGeom>
                                <a:noFill/>
                                <a:ln>
                                  <a:noFill/>
                                </a:ln>
                              </pic:spPr>
                            </pic:pic>
                          </a:graphicData>
                        </a:graphic>
                      </wp:anchor>
                    </w:drawing>
                  </w:r>
                </w:p>
              </w:tc>
              <w:tc>
                <w:tcPr>
                  <w:tcW w:w="952" w:type="pct"/>
                  <w:tcBorders>
                    <w:tl2br w:val="nil"/>
                    <w:tr2bl w:val="nil"/>
                  </w:tcBorders>
                  <w:vAlign w:val="center"/>
                </w:tcPr>
                <w:p w14:paraId="196A97DB">
                  <w:pPr>
                    <w:pStyle w:val="4"/>
                    <w:spacing w:line="34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噪声排放源</w:t>
                  </w:r>
                </w:p>
              </w:tc>
              <w:tc>
                <w:tcPr>
                  <w:tcW w:w="1578" w:type="pct"/>
                  <w:tcBorders>
                    <w:tl2br w:val="nil"/>
                    <w:tr2bl w:val="nil"/>
                  </w:tcBorders>
                  <w:vAlign w:val="center"/>
                </w:tcPr>
                <w:p w14:paraId="394554CE">
                  <w:pPr>
                    <w:pStyle w:val="4"/>
                    <w:spacing w:line="34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表示噪声向外环境排放</w:t>
                  </w:r>
                </w:p>
              </w:tc>
            </w:tr>
            <w:tr w14:paraId="2CB48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35" w:hRule="atLeast"/>
                <w:jc w:val="center"/>
              </w:trPr>
              <w:tc>
                <w:tcPr>
                  <w:tcW w:w="403" w:type="pct"/>
                  <w:tcBorders>
                    <w:tl2br w:val="nil"/>
                    <w:tr2bl w:val="nil"/>
                  </w:tcBorders>
                  <w:vAlign w:val="center"/>
                </w:tcPr>
                <w:p w14:paraId="330357DF">
                  <w:pPr>
                    <w:pStyle w:val="4"/>
                    <w:spacing w:line="34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w:t>
                  </w:r>
                </w:p>
              </w:tc>
              <w:tc>
                <w:tcPr>
                  <w:tcW w:w="1034" w:type="pct"/>
                  <w:tcBorders>
                    <w:tl2br w:val="nil"/>
                    <w:tr2bl w:val="nil"/>
                  </w:tcBorders>
                  <w:vAlign w:val="center"/>
                </w:tcPr>
                <w:p w14:paraId="488A7FDB">
                  <w:pPr>
                    <w:pStyle w:val="4"/>
                    <w:spacing w:line="34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1029" w:type="pct"/>
                  <w:tcBorders>
                    <w:tl2br w:val="nil"/>
                    <w:tr2bl w:val="nil"/>
                  </w:tcBorders>
                  <w:vAlign w:val="center"/>
                </w:tcPr>
                <w:p w14:paraId="54AF57A0">
                  <w:pPr>
                    <w:pStyle w:val="4"/>
                    <w:spacing w:line="340" w:lineRule="exact"/>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drawing>
                      <wp:anchor distT="0" distB="0" distL="114300" distR="114300" simplePos="0" relativeHeight="251667456" behindDoc="0" locked="0" layoutInCell="1" allowOverlap="1">
                        <wp:simplePos x="0" y="0"/>
                        <wp:positionH relativeFrom="column">
                          <wp:posOffset>0</wp:posOffset>
                        </wp:positionH>
                        <wp:positionV relativeFrom="paragraph">
                          <wp:posOffset>-946785</wp:posOffset>
                        </wp:positionV>
                        <wp:extent cx="949960" cy="1463040"/>
                        <wp:effectExtent l="0" t="0" r="2540" b="3810"/>
                        <wp:wrapSquare wrapText="bothSides"/>
                        <wp:docPr id="2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
                                <pic:cNvPicPr>
                                  <a:picLocks noChangeAspect="1"/>
                                </pic:cNvPicPr>
                              </pic:nvPicPr>
                              <pic:blipFill>
                                <a:blip r:embed="rId30"/>
                                <a:stretch>
                                  <a:fillRect/>
                                </a:stretch>
                              </pic:blipFill>
                              <pic:spPr>
                                <a:xfrm>
                                  <a:off x="0" y="0"/>
                                  <a:ext cx="949960" cy="1463040"/>
                                </a:xfrm>
                                <a:prstGeom prst="rect">
                                  <a:avLst/>
                                </a:prstGeom>
                                <a:noFill/>
                                <a:ln>
                                  <a:noFill/>
                                </a:ln>
                              </pic:spPr>
                            </pic:pic>
                          </a:graphicData>
                        </a:graphic>
                      </wp:anchor>
                    </w:drawing>
                  </w:r>
                </w:p>
              </w:tc>
              <w:tc>
                <w:tcPr>
                  <w:tcW w:w="952" w:type="pct"/>
                  <w:tcBorders>
                    <w:tl2br w:val="nil"/>
                    <w:tr2bl w:val="nil"/>
                  </w:tcBorders>
                  <w:vAlign w:val="center"/>
                </w:tcPr>
                <w:p w14:paraId="2028EC7B">
                  <w:pPr>
                    <w:pStyle w:val="4"/>
                    <w:spacing w:line="34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危废贮存间</w:t>
                  </w:r>
                </w:p>
              </w:tc>
              <w:tc>
                <w:tcPr>
                  <w:tcW w:w="1578" w:type="pct"/>
                  <w:tcBorders>
                    <w:tl2br w:val="nil"/>
                    <w:tr2bl w:val="nil"/>
                  </w:tcBorders>
                  <w:vAlign w:val="center"/>
                </w:tcPr>
                <w:p w14:paraId="31DFE9DB">
                  <w:pPr>
                    <w:pStyle w:val="4"/>
                    <w:spacing w:line="34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表示危废贮存场所</w:t>
                  </w:r>
                </w:p>
              </w:tc>
            </w:tr>
          </w:tbl>
          <w:p w14:paraId="336B3E48">
            <w:pPr>
              <w:spacing w:line="340" w:lineRule="exact"/>
              <w:jc w:val="center"/>
              <w:rPr>
                <w:rFonts w:hint="default" w:ascii="Times New Roman" w:hAnsi="Times New Roman" w:cs="Times New Roman"/>
                <w:b/>
                <w:bCs/>
                <w:color w:val="auto"/>
                <w:sz w:val="24"/>
                <w:szCs w:val="24"/>
                <w:highlight w:val="none"/>
              </w:rPr>
            </w:pPr>
            <w:r>
              <w:rPr>
                <w:rFonts w:hint="default" w:ascii="Times New Roman" w:hAnsi="Times New Roman" w:cs="Times New Roman"/>
                <w:b/>
                <w:bCs/>
                <w:color w:val="auto"/>
                <w:sz w:val="24"/>
                <w:szCs w:val="24"/>
                <w:highlight w:val="none"/>
              </w:rPr>
              <w:t>表</w:t>
            </w:r>
            <w:r>
              <w:rPr>
                <w:rFonts w:hint="eastAsia" w:ascii="Times New Roman" w:hAnsi="Times New Roman" w:cs="Times New Roman"/>
                <w:b/>
                <w:bCs/>
                <w:color w:val="auto"/>
                <w:sz w:val="24"/>
                <w:szCs w:val="24"/>
                <w:highlight w:val="none"/>
                <w:lang w:val="en-US" w:eastAsia="zh-CN"/>
              </w:rPr>
              <w:t>36</w:t>
            </w:r>
            <w:r>
              <w:rPr>
                <w:rFonts w:hint="default" w:ascii="Times New Roman" w:hAnsi="Times New Roman" w:cs="Times New Roman"/>
                <w:b/>
                <w:bCs/>
                <w:color w:val="auto"/>
                <w:sz w:val="24"/>
                <w:szCs w:val="24"/>
                <w:highlight w:val="none"/>
              </w:rPr>
              <w:t>危险废物标识要求</w:t>
            </w:r>
          </w:p>
          <w:tbl>
            <w:tblPr>
              <w:tblStyle w:val="34"/>
              <w:tblW w:w="5000"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059"/>
              <w:gridCol w:w="2805"/>
              <w:gridCol w:w="3955"/>
            </w:tblGrid>
            <w:tr w14:paraId="61A2EF3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00" w:hRule="atLeast"/>
                <w:jc w:val="center"/>
              </w:trPr>
              <w:tc>
                <w:tcPr>
                  <w:tcW w:w="677" w:type="pct"/>
                  <w:vAlign w:val="center"/>
                </w:tcPr>
                <w:p w14:paraId="4079C550">
                  <w:pPr>
                    <w:spacing w:line="340" w:lineRule="exac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场合</w:t>
                  </w:r>
                </w:p>
              </w:tc>
              <w:tc>
                <w:tcPr>
                  <w:tcW w:w="1793" w:type="pct"/>
                  <w:vAlign w:val="center"/>
                </w:tcPr>
                <w:p w14:paraId="5B2FE90D">
                  <w:pPr>
                    <w:spacing w:line="340" w:lineRule="exac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样式</w:t>
                  </w:r>
                </w:p>
              </w:tc>
              <w:tc>
                <w:tcPr>
                  <w:tcW w:w="2529" w:type="pct"/>
                  <w:vAlign w:val="center"/>
                </w:tcPr>
                <w:p w14:paraId="0873A44E">
                  <w:pPr>
                    <w:pStyle w:val="4"/>
                    <w:spacing w:line="340" w:lineRule="exact"/>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要求</w:t>
                  </w:r>
                </w:p>
              </w:tc>
            </w:tr>
            <w:tr w14:paraId="4161731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944" w:hRule="atLeast"/>
                <w:jc w:val="center"/>
              </w:trPr>
              <w:tc>
                <w:tcPr>
                  <w:tcW w:w="677" w:type="pct"/>
                  <w:vAlign w:val="center"/>
                </w:tcPr>
                <w:p w14:paraId="7BDAB4E5">
                  <w:pPr>
                    <w:spacing w:line="340" w:lineRule="exac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室外（粘贴于门上或悬挂）</w:t>
                  </w:r>
                </w:p>
              </w:tc>
              <w:tc>
                <w:tcPr>
                  <w:tcW w:w="1793" w:type="pct"/>
                  <w:vAlign w:val="center"/>
                </w:tcPr>
                <w:p w14:paraId="7539B98C">
                  <w:pPr>
                    <w:spacing w:line="340" w:lineRule="exac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drawing>
                      <wp:anchor distT="0" distB="0" distL="114300" distR="114300" simplePos="0" relativeHeight="251668480" behindDoc="0" locked="0" layoutInCell="1" allowOverlap="1">
                        <wp:simplePos x="0" y="0"/>
                        <wp:positionH relativeFrom="column">
                          <wp:posOffset>0</wp:posOffset>
                        </wp:positionH>
                        <wp:positionV relativeFrom="paragraph">
                          <wp:posOffset>-346710</wp:posOffset>
                        </wp:positionV>
                        <wp:extent cx="1642110" cy="1013460"/>
                        <wp:effectExtent l="0" t="0" r="15240" b="15240"/>
                        <wp:wrapSquare wrapText="bothSides"/>
                        <wp:docPr id="2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3"/>
                                <pic:cNvPicPr>
                                  <a:picLocks noChangeAspect="1"/>
                                </pic:cNvPicPr>
                              </pic:nvPicPr>
                              <pic:blipFill>
                                <a:blip r:embed="rId31"/>
                                <a:stretch>
                                  <a:fillRect/>
                                </a:stretch>
                              </pic:blipFill>
                              <pic:spPr>
                                <a:xfrm>
                                  <a:off x="0" y="0"/>
                                  <a:ext cx="1642110" cy="1013460"/>
                                </a:xfrm>
                                <a:prstGeom prst="rect">
                                  <a:avLst/>
                                </a:prstGeom>
                                <a:noFill/>
                                <a:ln>
                                  <a:noFill/>
                                </a:ln>
                              </pic:spPr>
                            </pic:pic>
                          </a:graphicData>
                        </a:graphic>
                      </wp:anchor>
                    </w:drawing>
                  </w:r>
                </w:p>
              </w:tc>
              <w:tc>
                <w:tcPr>
                  <w:tcW w:w="2529" w:type="pct"/>
                  <w:vAlign w:val="center"/>
                </w:tcPr>
                <w:p w14:paraId="643E965D">
                  <w:pPr>
                    <w:pStyle w:val="4"/>
                    <w:spacing w:line="340" w:lineRule="exact"/>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1、危险废物标签尺寸颜色：</w:t>
                  </w:r>
                </w:p>
                <w:p w14:paraId="1695B950">
                  <w:pPr>
                    <w:pStyle w:val="4"/>
                    <w:spacing w:line="340" w:lineRule="exact"/>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形状：等边三角形，边长40cm</w:t>
                  </w:r>
                </w:p>
                <w:p w14:paraId="2CC53501">
                  <w:pPr>
                    <w:pStyle w:val="4"/>
                    <w:spacing w:line="340" w:lineRule="exact"/>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颜色：背景为黄色，图形为黑色</w:t>
                  </w:r>
                </w:p>
                <w:p w14:paraId="1C03056D">
                  <w:pPr>
                    <w:pStyle w:val="4"/>
                    <w:spacing w:line="340" w:lineRule="exact"/>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字体：黑体字，字体颜色：黑色</w:t>
                  </w:r>
                </w:p>
                <w:p w14:paraId="37B626EC">
                  <w:pPr>
                    <w:pStyle w:val="4"/>
                    <w:spacing w:line="340" w:lineRule="exact"/>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2、危险类别：按危险废物种类选择</w:t>
                  </w:r>
                </w:p>
              </w:tc>
            </w:tr>
            <w:tr w14:paraId="1165D0B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677" w:type="pct"/>
                  <w:vAlign w:val="center"/>
                </w:tcPr>
                <w:p w14:paraId="5CDA2369">
                  <w:pPr>
                    <w:spacing w:line="340" w:lineRule="exac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粘贴于危险废物储存容器</w:t>
                  </w:r>
                </w:p>
              </w:tc>
              <w:tc>
                <w:tcPr>
                  <w:tcW w:w="1793" w:type="pct"/>
                  <w:vAlign w:val="center"/>
                </w:tcPr>
                <w:p w14:paraId="70EBFD7A">
                  <w:pPr>
                    <w:spacing w:line="340" w:lineRule="exact"/>
                    <w:jc w:val="both"/>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drawing>
                      <wp:anchor distT="0" distB="0" distL="114300" distR="114300" simplePos="0" relativeHeight="251669504" behindDoc="0" locked="0" layoutInCell="1" allowOverlap="1">
                        <wp:simplePos x="0" y="0"/>
                        <wp:positionH relativeFrom="column">
                          <wp:posOffset>-30480</wp:posOffset>
                        </wp:positionH>
                        <wp:positionV relativeFrom="paragraph">
                          <wp:posOffset>8890</wp:posOffset>
                        </wp:positionV>
                        <wp:extent cx="1642110" cy="1642110"/>
                        <wp:effectExtent l="0" t="0" r="15240" b="15240"/>
                        <wp:wrapSquare wrapText="bothSides"/>
                        <wp:docPr id="2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4"/>
                                <pic:cNvPicPr>
                                  <a:picLocks noChangeAspect="1"/>
                                </pic:cNvPicPr>
                              </pic:nvPicPr>
                              <pic:blipFill>
                                <a:blip r:embed="rId32"/>
                                <a:stretch>
                                  <a:fillRect/>
                                </a:stretch>
                              </pic:blipFill>
                              <pic:spPr>
                                <a:xfrm>
                                  <a:off x="0" y="0"/>
                                  <a:ext cx="1642110" cy="1642110"/>
                                </a:xfrm>
                                <a:prstGeom prst="rect">
                                  <a:avLst/>
                                </a:prstGeom>
                                <a:noFill/>
                                <a:ln>
                                  <a:noFill/>
                                </a:ln>
                              </pic:spPr>
                            </pic:pic>
                          </a:graphicData>
                        </a:graphic>
                      </wp:anchor>
                    </w:drawing>
                  </w:r>
                </w:p>
              </w:tc>
              <w:tc>
                <w:tcPr>
                  <w:tcW w:w="2529" w:type="pct"/>
                  <w:vAlign w:val="center"/>
                </w:tcPr>
                <w:p w14:paraId="540E3645">
                  <w:pPr>
                    <w:pStyle w:val="4"/>
                    <w:spacing w:line="340" w:lineRule="exact"/>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1、危险废物标签尺寸颜色：</w:t>
                  </w:r>
                </w:p>
                <w:p w14:paraId="54689240">
                  <w:pPr>
                    <w:pStyle w:val="4"/>
                    <w:spacing w:line="340" w:lineRule="exact"/>
                    <w:ind w:firstLine="0" w:firstLineChars="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尺寸：20×20cm</w:t>
                  </w:r>
                  <w:r>
                    <w:rPr>
                      <w:rFonts w:hint="default" w:ascii="Times New Roman" w:hAnsi="Times New Roman" w:eastAsia="宋体" w:cs="Times New Roman"/>
                      <w:color w:val="auto"/>
                      <w:sz w:val="21"/>
                      <w:szCs w:val="21"/>
                      <w:highlight w:val="none"/>
                      <w:lang w:eastAsia="zh-CN"/>
                    </w:rPr>
                    <w:t>（大于</w:t>
                  </w:r>
                  <w:r>
                    <w:rPr>
                      <w:rFonts w:hint="default" w:ascii="Times New Roman" w:hAnsi="Times New Roman" w:eastAsia="宋体" w:cs="Times New Roman"/>
                      <w:color w:val="auto"/>
                      <w:sz w:val="21"/>
                      <w:szCs w:val="21"/>
                      <w:highlight w:val="none"/>
                      <w:lang w:val="en-US" w:eastAsia="zh-CN"/>
                    </w:rPr>
                    <w:t>450L</w:t>
                  </w:r>
                  <w:r>
                    <w:rPr>
                      <w:rFonts w:hint="default" w:ascii="Times New Roman" w:hAnsi="Times New Roman" w:eastAsia="宋体" w:cs="Times New Roman"/>
                      <w:color w:val="auto"/>
                      <w:sz w:val="21"/>
                      <w:szCs w:val="21"/>
                      <w:highlight w:val="none"/>
                      <w:lang w:eastAsia="zh-CN"/>
                    </w:rPr>
                    <w:t>）</w:t>
                  </w:r>
                </w:p>
                <w:p w14:paraId="6F3ADC9F">
                  <w:pPr>
                    <w:pStyle w:val="4"/>
                    <w:spacing w:line="340" w:lineRule="exact"/>
                    <w:ind w:firstLine="0" w:firstLineChars="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15</w:t>
                  </w: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lang w:val="en-US" w:eastAsia="zh-CN"/>
                    </w:rPr>
                    <w:t>15</w:t>
                  </w:r>
                  <w:r>
                    <w:rPr>
                      <w:rFonts w:hint="default" w:ascii="Times New Roman" w:hAnsi="Times New Roman" w:eastAsia="宋体" w:cs="Times New Roman"/>
                      <w:color w:val="auto"/>
                      <w:sz w:val="21"/>
                      <w:szCs w:val="21"/>
                      <w:highlight w:val="none"/>
                    </w:rPr>
                    <w:t>cm</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50-450L</w:t>
                  </w:r>
                  <w:r>
                    <w:rPr>
                      <w:rFonts w:hint="default" w:ascii="Times New Roman" w:hAnsi="Times New Roman" w:eastAsia="宋体" w:cs="Times New Roman"/>
                      <w:color w:val="auto"/>
                      <w:sz w:val="21"/>
                      <w:szCs w:val="21"/>
                      <w:highlight w:val="none"/>
                      <w:lang w:eastAsia="zh-CN"/>
                    </w:rPr>
                    <w:t>）</w:t>
                  </w:r>
                </w:p>
                <w:p w14:paraId="14A91A61">
                  <w:pPr>
                    <w:pStyle w:val="4"/>
                    <w:spacing w:line="340" w:lineRule="exact"/>
                    <w:ind w:firstLine="0" w:firstLineChars="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0×</w:t>
                  </w:r>
                  <w:r>
                    <w:rPr>
                      <w:rFonts w:hint="default" w:ascii="Times New Roman" w:hAnsi="Times New Roman" w:eastAsia="宋体"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0cm</w:t>
                  </w:r>
                  <w:r>
                    <w:rPr>
                      <w:rFonts w:hint="default" w:ascii="Times New Roman" w:hAnsi="Times New Roman" w:eastAsia="宋体" w:cs="Times New Roman"/>
                      <w:color w:val="auto"/>
                      <w:sz w:val="21"/>
                      <w:szCs w:val="21"/>
                      <w:highlight w:val="none"/>
                      <w:lang w:eastAsia="zh-CN"/>
                    </w:rPr>
                    <w:t>（小于</w:t>
                  </w:r>
                  <w:r>
                    <w:rPr>
                      <w:rFonts w:hint="default" w:ascii="Times New Roman" w:hAnsi="Times New Roman" w:eastAsia="宋体" w:cs="Times New Roman"/>
                      <w:color w:val="auto"/>
                      <w:sz w:val="21"/>
                      <w:szCs w:val="21"/>
                      <w:highlight w:val="none"/>
                      <w:lang w:val="en-US" w:eastAsia="zh-CN"/>
                    </w:rPr>
                    <w:t>50L</w:t>
                  </w:r>
                  <w:r>
                    <w:rPr>
                      <w:rFonts w:hint="default" w:ascii="Times New Roman" w:hAnsi="Times New Roman" w:eastAsia="宋体" w:cs="Times New Roman"/>
                      <w:color w:val="auto"/>
                      <w:sz w:val="21"/>
                      <w:szCs w:val="21"/>
                      <w:highlight w:val="none"/>
                      <w:lang w:eastAsia="zh-CN"/>
                    </w:rPr>
                    <w:t>）</w:t>
                  </w:r>
                </w:p>
                <w:p w14:paraId="0C846B62">
                  <w:pPr>
                    <w:pStyle w:val="4"/>
                    <w:spacing w:line="340" w:lineRule="exact"/>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底色：醒目的橘黄色</w:t>
                  </w:r>
                </w:p>
                <w:p w14:paraId="5E0B8990">
                  <w:pPr>
                    <w:pStyle w:val="4"/>
                    <w:spacing w:line="340" w:lineRule="exact"/>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字体：黑体字</w:t>
                  </w:r>
                </w:p>
                <w:p w14:paraId="22BA6FC1">
                  <w:pPr>
                    <w:pStyle w:val="4"/>
                    <w:spacing w:line="340" w:lineRule="exact"/>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字体颜色：黑色</w:t>
                  </w:r>
                </w:p>
                <w:p w14:paraId="1D2751A3">
                  <w:pPr>
                    <w:pStyle w:val="4"/>
                    <w:spacing w:line="340" w:lineRule="exact"/>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2、危险类别：按危险废物种类选择</w:t>
                  </w:r>
                </w:p>
              </w:tc>
            </w:tr>
          </w:tbl>
          <w:p w14:paraId="0C60658C">
            <w:pPr>
              <w:pStyle w:val="4"/>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排污许可制度</w:t>
            </w:r>
          </w:p>
          <w:p w14:paraId="33701DF6">
            <w:pPr>
              <w:pStyle w:val="4"/>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根据《固定污染源排污许可证分类管理名录（2019年版）》（部令第11号）相关规定，针对企业事业单位和其他生产经营者污染物产生量、排放量和对环境的影响程度等因素，实行排污许可重点管理、简化管理和登记管理。根据《固定污染源排污许可分类管理名录（2019年版）》，建设单位生产属于</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二十六、橡胶和塑料制品业29-53塑料制品业292-其他</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类别，属于实施登记管理的类别，建设单位应当在启动生产设施或者发生实际排污之前填报。</w:t>
            </w:r>
          </w:p>
          <w:p w14:paraId="7A6AAC01">
            <w:pPr>
              <w:pStyle w:val="4"/>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突发环境事件应急预案</w:t>
            </w:r>
          </w:p>
          <w:p w14:paraId="6E210690">
            <w:pPr>
              <w:pStyle w:val="4"/>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企业在建设完成后未投入生产前应按相关管理要求及时编制《突发环境事件应急预案》。</w:t>
            </w:r>
          </w:p>
          <w:p w14:paraId="6B0351B9">
            <w:pPr>
              <w:pStyle w:val="4"/>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环保验收</w:t>
            </w:r>
          </w:p>
          <w:p w14:paraId="778A3255">
            <w:pPr>
              <w:pStyle w:val="4"/>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rPr>
              <w:t>本项目竣工后建设单位应依据《建设项目环境保护管理条例》和《建设项目竣工环境保护验收暂行办法》、《建设项目竣工环境保护验收技术指南污染影响类》，对配套建设的环境保护设施进行验收，编制验收报告</w:t>
            </w:r>
            <w:r>
              <w:rPr>
                <w:rFonts w:hint="default" w:ascii="Times New Roman" w:hAnsi="Times New Roman" w:cs="Times New Roman"/>
                <w:color w:val="auto"/>
                <w:sz w:val="24"/>
                <w:szCs w:val="24"/>
                <w:lang w:eastAsia="zh-CN"/>
              </w:rPr>
              <w:t>。</w:t>
            </w:r>
          </w:p>
          <w:p w14:paraId="3CA74FA5">
            <w:pPr>
              <w:pStyle w:val="4"/>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cs="Times New Roman"/>
                <w:color w:val="auto"/>
                <w:sz w:val="24"/>
                <w:szCs w:val="24"/>
                <w:lang w:eastAsia="zh-CN"/>
              </w:rPr>
            </w:pPr>
          </w:p>
          <w:p w14:paraId="082FA7D1">
            <w:pPr>
              <w:pStyle w:val="4"/>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cs="Times New Roman"/>
                <w:color w:val="auto"/>
                <w:sz w:val="24"/>
                <w:szCs w:val="24"/>
                <w:lang w:eastAsia="zh-CN"/>
              </w:rPr>
            </w:pPr>
          </w:p>
          <w:p w14:paraId="308D08D4">
            <w:pPr>
              <w:pStyle w:val="4"/>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cs="Times New Roman"/>
                <w:color w:val="auto"/>
                <w:sz w:val="24"/>
                <w:szCs w:val="24"/>
                <w:lang w:eastAsia="zh-CN"/>
              </w:rPr>
            </w:pPr>
          </w:p>
          <w:p w14:paraId="7AA9F0FD">
            <w:pPr>
              <w:pStyle w:val="4"/>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cs="Times New Roman"/>
                <w:color w:val="auto"/>
                <w:sz w:val="24"/>
                <w:szCs w:val="24"/>
                <w:lang w:eastAsia="zh-CN"/>
              </w:rPr>
            </w:pPr>
          </w:p>
          <w:p w14:paraId="3D366F8E">
            <w:pPr>
              <w:pStyle w:val="4"/>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cs="Times New Roman"/>
                <w:color w:val="auto"/>
                <w:sz w:val="24"/>
                <w:szCs w:val="24"/>
                <w:lang w:eastAsia="zh-CN"/>
              </w:rPr>
            </w:pPr>
          </w:p>
          <w:p w14:paraId="41345645">
            <w:pPr>
              <w:pStyle w:val="4"/>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cs="Times New Roman"/>
                <w:color w:val="auto"/>
                <w:sz w:val="24"/>
                <w:szCs w:val="24"/>
                <w:lang w:eastAsia="zh-CN"/>
              </w:rPr>
            </w:pPr>
          </w:p>
          <w:p w14:paraId="698CDF60">
            <w:pPr>
              <w:pStyle w:val="4"/>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cs="Times New Roman"/>
                <w:color w:val="auto"/>
                <w:sz w:val="24"/>
                <w:szCs w:val="24"/>
                <w:lang w:eastAsia="zh-CN"/>
              </w:rPr>
            </w:pPr>
          </w:p>
          <w:p w14:paraId="2F1B4EDD">
            <w:pPr>
              <w:pStyle w:val="4"/>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cs="Times New Roman"/>
                <w:color w:val="auto"/>
                <w:sz w:val="24"/>
                <w:szCs w:val="24"/>
                <w:lang w:eastAsia="zh-CN"/>
              </w:rPr>
            </w:pPr>
          </w:p>
          <w:p w14:paraId="3565364F">
            <w:pPr>
              <w:pStyle w:val="4"/>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cs="Times New Roman"/>
                <w:color w:val="auto"/>
                <w:sz w:val="24"/>
                <w:szCs w:val="24"/>
                <w:lang w:eastAsia="zh-CN"/>
              </w:rPr>
            </w:pPr>
          </w:p>
          <w:p w14:paraId="048A238E">
            <w:pPr>
              <w:pStyle w:val="4"/>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cs="Times New Roman"/>
                <w:color w:val="auto"/>
                <w:sz w:val="24"/>
                <w:szCs w:val="24"/>
                <w:lang w:eastAsia="zh-CN"/>
              </w:rPr>
            </w:pPr>
          </w:p>
          <w:p w14:paraId="42B74DBD">
            <w:pPr>
              <w:pStyle w:val="4"/>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cs="Times New Roman"/>
                <w:color w:val="auto"/>
                <w:sz w:val="24"/>
                <w:szCs w:val="24"/>
                <w:lang w:eastAsia="zh-CN"/>
              </w:rPr>
            </w:pPr>
          </w:p>
          <w:p w14:paraId="71AB02F4">
            <w:pPr>
              <w:pStyle w:val="4"/>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cs="Times New Roman"/>
                <w:color w:val="auto"/>
                <w:sz w:val="24"/>
                <w:szCs w:val="24"/>
                <w:lang w:eastAsia="zh-CN"/>
              </w:rPr>
            </w:pPr>
          </w:p>
          <w:p w14:paraId="199051F5">
            <w:pPr>
              <w:pStyle w:val="4"/>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cs="Times New Roman"/>
                <w:color w:val="auto"/>
                <w:sz w:val="24"/>
                <w:szCs w:val="24"/>
                <w:lang w:eastAsia="zh-CN"/>
              </w:rPr>
            </w:pPr>
          </w:p>
          <w:p w14:paraId="04514D7D">
            <w:pPr>
              <w:pStyle w:val="4"/>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cs="Times New Roman"/>
                <w:color w:val="auto"/>
                <w:sz w:val="24"/>
                <w:szCs w:val="24"/>
                <w:lang w:eastAsia="zh-CN"/>
              </w:rPr>
            </w:pPr>
          </w:p>
          <w:p w14:paraId="05FA231F">
            <w:pPr>
              <w:pStyle w:val="4"/>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textAlignment w:val="auto"/>
              <w:rPr>
                <w:rFonts w:hint="default" w:ascii="Times New Roman" w:hAnsi="Times New Roman" w:cs="Times New Roman"/>
                <w:color w:val="auto"/>
                <w:sz w:val="24"/>
                <w:szCs w:val="24"/>
                <w:lang w:eastAsia="zh-CN"/>
              </w:rPr>
            </w:pPr>
          </w:p>
          <w:p w14:paraId="161D84F3">
            <w:pPr>
              <w:pStyle w:val="4"/>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cs="Times New Roman"/>
                <w:color w:val="auto"/>
                <w:sz w:val="24"/>
                <w:szCs w:val="24"/>
                <w:lang w:eastAsia="zh-CN"/>
              </w:rPr>
            </w:pPr>
          </w:p>
          <w:p w14:paraId="2E5CAA57">
            <w:pPr>
              <w:pStyle w:val="4"/>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cs="Times New Roman"/>
                <w:color w:val="auto"/>
                <w:sz w:val="24"/>
                <w:szCs w:val="24"/>
              </w:rPr>
            </w:pPr>
          </w:p>
        </w:tc>
      </w:tr>
    </w:tbl>
    <w:p w14:paraId="178A7A55">
      <w:pPr>
        <w:spacing w:line="360" w:lineRule="atLeast"/>
        <w:rPr>
          <w:rFonts w:hint="default" w:ascii="Times New Roman" w:hAnsi="Times New Roman" w:cs="Times New Roman"/>
          <w:color w:val="auto"/>
        </w:rPr>
      </w:pPr>
      <w:r>
        <w:rPr>
          <w:rFonts w:hint="default" w:ascii="Times New Roman" w:hAnsi="Times New Roman" w:cs="Times New Roman"/>
          <w:color w:val="auto"/>
        </w:rPr>
        <w:br w:type="page"/>
      </w:r>
    </w:p>
    <w:p w14:paraId="6FCBE628">
      <w:pPr>
        <w:widowControl/>
        <w:jc w:val="center"/>
        <w:rPr>
          <w:rFonts w:hint="default" w:ascii="Times New Roman" w:hAnsi="Times New Roman" w:cs="Times New Roman"/>
          <w:color w:val="auto"/>
        </w:rPr>
      </w:pPr>
      <w:r>
        <w:rPr>
          <w:rFonts w:hint="default" w:ascii="Times New Roman" w:hAnsi="Times New Roman" w:eastAsia="黑体" w:cs="Times New Roman"/>
          <w:color w:val="auto"/>
          <w:sz w:val="30"/>
          <w:szCs w:val="30"/>
          <w:lang w:bidi="ar"/>
        </w:rPr>
        <w:t>六、结论</w:t>
      </w:r>
    </w:p>
    <w:tbl>
      <w:tblPr>
        <w:tblStyle w:val="35"/>
        <w:tblW w:w="87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26"/>
      </w:tblGrid>
      <w:tr w14:paraId="2C95A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41" w:hRule="atLeast"/>
          <w:jc w:val="center"/>
        </w:trPr>
        <w:tc>
          <w:tcPr>
            <w:tcW w:w="8726" w:type="dxa"/>
          </w:tcPr>
          <w:p w14:paraId="2FD23206">
            <w:pPr>
              <w:spacing w:line="480" w:lineRule="atLeast"/>
              <w:ind w:firstLine="480" w:firstLineChars="200"/>
              <w:rPr>
                <w:rFonts w:hint="default" w:ascii="Times New Roman" w:hAnsi="Times New Roman" w:cs="Times New Roman"/>
                <w:color w:val="auto"/>
                <w:sz w:val="24"/>
                <w:szCs w:val="24"/>
              </w:rPr>
            </w:pPr>
            <w:r>
              <w:rPr>
                <w:rFonts w:hint="eastAsia" w:ascii="Times New Roman" w:hAnsi="Times New Roman" w:cs="Times New Roman"/>
                <w:color w:val="auto"/>
                <w:sz w:val="24"/>
                <w:szCs w:val="24"/>
                <w:lang w:eastAsia="zh-CN"/>
              </w:rPr>
              <w:t>永清县感迈塑料制品有限公司年产50万套置物架项目</w:t>
            </w:r>
            <w:r>
              <w:rPr>
                <w:rFonts w:hint="default" w:ascii="Times New Roman" w:hAnsi="Times New Roman" w:cs="Times New Roman"/>
                <w:color w:val="auto"/>
                <w:sz w:val="24"/>
                <w:szCs w:val="24"/>
              </w:rPr>
              <w:t>符合</w:t>
            </w:r>
            <w:r>
              <w:rPr>
                <w:rFonts w:hint="eastAsia" w:ascii="Times New Roman" w:hAnsi="Times New Roman" w:cs="Times New Roman"/>
                <w:color w:val="auto"/>
                <w:sz w:val="24"/>
                <w:szCs w:val="24"/>
                <w:lang w:eastAsia="zh-CN"/>
              </w:rPr>
              <w:t>永清县</w:t>
            </w:r>
            <w:r>
              <w:rPr>
                <w:rFonts w:hint="default" w:ascii="Times New Roman" w:hAnsi="Times New Roman" w:cs="Times New Roman"/>
                <w:color w:val="auto"/>
                <w:sz w:val="24"/>
                <w:szCs w:val="24"/>
              </w:rPr>
              <w:t>总体规划，选址合理，项目符合国家和地方产业政策，运营期各工序污染源采取相应的污染控制措施后，均可实现达标排放，不会对周边环境产生明显不利影响。</w:t>
            </w:r>
          </w:p>
          <w:p w14:paraId="4B412E44">
            <w:pPr>
              <w:spacing w:line="480" w:lineRule="atLeast"/>
              <w:ind w:firstLine="480" w:firstLineChars="200"/>
              <w:rPr>
                <w:rFonts w:hint="default" w:ascii="Times New Roman" w:hAnsi="Times New Roman" w:cs="Times New Roman"/>
                <w:color w:val="auto"/>
              </w:rPr>
            </w:pPr>
            <w:r>
              <w:rPr>
                <w:rFonts w:hint="default" w:ascii="Times New Roman" w:hAnsi="Times New Roman" w:cs="Times New Roman"/>
                <w:color w:val="auto"/>
                <w:sz w:val="24"/>
                <w:szCs w:val="24"/>
              </w:rPr>
              <w:t>本评价从环境保护的角度认为，该项目的建设是可行的。</w:t>
            </w:r>
          </w:p>
        </w:tc>
      </w:tr>
    </w:tbl>
    <w:p w14:paraId="2882B0C1">
      <w:pPr>
        <w:widowControl/>
        <w:jc w:val="left"/>
        <w:rPr>
          <w:rFonts w:hint="default" w:ascii="Times New Roman" w:hAnsi="Times New Roman" w:eastAsia="黑体" w:cs="Times New Roman"/>
          <w:color w:val="auto"/>
          <w:sz w:val="31"/>
          <w:szCs w:val="31"/>
          <w:lang w:bidi="ar"/>
        </w:rPr>
        <w:sectPr>
          <w:pgSz w:w="11906" w:h="16838"/>
          <w:pgMar w:top="1417" w:right="1803" w:bottom="1417" w:left="1803" w:header="851" w:footer="992" w:gutter="0"/>
          <w:pgBorders>
            <w:top w:val="none" w:sz="0" w:space="0"/>
            <w:left w:val="none" w:sz="0" w:space="0"/>
            <w:bottom w:val="none" w:sz="0" w:space="0"/>
            <w:right w:val="none" w:sz="0" w:space="0"/>
          </w:pgBorders>
          <w:pgNumType w:fmt="decimal"/>
          <w:cols w:space="0" w:num="1"/>
          <w:rtlGutter w:val="0"/>
          <w:docGrid w:type="lines" w:linePitch="395" w:charSpace="0"/>
        </w:sectPr>
      </w:pPr>
    </w:p>
    <w:p w14:paraId="4BD2030C">
      <w:pPr>
        <w:widowControl/>
        <w:snapToGrid w:val="0"/>
        <w:spacing w:line="400" w:lineRule="atLeast"/>
        <w:jc w:val="center"/>
        <w:rPr>
          <w:rFonts w:hint="default" w:ascii="Times New Roman" w:hAnsi="Times New Roman" w:cs="Times New Roman"/>
          <w:color w:val="auto"/>
        </w:rPr>
      </w:pPr>
      <w:r>
        <w:rPr>
          <w:rFonts w:hint="default" w:ascii="Times New Roman" w:hAnsi="Times New Roman" w:eastAsia="微软雅黑" w:cs="Times New Roman"/>
          <w:color w:val="auto"/>
          <w:sz w:val="37"/>
          <w:szCs w:val="37"/>
          <w:lang w:bidi="ar"/>
        </w:rPr>
        <w:t>建设项目污染物排放量汇总表</w:t>
      </w:r>
    </w:p>
    <w:tbl>
      <w:tblPr>
        <w:tblStyle w:val="35"/>
        <w:tblW w:w="143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2325"/>
        <w:gridCol w:w="1751"/>
        <w:gridCol w:w="1409"/>
        <w:gridCol w:w="1610"/>
        <w:gridCol w:w="1611"/>
        <w:gridCol w:w="1610"/>
        <w:gridCol w:w="1778"/>
        <w:gridCol w:w="1443"/>
      </w:tblGrid>
      <w:tr w14:paraId="16F78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846" w:type="dxa"/>
            <w:tcBorders>
              <w:tr2bl w:val="single" w:color="auto" w:sz="4" w:space="0"/>
            </w:tcBorders>
            <w:vAlign w:val="center"/>
          </w:tcPr>
          <w:p w14:paraId="79DEAFF8">
            <w:pPr>
              <w:keepNext w:val="0"/>
              <w:keepLines w:val="0"/>
              <w:pageBreakBefore w:val="0"/>
              <w:widowControl/>
              <w:kinsoku/>
              <w:wordWrap/>
              <w:overflowPunct/>
              <w:topLinePunct w:val="0"/>
              <w:autoSpaceDE/>
              <w:autoSpaceDN/>
              <w:bidi w:val="0"/>
              <w:adjustRightInd/>
              <w:snapToGrid/>
              <w:spacing w:line="240" w:lineRule="exac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分类</w:t>
            </w:r>
          </w:p>
          <w:p w14:paraId="461FA94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lang w:bidi="ar"/>
              </w:rPr>
            </w:pPr>
          </w:p>
          <w:p w14:paraId="33BCCC4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项目</w:t>
            </w:r>
          </w:p>
        </w:tc>
        <w:tc>
          <w:tcPr>
            <w:tcW w:w="2325" w:type="dxa"/>
            <w:vAlign w:val="center"/>
          </w:tcPr>
          <w:p w14:paraId="5C1D551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污染物名称</w:t>
            </w:r>
          </w:p>
        </w:tc>
        <w:tc>
          <w:tcPr>
            <w:tcW w:w="1751" w:type="dxa"/>
            <w:vAlign w:val="center"/>
          </w:tcPr>
          <w:p w14:paraId="542FFDC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现有工程排放量（固体废物产生量）①</w:t>
            </w:r>
          </w:p>
        </w:tc>
        <w:tc>
          <w:tcPr>
            <w:tcW w:w="1409" w:type="dxa"/>
            <w:vAlign w:val="center"/>
          </w:tcPr>
          <w:p w14:paraId="15DDE1F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现有工程许可排放量②</w:t>
            </w:r>
          </w:p>
        </w:tc>
        <w:tc>
          <w:tcPr>
            <w:tcW w:w="1610" w:type="dxa"/>
            <w:vAlign w:val="center"/>
          </w:tcPr>
          <w:p w14:paraId="4573B64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在建工程排放量（固体废物产生量）③</w:t>
            </w:r>
          </w:p>
        </w:tc>
        <w:tc>
          <w:tcPr>
            <w:tcW w:w="1611" w:type="dxa"/>
            <w:vAlign w:val="center"/>
          </w:tcPr>
          <w:p w14:paraId="3C56A81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本项目排放量（固体废物产生量）④</w:t>
            </w:r>
          </w:p>
        </w:tc>
        <w:tc>
          <w:tcPr>
            <w:tcW w:w="1610" w:type="dxa"/>
            <w:vAlign w:val="center"/>
          </w:tcPr>
          <w:p w14:paraId="041DE6F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以新带老削减量（新建项目不填）⑤</w:t>
            </w:r>
          </w:p>
        </w:tc>
        <w:tc>
          <w:tcPr>
            <w:tcW w:w="1778" w:type="dxa"/>
            <w:vAlign w:val="center"/>
          </w:tcPr>
          <w:p w14:paraId="36AEF13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本项目建成后全厂排放量（固体废物产生量）⑥</w:t>
            </w:r>
          </w:p>
        </w:tc>
        <w:tc>
          <w:tcPr>
            <w:tcW w:w="1443" w:type="dxa"/>
            <w:vAlign w:val="center"/>
          </w:tcPr>
          <w:p w14:paraId="3BD47C5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变化量⑦</w:t>
            </w:r>
          </w:p>
        </w:tc>
      </w:tr>
      <w:tr w14:paraId="2BA96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846" w:type="dxa"/>
            <w:vMerge w:val="restart"/>
            <w:vAlign w:val="center"/>
          </w:tcPr>
          <w:p w14:paraId="1549591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废气</w:t>
            </w:r>
          </w:p>
        </w:tc>
        <w:tc>
          <w:tcPr>
            <w:tcW w:w="2325" w:type="dxa"/>
            <w:vAlign w:val="center"/>
          </w:tcPr>
          <w:p w14:paraId="5B79A061">
            <w:pPr>
              <w:pStyle w:val="9"/>
              <w:keepNext w:val="0"/>
              <w:keepLines w:val="0"/>
              <w:pageBreakBefore w:val="0"/>
              <w:kinsoku/>
              <w:wordWrap/>
              <w:overflowPunct/>
              <w:topLinePunct w:val="0"/>
              <w:autoSpaceDE/>
              <w:autoSpaceDN/>
              <w:bidi w:val="0"/>
              <w:adjustRightInd/>
              <w:snapToGrid/>
              <w:spacing w:before="0" w:after="0" w:line="240" w:lineRule="exact"/>
              <w:jc w:val="center"/>
              <w:textAlignment w:val="auto"/>
              <w:outlineLvl w:val="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bCs w:val="0"/>
                <w:color w:val="auto"/>
                <w:sz w:val="21"/>
                <w:szCs w:val="21"/>
                <w:highlight w:val="none"/>
              </w:rPr>
              <w:t>颗粒物</w:t>
            </w:r>
          </w:p>
        </w:tc>
        <w:tc>
          <w:tcPr>
            <w:tcW w:w="1751" w:type="dxa"/>
            <w:vAlign w:val="center"/>
          </w:tcPr>
          <w:p w14:paraId="0BA7434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409" w:type="dxa"/>
            <w:vAlign w:val="center"/>
          </w:tcPr>
          <w:p w14:paraId="3733D07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610" w:type="dxa"/>
            <w:vAlign w:val="center"/>
          </w:tcPr>
          <w:p w14:paraId="2B031A9F">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611" w:type="dxa"/>
            <w:vAlign w:val="center"/>
          </w:tcPr>
          <w:p w14:paraId="393FEF77">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0.0002</w:t>
            </w:r>
            <w:r>
              <w:rPr>
                <w:rFonts w:hint="default" w:ascii="Times New Roman" w:hAnsi="Times New Roman" w:eastAsia="宋体" w:cs="Times New Roman"/>
                <w:color w:val="auto"/>
                <w:sz w:val="21"/>
                <w:szCs w:val="21"/>
                <w:highlight w:val="none"/>
              </w:rPr>
              <w:t>t/a</w:t>
            </w:r>
          </w:p>
        </w:tc>
        <w:tc>
          <w:tcPr>
            <w:tcW w:w="1610" w:type="dxa"/>
            <w:vAlign w:val="center"/>
          </w:tcPr>
          <w:p w14:paraId="11BEF04B">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778" w:type="dxa"/>
            <w:vAlign w:val="center"/>
          </w:tcPr>
          <w:p w14:paraId="2155472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0.0002</w:t>
            </w:r>
            <w:r>
              <w:rPr>
                <w:rFonts w:hint="default" w:ascii="Times New Roman" w:hAnsi="Times New Roman" w:eastAsia="宋体" w:cs="Times New Roman"/>
                <w:color w:val="auto"/>
                <w:sz w:val="21"/>
                <w:szCs w:val="21"/>
                <w:highlight w:val="none"/>
              </w:rPr>
              <w:t>t/a</w:t>
            </w:r>
          </w:p>
        </w:tc>
        <w:tc>
          <w:tcPr>
            <w:tcW w:w="1443" w:type="dxa"/>
            <w:vAlign w:val="center"/>
          </w:tcPr>
          <w:p w14:paraId="47C08A1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0.0002</w:t>
            </w:r>
            <w:r>
              <w:rPr>
                <w:rFonts w:hint="default" w:ascii="Times New Roman" w:hAnsi="Times New Roman" w:eastAsia="宋体" w:cs="Times New Roman"/>
                <w:color w:val="auto"/>
                <w:sz w:val="21"/>
                <w:szCs w:val="21"/>
                <w:highlight w:val="none"/>
              </w:rPr>
              <w:t>t/a</w:t>
            </w:r>
          </w:p>
        </w:tc>
      </w:tr>
      <w:tr w14:paraId="10F88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846" w:type="dxa"/>
            <w:vMerge w:val="continue"/>
            <w:vAlign w:val="center"/>
          </w:tcPr>
          <w:p w14:paraId="12B3794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p>
        </w:tc>
        <w:tc>
          <w:tcPr>
            <w:tcW w:w="2325" w:type="dxa"/>
            <w:vAlign w:val="center"/>
          </w:tcPr>
          <w:p w14:paraId="022E9354">
            <w:pPr>
              <w:pStyle w:val="9"/>
              <w:keepNext w:val="0"/>
              <w:keepLines w:val="0"/>
              <w:pageBreakBefore w:val="0"/>
              <w:kinsoku/>
              <w:wordWrap/>
              <w:overflowPunct/>
              <w:topLinePunct w:val="0"/>
              <w:autoSpaceDE/>
              <w:autoSpaceDN/>
              <w:bidi w:val="0"/>
              <w:adjustRightInd/>
              <w:snapToGrid/>
              <w:spacing w:before="0" w:after="0" w:line="240" w:lineRule="exact"/>
              <w:jc w:val="center"/>
              <w:textAlignment w:val="auto"/>
              <w:outlineLvl w:val="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bCs w:val="0"/>
                <w:color w:val="auto"/>
                <w:sz w:val="21"/>
                <w:szCs w:val="21"/>
                <w:highlight w:val="none"/>
              </w:rPr>
              <w:t>非甲烷总烃</w:t>
            </w:r>
          </w:p>
        </w:tc>
        <w:tc>
          <w:tcPr>
            <w:tcW w:w="1751" w:type="dxa"/>
            <w:vAlign w:val="center"/>
          </w:tcPr>
          <w:p w14:paraId="47AF4CB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409" w:type="dxa"/>
            <w:vAlign w:val="center"/>
          </w:tcPr>
          <w:p w14:paraId="6603A13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610" w:type="dxa"/>
            <w:vAlign w:val="center"/>
          </w:tcPr>
          <w:p w14:paraId="2F08930E">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611" w:type="dxa"/>
            <w:vAlign w:val="center"/>
          </w:tcPr>
          <w:p w14:paraId="46D7A23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0.09</w:t>
            </w:r>
            <w:r>
              <w:rPr>
                <w:rFonts w:hint="default" w:ascii="Times New Roman" w:hAnsi="Times New Roman" w:eastAsia="宋体" w:cs="Times New Roman"/>
                <w:color w:val="auto"/>
                <w:sz w:val="21"/>
                <w:szCs w:val="21"/>
                <w:highlight w:val="none"/>
              </w:rPr>
              <w:t>t/a</w:t>
            </w:r>
          </w:p>
        </w:tc>
        <w:tc>
          <w:tcPr>
            <w:tcW w:w="1610" w:type="dxa"/>
            <w:vAlign w:val="center"/>
          </w:tcPr>
          <w:p w14:paraId="138150A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778" w:type="dxa"/>
            <w:vAlign w:val="center"/>
          </w:tcPr>
          <w:p w14:paraId="43A0E0B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0.09</w:t>
            </w:r>
            <w:r>
              <w:rPr>
                <w:rFonts w:hint="default" w:ascii="Times New Roman" w:hAnsi="Times New Roman" w:eastAsia="宋体" w:cs="Times New Roman"/>
                <w:color w:val="auto"/>
                <w:sz w:val="21"/>
                <w:szCs w:val="21"/>
                <w:highlight w:val="none"/>
              </w:rPr>
              <w:t>t/a</w:t>
            </w:r>
          </w:p>
        </w:tc>
        <w:tc>
          <w:tcPr>
            <w:tcW w:w="1443" w:type="dxa"/>
            <w:vAlign w:val="center"/>
          </w:tcPr>
          <w:p w14:paraId="0D4518F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0.09</w:t>
            </w:r>
            <w:r>
              <w:rPr>
                <w:rFonts w:hint="default" w:ascii="Times New Roman" w:hAnsi="Times New Roman" w:eastAsia="宋体" w:cs="Times New Roman"/>
                <w:color w:val="auto"/>
                <w:sz w:val="21"/>
                <w:szCs w:val="21"/>
                <w:highlight w:val="none"/>
              </w:rPr>
              <w:t>t/a</w:t>
            </w:r>
          </w:p>
        </w:tc>
      </w:tr>
      <w:tr w14:paraId="28210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846" w:type="dxa"/>
            <w:vMerge w:val="continue"/>
            <w:vAlign w:val="center"/>
          </w:tcPr>
          <w:p w14:paraId="27CE151F">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rPr>
            </w:pPr>
          </w:p>
        </w:tc>
        <w:tc>
          <w:tcPr>
            <w:tcW w:w="2325" w:type="dxa"/>
            <w:vAlign w:val="center"/>
          </w:tcPr>
          <w:p w14:paraId="01F7756F">
            <w:pPr>
              <w:pStyle w:val="9"/>
              <w:keepNext w:val="0"/>
              <w:keepLines w:val="0"/>
              <w:pageBreakBefore w:val="0"/>
              <w:kinsoku/>
              <w:wordWrap/>
              <w:overflowPunct/>
              <w:topLinePunct w:val="0"/>
              <w:autoSpaceDE/>
              <w:autoSpaceDN/>
              <w:bidi w:val="0"/>
              <w:adjustRightInd/>
              <w:snapToGrid/>
              <w:spacing w:before="0" w:after="0" w:line="240" w:lineRule="exact"/>
              <w:jc w:val="center"/>
              <w:textAlignment w:val="auto"/>
              <w:outlineLvl w:val="3"/>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b w:val="0"/>
                <w:bCs w:val="0"/>
                <w:color w:val="auto"/>
                <w:sz w:val="21"/>
                <w:szCs w:val="21"/>
                <w:highlight w:val="none"/>
                <w:lang w:eastAsia="zh-CN"/>
              </w:rPr>
              <w:t>臭气浓度</w:t>
            </w:r>
          </w:p>
        </w:tc>
        <w:tc>
          <w:tcPr>
            <w:tcW w:w="1751" w:type="dxa"/>
            <w:vAlign w:val="center"/>
          </w:tcPr>
          <w:p w14:paraId="6882023B">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color w:val="auto"/>
                <w:sz w:val="21"/>
                <w:szCs w:val="21"/>
                <w:highlight w:val="none"/>
              </w:rPr>
              <w:t>/</w:t>
            </w:r>
          </w:p>
        </w:tc>
        <w:tc>
          <w:tcPr>
            <w:tcW w:w="1409" w:type="dxa"/>
            <w:vAlign w:val="center"/>
          </w:tcPr>
          <w:p w14:paraId="57A3FE1F">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color w:val="auto"/>
                <w:sz w:val="21"/>
                <w:szCs w:val="21"/>
                <w:highlight w:val="none"/>
              </w:rPr>
              <w:t>/</w:t>
            </w:r>
          </w:p>
        </w:tc>
        <w:tc>
          <w:tcPr>
            <w:tcW w:w="1610" w:type="dxa"/>
            <w:vAlign w:val="center"/>
          </w:tcPr>
          <w:p w14:paraId="2CCE5C6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color w:val="auto"/>
                <w:sz w:val="21"/>
                <w:szCs w:val="21"/>
                <w:highlight w:val="none"/>
              </w:rPr>
              <w:t>/</w:t>
            </w:r>
          </w:p>
        </w:tc>
        <w:tc>
          <w:tcPr>
            <w:tcW w:w="1611" w:type="dxa"/>
            <w:vAlign w:val="center"/>
          </w:tcPr>
          <w:p w14:paraId="0B8A52C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color w:val="auto"/>
                <w:sz w:val="21"/>
                <w:szCs w:val="21"/>
                <w:highlight w:val="none"/>
              </w:rPr>
              <w:t>/</w:t>
            </w:r>
          </w:p>
        </w:tc>
        <w:tc>
          <w:tcPr>
            <w:tcW w:w="1610" w:type="dxa"/>
            <w:vAlign w:val="center"/>
          </w:tcPr>
          <w:p w14:paraId="3066C3C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color w:val="auto"/>
                <w:sz w:val="21"/>
                <w:szCs w:val="21"/>
                <w:highlight w:val="none"/>
              </w:rPr>
              <w:t>/</w:t>
            </w:r>
          </w:p>
        </w:tc>
        <w:tc>
          <w:tcPr>
            <w:tcW w:w="1778" w:type="dxa"/>
            <w:vAlign w:val="center"/>
          </w:tcPr>
          <w:p w14:paraId="2DCC0AD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color w:val="auto"/>
                <w:sz w:val="21"/>
                <w:szCs w:val="21"/>
                <w:highlight w:val="none"/>
              </w:rPr>
              <w:t>/</w:t>
            </w:r>
          </w:p>
        </w:tc>
        <w:tc>
          <w:tcPr>
            <w:tcW w:w="1443" w:type="dxa"/>
            <w:vAlign w:val="center"/>
          </w:tcPr>
          <w:p w14:paraId="37B3F9E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color w:val="auto"/>
                <w:sz w:val="21"/>
                <w:szCs w:val="21"/>
                <w:highlight w:val="none"/>
              </w:rPr>
              <w:t>/</w:t>
            </w:r>
          </w:p>
        </w:tc>
      </w:tr>
      <w:tr w14:paraId="6F47F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846" w:type="dxa"/>
            <w:vAlign w:val="center"/>
          </w:tcPr>
          <w:p w14:paraId="01A23E6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废水</w:t>
            </w:r>
          </w:p>
        </w:tc>
        <w:tc>
          <w:tcPr>
            <w:tcW w:w="2325" w:type="dxa"/>
            <w:vAlign w:val="center"/>
          </w:tcPr>
          <w:p w14:paraId="47043461">
            <w:pPr>
              <w:pStyle w:val="9"/>
              <w:keepNext w:val="0"/>
              <w:keepLines w:val="0"/>
              <w:pageBreakBefore w:val="0"/>
              <w:kinsoku/>
              <w:wordWrap/>
              <w:overflowPunct/>
              <w:topLinePunct w:val="0"/>
              <w:autoSpaceDE/>
              <w:autoSpaceDN/>
              <w:bidi w:val="0"/>
              <w:adjustRightInd/>
              <w:snapToGrid/>
              <w:spacing w:before="0" w:after="0" w:line="240" w:lineRule="exact"/>
              <w:jc w:val="center"/>
              <w:textAlignment w:val="auto"/>
              <w:outlineLvl w:val="3"/>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b w:val="0"/>
                <w:bCs w:val="0"/>
                <w:color w:val="auto"/>
                <w:sz w:val="21"/>
                <w:szCs w:val="21"/>
                <w:highlight w:val="none"/>
              </w:rPr>
              <w:t>/</w:t>
            </w:r>
          </w:p>
        </w:tc>
        <w:tc>
          <w:tcPr>
            <w:tcW w:w="1751" w:type="dxa"/>
            <w:vAlign w:val="center"/>
          </w:tcPr>
          <w:p w14:paraId="4601C88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409" w:type="dxa"/>
            <w:vAlign w:val="center"/>
          </w:tcPr>
          <w:p w14:paraId="4948A63F">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610" w:type="dxa"/>
            <w:vAlign w:val="center"/>
          </w:tcPr>
          <w:p w14:paraId="0F800D1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611" w:type="dxa"/>
            <w:vAlign w:val="center"/>
          </w:tcPr>
          <w:p w14:paraId="296F09A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610" w:type="dxa"/>
            <w:vAlign w:val="center"/>
          </w:tcPr>
          <w:p w14:paraId="1645FBA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778" w:type="dxa"/>
            <w:vAlign w:val="center"/>
          </w:tcPr>
          <w:p w14:paraId="27AFFB9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443" w:type="dxa"/>
            <w:vAlign w:val="center"/>
          </w:tcPr>
          <w:p w14:paraId="390293C7">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645F8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846" w:type="dxa"/>
            <w:vMerge w:val="restart"/>
            <w:vAlign w:val="center"/>
          </w:tcPr>
          <w:p w14:paraId="7CB0B57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一般工业固体废物</w:t>
            </w:r>
          </w:p>
        </w:tc>
        <w:tc>
          <w:tcPr>
            <w:tcW w:w="2325" w:type="dxa"/>
            <w:vAlign w:val="center"/>
          </w:tcPr>
          <w:p w14:paraId="0523E77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Style w:val="46"/>
                <w:rFonts w:hint="default" w:ascii="Times New Roman" w:hAnsi="Times New Roman" w:eastAsia="宋体" w:cs="Times New Roman"/>
                <w:color w:val="auto"/>
                <w:sz w:val="21"/>
                <w:szCs w:val="21"/>
                <w:highlight w:val="none"/>
              </w:rPr>
              <w:t>生活垃圾</w:t>
            </w:r>
          </w:p>
        </w:tc>
        <w:tc>
          <w:tcPr>
            <w:tcW w:w="1751" w:type="dxa"/>
            <w:vAlign w:val="center"/>
          </w:tcPr>
          <w:p w14:paraId="26EEEEC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409" w:type="dxa"/>
            <w:vAlign w:val="center"/>
          </w:tcPr>
          <w:p w14:paraId="518E484E">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610" w:type="dxa"/>
            <w:vAlign w:val="center"/>
          </w:tcPr>
          <w:p w14:paraId="0BED35A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611" w:type="dxa"/>
            <w:vAlign w:val="center"/>
          </w:tcPr>
          <w:p w14:paraId="2A4D77A0">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1.8</w:t>
            </w:r>
            <w:r>
              <w:rPr>
                <w:rFonts w:hint="default" w:ascii="Times New Roman" w:hAnsi="Times New Roman" w:eastAsia="宋体" w:cs="Times New Roman"/>
                <w:color w:val="auto"/>
                <w:sz w:val="21"/>
                <w:szCs w:val="21"/>
                <w:highlight w:val="none"/>
              </w:rPr>
              <w:t>t/a</w:t>
            </w:r>
          </w:p>
        </w:tc>
        <w:tc>
          <w:tcPr>
            <w:tcW w:w="1610" w:type="dxa"/>
            <w:vAlign w:val="center"/>
          </w:tcPr>
          <w:p w14:paraId="1244647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778" w:type="dxa"/>
            <w:vAlign w:val="center"/>
          </w:tcPr>
          <w:p w14:paraId="37269C6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1.8</w:t>
            </w:r>
            <w:r>
              <w:rPr>
                <w:rFonts w:hint="default" w:ascii="Times New Roman" w:hAnsi="Times New Roman" w:eastAsia="宋体" w:cs="Times New Roman"/>
                <w:color w:val="auto"/>
                <w:sz w:val="21"/>
                <w:szCs w:val="21"/>
                <w:highlight w:val="none"/>
              </w:rPr>
              <w:t>t/a</w:t>
            </w:r>
          </w:p>
        </w:tc>
        <w:tc>
          <w:tcPr>
            <w:tcW w:w="1443" w:type="dxa"/>
            <w:vAlign w:val="center"/>
          </w:tcPr>
          <w:p w14:paraId="46C1ADE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1.8</w:t>
            </w:r>
            <w:r>
              <w:rPr>
                <w:rFonts w:hint="default" w:ascii="Times New Roman" w:hAnsi="Times New Roman" w:eastAsia="宋体" w:cs="Times New Roman"/>
                <w:color w:val="auto"/>
                <w:sz w:val="21"/>
                <w:szCs w:val="21"/>
                <w:highlight w:val="none"/>
              </w:rPr>
              <w:t>t/a</w:t>
            </w:r>
          </w:p>
        </w:tc>
      </w:tr>
      <w:tr w14:paraId="513DE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846" w:type="dxa"/>
            <w:vMerge w:val="continue"/>
            <w:vAlign w:val="center"/>
          </w:tcPr>
          <w:p w14:paraId="3317975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lang w:bidi="ar"/>
              </w:rPr>
            </w:pPr>
          </w:p>
        </w:tc>
        <w:tc>
          <w:tcPr>
            <w:tcW w:w="2325" w:type="dxa"/>
            <w:vAlign w:val="center"/>
          </w:tcPr>
          <w:p w14:paraId="5C1EDC6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除尘灰</w:t>
            </w:r>
          </w:p>
        </w:tc>
        <w:tc>
          <w:tcPr>
            <w:tcW w:w="1751" w:type="dxa"/>
            <w:vAlign w:val="center"/>
          </w:tcPr>
          <w:p w14:paraId="06DB2DB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409" w:type="dxa"/>
            <w:vAlign w:val="center"/>
          </w:tcPr>
          <w:p w14:paraId="6C48BF8F">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610" w:type="dxa"/>
            <w:vAlign w:val="center"/>
          </w:tcPr>
          <w:p w14:paraId="38BB196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611" w:type="dxa"/>
            <w:vAlign w:val="center"/>
          </w:tcPr>
          <w:p w14:paraId="0775C7EB">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0.00133</w:t>
            </w:r>
            <w:r>
              <w:rPr>
                <w:rFonts w:hint="default" w:ascii="Times New Roman" w:hAnsi="Times New Roman" w:eastAsia="宋体" w:cs="Times New Roman"/>
                <w:color w:val="auto"/>
                <w:sz w:val="21"/>
                <w:szCs w:val="21"/>
                <w:highlight w:val="none"/>
              </w:rPr>
              <w:t>t/a</w:t>
            </w:r>
          </w:p>
        </w:tc>
        <w:tc>
          <w:tcPr>
            <w:tcW w:w="1610" w:type="dxa"/>
            <w:vAlign w:val="center"/>
          </w:tcPr>
          <w:p w14:paraId="60AA6F8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778" w:type="dxa"/>
            <w:vAlign w:val="center"/>
          </w:tcPr>
          <w:p w14:paraId="66C2BB40">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0.00133</w:t>
            </w:r>
            <w:r>
              <w:rPr>
                <w:rFonts w:hint="default" w:ascii="Times New Roman" w:hAnsi="Times New Roman" w:eastAsia="宋体" w:cs="Times New Roman"/>
                <w:color w:val="auto"/>
                <w:sz w:val="21"/>
                <w:szCs w:val="21"/>
                <w:highlight w:val="none"/>
              </w:rPr>
              <w:t>t/a</w:t>
            </w:r>
          </w:p>
        </w:tc>
        <w:tc>
          <w:tcPr>
            <w:tcW w:w="1443" w:type="dxa"/>
            <w:vAlign w:val="center"/>
          </w:tcPr>
          <w:p w14:paraId="62C394E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val="0"/>
                <w:bCs w:val="0"/>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0.00133</w:t>
            </w:r>
            <w:r>
              <w:rPr>
                <w:rFonts w:hint="default" w:ascii="Times New Roman" w:hAnsi="Times New Roman" w:eastAsia="宋体" w:cs="Times New Roman"/>
                <w:color w:val="auto"/>
                <w:sz w:val="21"/>
                <w:szCs w:val="21"/>
                <w:highlight w:val="none"/>
              </w:rPr>
              <w:t>t/a</w:t>
            </w:r>
          </w:p>
        </w:tc>
      </w:tr>
      <w:tr w14:paraId="0BFAA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846" w:type="dxa"/>
            <w:vMerge w:val="continue"/>
            <w:vAlign w:val="center"/>
          </w:tcPr>
          <w:p w14:paraId="498FF46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lang w:bidi="ar"/>
              </w:rPr>
            </w:pPr>
          </w:p>
        </w:tc>
        <w:tc>
          <w:tcPr>
            <w:tcW w:w="2325" w:type="dxa"/>
            <w:vAlign w:val="center"/>
          </w:tcPr>
          <w:p w14:paraId="0E0A9BA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废包装物</w:t>
            </w:r>
          </w:p>
        </w:tc>
        <w:tc>
          <w:tcPr>
            <w:tcW w:w="1751" w:type="dxa"/>
            <w:vAlign w:val="center"/>
          </w:tcPr>
          <w:p w14:paraId="6276ED7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409" w:type="dxa"/>
            <w:vAlign w:val="center"/>
          </w:tcPr>
          <w:p w14:paraId="39444A7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610" w:type="dxa"/>
            <w:vAlign w:val="center"/>
          </w:tcPr>
          <w:p w14:paraId="7C06545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611" w:type="dxa"/>
            <w:vAlign w:val="center"/>
          </w:tcPr>
          <w:p w14:paraId="2A3EB5E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t/a</w:t>
            </w:r>
          </w:p>
        </w:tc>
        <w:tc>
          <w:tcPr>
            <w:tcW w:w="1610" w:type="dxa"/>
            <w:vAlign w:val="center"/>
          </w:tcPr>
          <w:p w14:paraId="126C9C9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778" w:type="dxa"/>
            <w:vAlign w:val="center"/>
          </w:tcPr>
          <w:p w14:paraId="11366FB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t/a</w:t>
            </w:r>
          </w:p>
        </w:tc>
        <w:tc>
          <w:tcPr>
            <w:tcW w:w="1443" w:type="dxa"/>
            <w:vAlign w:val="center"/>
          </w:tcPr>
          <w:p w14:paraId="0EE55260">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t/a</w:t>
            </w:r>
          </w:p>
        </w:tc>
      </w:tr>
      <w:tr w14:paraId="37A95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846" w:type="dxa"/>
            <w:vMerge w:val="continue"/>
            <w:vAlign w:val="center"/>
          </w:tcPr>
          <w:p w14:paraId="3AC73C3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lang w:bidi="ar"/>
              </w:rPr>
            </w:pPr>
          </w:p>
        </w:tc>
        <w:tc>
          <w:tcPr>
            <w:tcW w:w="2325" w:type="dxa"/>
            <w:vAlign w:val="center"/>
          </w:tcPr>
          <w:p w14:paraId="4D8E620B">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废布袋</w:t>
            </w:r>
          </w:p>
        </w:tc>
        <w:tc>
          <w:tcPr>
            <w:tcW w:w="1751" w:type="dxa"/>
            <w:vAlign w:val="center"/>
          </w:tcPr>
          <w:p w14:paraId="7C5A203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409" w:type="dxa"/>
            <w:vAlign w:val="center"/>
          </w:tcPr>
          <w:p w14:paraId="2D2DC8A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610" w:type="dxa"/>
            <w:vAlign w:val="center"/>
          </w:tcPr>
          <w:p w14:paraId="081DC50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611" w:type="dxa"/>
            <w:vAlign w:val="center"/>
          </w:tcPr>
          <w:p w14:paraId="2B51892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0.05t/a</w:t>
            </w:r>
          </w:p>
        </w:tc>
        <w:tc>
          <w:tcPr>
            <w:tcW w:w="1610" w:type="dxa"/>
            <w:shd w:val="clear" w:color="auto" w:fill="auto"/>
            <w:vAlign w:val="center"/>
          </w:tcPr>
          <w:p w14:paraId="0CE632D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val="0"/>
                <w:color w:val="auto"/>
                <w:sz w:val="21"/>
                <w:szCs w:val="21"/>
                <w:highlight w:val="none"/>
                <w:lang w:val="en-US" w:eastAsia="zh-CN" w:bidi="ar-SA"/>
              </w:rPr>
            </w:pPr>
            <w:r>
              <w:rPr>
                <w:rFonts w:hint="default" w:ascii="Times New Roman" w:hAnsi="Times New Roman" w:eastAsia="宋体" w:cs="Times New Roman"/>
                <w:color w:val="auto"/>
                <w:sz w:val="21"/>
                <w:szCs w:val="21"/>
                <w:highlight w:val="none"/>
              </w:rPr>
              <w:t>/</w:t>
            </w:r>
          </w:p>
        </w:tc>
        <w:tc>
          <w:tcPr>
            <w:tcW w:w="1778" w:type="dxa"/>
            <w:shd w:val="clear" w:color="auto" w:fill="auto"/>
            <w:vAlign w:val="center"/>
          </w:tcPr>
          <w:p w14:paraId="1B2ADE01">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snapToGrid w:val="0"/>
                <w:color w:val="auto"/>
                <w:sz w:val="21"/>
                <w:szCs w:val="21"/>
                <w:highlight w:val="none"/>
                <w:lang w:val="en-US" w:eastAsia="zh-CN" w:bidi="ar-SA"/>
              </w:rPr>
            </w:pPr>
            <w:r>
              <w:rPr>
                <w:rFonts w:hint="eastAsia" w:ascii="Times New Roman" w:hAnsi="Times New Roman" w:cs="Times New Roman"/>
                <w:color w:val="auto"/>
                <w:sz w:val="21"/>
                <w:szCs w:val="21"/>
                <w:highlight w:val="none"/>
                <w:lang w:val="en-US" w:eastAsia="zh-CN"/>
              </w:rPr>
              <w:t>0.05t/a</w:t>
            </w:r>
          </w:p>
        </w:tc>
        <w:tc>
          <w:tcPr>
            <w:tcW w:w="1443" w:type="dxa"/>
            <w:shd w:val="clear" w:color="auto" w:fill="auto"/>
            <w:vAlign w:val="center"/>
          </w:tcPr>
          <w:p w14:paraId="567BB79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val="0"/>
                <w:color w:val="auto"/>
                <w:sz w:val="21"/>
                <w:szCs w:val="21"/>
                <w:highlight w:val="none"/>
                <w:lang w:val="en-US" w:eastAsia="zh-CN" w:bidi="ar-SA"/>
              </w:rPr>
            </w:pPr>
            <w:r>
              <w:rPr>
                <w:rFonts w:hint="eastAsia" w:ascii="Times New Roman" w:hAnsi="Times New Roman" w:cs="Times New Roman"/>
                <w:color w:val="auto"/>
                <w:sz w:val="21"/>
                <w:szCs w:val="21"/>
                <w:highlight w:val="none"/>
                <w:lang w:val="en-US" w:eastAsia="zh-CN"/>
              </w:rPr>
              <w:t>+0.05t/a</w:t>
            </w:r>
          </w:p>
        </w:tc>
      </w:tr>
      <w:tr w14:paraId="2AE20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846" w:type="dxa"/>
            <w:vMerge w:val="restart"/>
            <w:vAlign w:val="center"/>
          </w:tcPr>
          <w:p w14:paraId="18C21D3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kern w:val="21"/>
                <w:sz w:val="21"/>
                <w:szCs w:val="21"/>
                <w:highlight w:val="none"/>
              </w:rPr>
              <w:t>危险废物</w:t>
            </w:r>
          </w:p>
        </w:tc>
        <w:tc>
          <w:tcPr>
            <w:tcW w:w="2325" w:type="dxa"/>
            <w:vAlign w:val="center"/>
          </w:tcPr>
          <w:p w14:paraId="0B2AD03B">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废机油</w:t>
            </w:r>
          </w:p>
        </w:tc>
        <w:tc>
          <w:tcPr>
            <w:tcW w:w="1751" w:type="dxa"/>
            <w:vAlign w:val="center"/>
          </w:tcPr>
          <w:p w14:paraId="58523CB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409" w:type="dxa"/>
            <w:vAlign w:val="center"/>
          </w:tcPr>
          <w:p w14:paraId="1793E32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610" w:type="dxa"/>
            <w:vAlign w:val="center"/>
          </w:tcPr>
          <w:p w14:paraId="10B06C6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611" w:type="dxa"/>
            <w:vAlign w:val="center"/>
          </w:tcPr>
          <w:p w14:paraId="36236AB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0.8</w:t>
            </w:r>
            <w:r>
              <w:rPr>
                <w:rFonts w:hint="default" w:ascii="Times New Roman" w:hAnsi="Times New Roman" w:eastAsia="宋体" w:cs="Times New Roman"/>
                <w:color w:val="auto"/>
                <w:sz w:val="21"/>
                <w:szCs w:val="21"/>
                <w:highlight w:val="none"/>
              </w:rPr>
              <w:t>t/a</w:t>
            </w:r>
          </w:p>
        </w:tc>
        <w:tc>
          <w:tcPr>
            <w:tcW w:w="1610" w:type="dxa"/>
            <w:vAlign w:val="center"/>
          </w:tcPr>
          <w:p w14:paraId="771050BE">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778" w:type="dxa"/>
            <w:vAlign w:val="center"/>
          </w:tcPr>
          <w:p w14:paraId="48521FD7">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0.8</w:t>
            </w:r>
            <w:r>
              <w:rPr>
                <w:rFonts w:hint="default" w:ascii="Times New Roman" w:hAnsi="Times New Roman" w:eastAsia="宋体" w:cs="Times New Roman"/>
                <w:color w:val="auto"/>
                <w:sz w:val="21"/>
                <w:szCs w:val="21"/>
                <w:highlight w:val="none"/>
              </w:rPr>
              <w:t>t/a</w:t>
            </w:r>
          </w:p>
        </w:tc>
        <w:tc>
          <w:tcPr>
            <w:tcW w:w="1443" w:type="dxa"/>
            <w:vAlign w:val="center"/>
          </w:tcPr>
          <w:p w14:paraId="02ED3F7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0.8</w:t>
            </w:r>
            <w:r>
              <w:rPr>
                <w:rFonts w:hint="default" w:ascii="Times New Roman" w:hAnsi="Times New Roman" w:eastAsia="宋体" w:cs="Times New Roman"/>
                <w:color w:val="auto"/>
                <w:sz w:val="21"/>
                <w:szCs w:val="21"/>
                <w:highlight w:val="none"/>
              </w:rPr>
              <w:t>t/a</w:t>
            </w:r>
          </w:p>
        </w:tc>
      </w:tr>
      <w:tr w14:paraId="1278E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846" w:type="dxa"/>
            <w:vMerge w:val="continue"/>
            <w:vAlign w:val="center"/>
          </w:tcPr>
          <w:p w14:paraId="1A2A2E8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p>
        </w:tc>
        <w:tc>
          <w:tcPr>
            <w:tcW w:w="2325" w:type="dxa"/>
            <w:vAlign w:val="center"/>
          </w:tcPr>
          <w:p w14:paraId="7688277E">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废油桶</w:t>
            </w:r>
          </w:p>
        </w:tc>
        <w:tc>
          <w:tcPr>
            <w:tcW w:w="1751" w:type="dxa"/>
            <w:vAlign w:val="center"/>
          </w:tcPr>
          <w:p w14:paraId="36525D3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409" w:type="dxa"/>
            <w:vAlign w:val="center"/>
          </w:tcPr>
          <w:p w14:paraId="589E88F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610" w:type="dxa"/>
            <w:vAlign w:val="center"/>
          </w:tcPr>
          <w:p w14:paraId="3CAAF9D0">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611" w:type="dxa"/>
            <w:vAlign w:val="center"/>
          </w:tcPr>
          <w:p w14:paraId="66AA6E7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0.0</w:t>
            </w:r>
            <w:r>
              <w:rPr>
                <w:rFonts w:hint="default" w:ascii="Times New Roman" w:hAnsi="Times New Roman" w:eastAsia="宋体" w:cs="Times New Roman"/>
                <w:color w:val="auto"/>
                <w:sz w:val="21"/>
                <w:szCs w:val="21"/>
                <w:highlight w:val="none"/>
                <w:lang w:val="en-US" w:eastAsia="zh-CN"/>
              </w:rPr>
              <w:t>8</w:t>
            </w:r>
            <w:r>
              <w:rPr>
                <w:rFonts w:hint="default" w:ascii="Times New Roman" w:hAnsi="Times New Roman" w:eastAsia="宋体" w:cs="Times New Roman"/>
                <w:color w:val="auto"/>
                <w:sz w:val="21"/>
                <w:szCs w:val="21"/>
                <w:highlight w:val="none"/>
              </w:rPr>
              <w:t>t/a</w:t>
            </w:r>
          </w:p>
        </w:tc>
        <w:tc>
          <w:tcPr>
            <w:tcW w:w="1610" w:type="dxa"/>
            <w:vAlign w:val="center"/>
          </w:tcPr>
          <w:p w14:paraId="3872DE9F">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778" w:type="dxa"/>
            <w:vAlign w:val="center"/>
          </w:tcPr>
          <w:p w14:paraId="708C00A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0.0</w:t>
            </w:r>
            <w:r>
              <w:rPr>
                <w:rFonts w:hint="default" w:ascii="Times New Roman" w:hAnsi="Times New Roman" w:eastAsia="宋体" w:cs="Times New Roman"/>
                <w:color w:val="auto"/>
                <w:sz w:val="21"/>
                <w:szCs w:val="21"/>
                <w:highlight w:val="none"/>
                <w:lang w:val="en-US" w:eastAsia="zh-CN"/>
              </w:rPr>
              <w:t>8</w:t>
            </w:r>
            <w:r>
              <w:rPr>
                <w:rFonts w:hint="default" w:ascii="Times New Roman" w:hAnsi="Times New Roman" w:eastAsia="宋体" w:cs="Times New Roman"/>
                <w:color w:val="auto"/>
                <w:sz w:val="21"/>
                <w:szCs w:val="21"/>
                <w:highlight w:val="none"/>
              </w:rPr>
              <w:t>t/a</w:t>
            </w:r>
          </w:p>
        </w:tc>
        <w:tc>
          <w:tcPr>
            <w:tcW w:w="1443" w:type="dxa"/>
            <w:vAlign w:val="center"/>
          </w:tcPr>
          <w:p w14:paraId="17FB6BB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+0.08</w:t>
            </w:r>
            <w:r>
              <w:rPr>
                <w:rFonts w:hint="default" w:ascii="Times New Roman" w:hAnsi="Times New Roman" w:eastAsia="宋体" w:cs="Times New Roman"/>
                <w:color w:val="auto"/>
                <w:sz w:val="21"/>
                <w:szCs w:val="21"/>
                <w:highlight w:val="none"/>
              </w:rPr>
              <w:t>t/a</w:t>
            </w:r>
          </w:p>
        </w:tc>
      </w:tr>
      <w:tr w14:paraId="795F2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846" w:type="dxa"/>
            <w:vMerge w:val="continue"/>
            <w:vAlign w:val="center"/>
          </w:tcPr>
          <w:p w14:paraId="72F608D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p>
        </w:tc>
        <w:tc>
          <w:tcPr>
            <w:tcW w:w="2325" w:type="dxa"/>
            <w:vAlign w:val="center"/>
          </w:tcPr>
          <w:p w14:paraId="203239BB">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废活性炭</w:t>
            </w:r>
          </w:p>
        </w:tc>
        <w:tc>
          <w:tcPr>
            <w:tcW w:w="1751" w:type="dxa"/>
            <w:vAlign w:val="center"/>
          </w:tcPr>
          <w:p w14:paraId="7370DB9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409" w:type="dxa"/>
            <w:vAlign w:val="center"/>
          </w:tcPr>
          <w:p w14:paraId="15D657A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610" w:type="dxa"/>
            <w:vAlign w:val="center"/>
          </w:tcPr>
          <w:p w14:paraId="68201240">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611" w:type="dxa"/>
            <w:vAlign w:val="center"/>
          </w:tcPr>
          <w:p w14:paraId="4F88C6C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1.8t/a</w:t>
            </w:r>
          </w:p>
        </w:tc>
        <w:tc>
          <w:tcPr>
            <w:tcW w:w="1610" w:type="dxa"/>
            <w:vAlign w:val="center"/>
          </w:tcPr>
          <w:p w14:paraId="70E2648B">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778" w:type="dxa"/>
            <w:vAlign w:val="center"/>
          </w:tcPr>
          <w:p w14:paraId="384BA30E">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1.8t/a</w:t>
            </w:r>
          </w:p>
        </w:tc>
        <w:tc>
          <w:tcPr>
            <w:tcW w:w="1443" w:type="dxa"/>
            <w:vAlign w:val="center"/>
          </w:tcPr>
          <w:p w14:paraId="79E1089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val="en-US" w:eastAsia="zh-CN"/>
              </w:rPr>
              <w:t>+1.8t/a</w:t>
            </w:r>
          </w:p>
        </w:tc>
      </w:tr>
    </w:tbl>
    <w:p w14:paraId="7383A748">
      <w:pPr>
        <w:widowControl/>
        <w:jc w:val="left"/>
        <w:rPr>
          <w:rFonts w:hint="default" w:ascii="Times New Roman" w:hAnsi="Times New Roman" w:cs="Times New Roman"/>
          <w:color w:val="auto"/>
          <w:sz w:val="24"/>
          <w:szCs w:val="24"/>
        </w:rPr>
      </w:pPr>
      <w:r>
        <w:rPr>
          <w:rFonts w:hint="default" w:ascii="Times New Roman" w:hAnsi="Times New Roman" w:cs="Times New Roman"/>
          <w:color w:val="auto"/>
          <w:sz w:val="21"/>
          <w:szCs w:val="21"/>
          <w:lang w:bidi="ar"/>
        </w:rPr>
        <w:t>注：⑥=①+③+④-⑤；⑦=⑥-①</w:t>
      </w:r>
    </w:p>
    <w:sectPr>
      <w:pgSz w:w="16838" w:h="11906" w:orient="landscape"/>
      <w:pgMar w:top="1803" w:right="1417" w:bottom="1803" w:left="1417" w:header="851" w:footer="992" w:gutter="0"/>
      <w:pgBorders>
        <w:top w:val="none" w:sz="0" w:space="0"/>
        <w:left w:val="none" w:sz="0" w:space="0"/>
        <w:bottom w:val="none" w:sz="0" w:space="0"/>
        <w:right w:val="none" w:sz="0" w:space="0"/>
      </w:pgBorders>
      <w:pgNumType w:fmt="decimal"/>
      <w:cols w:space="0" w:num="1"/>
      <w:rtlGutter w:val="0"/>
      <w:docGrid w:type="lines" w:linePitch="39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roman"/>
    <w:pitch w:val="default"/>
    <w:sig w:usb0="E0002AFF" w:usb1="C0007841" w:usb2="00000009" w:usb3="00000000" w:csb0="400001FF" w:csb1="FFFF0000"/>
  </w:font>
  <w:font w:name="宋体">
    <w:panose1 w:val="02010600030101010101"/>
    <w:charset w:val="0D"/>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imesNewRomanPSMT">
    <w:altName w:val="Times New Roman"/>
    <w:panose1 w:val="00000000000000000000"/>
    <w:charset w:val="00"/>
    <w:family w:val="auto"/>
    <w:pitch w:val="default"/>
    <w:sig w:usb0="00000000" w:usb1="00000000" w:usb2="00000000" w:usb3="00000000" w:csb0="00000000" w:csb1="00000000"/>
  </w:font>
  <w:font w:name="Wingdings 2">
    <w:altName w:val="Wingdings"/>
    <w:panose1 w:val="05020102010507070707"/>
    <w:charset w:val="00"/>
    <w:family w:val="auto"/>
    <w:pitch w:val="default"/>
    <w:sig w:usb0="00000000" w:usb1="00000000" w:usb2="00000000" w:usb3="00000000" w:csb0="80000000" w:csb1="00000000"/>
  </w:font>
  <w:font w:name="微软雅黑">
    <w:panose1 w:val="020B0503020204020204"/>
    <w:charset w:val="86"/>
    <w:family w:val="swiss"/>
    <w:pitch w:val="default"/>
    <w:sig w:usb0="80000287" w:usb1="280F3C52" w:usb2="00000016" w:usb3="00000000" w:csb0="0004001F" w:csb1="00000000"/>
  </w:font>
  <w:font w:name="Kingsoft UE">
    <w:panose1 w:val="02000100010000000000"/>
    <w:charset w:val="00"/>
    <w:family w:val="auto"/>
    <w:pitch w:val="default"/>
    <w:sig w:usb0="00000001" w:usb1="00004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69244A">
    <w:pPr>
      <w:pStyle w:val="1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3BB040">
    <w:pPr>
      <w:pStyle w:val="1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8B2AB0">
    <w:pPr>
      <w:pStyle w:val="19"/>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A5E71B">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uMeuo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TmeUGKZR8cv3b5cf&#10;vy4/vxKcQaDahQXiHhwiY/PWNmib4TzgMPFuSq/TF4wI/JD3fJVXNJHwdGk+nc/HcHH4hg3ws8fr&#10;zof4TlhNkpFTj/q1srLTLsQudAhJ2YzdSqXaGipD6pzOXr8ZtxeuHoArgxyJRPfYZMVm3/TM9rY4&#10;g5i3XW8Ex7cSyXcsxHvm0Qx4MMYl3mEplUUS21uUVNZ/+dd5ikeN4KWkRnPl1GCWKFHvDWoHwDgY&#10;fjD2g2GO+taiWycYQ8dbExd8VINZeqs/Y4bWKQdczHBkymkczNvYNThmkIv1ug06Oi8PVXcBnedY&#10;3JkHx1OaJGRw62OEmK3GSaBOlV439F5bpX5OUnP/uW+jHv8Nq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m4x66jICAABjBAAADgAAAAAAAAABACAAAAAfAQAAZHJzL2Uyb0RvYy54bWxQSwUG&#10;AAAAAAYABgBZAQAAwwUAAAAA&#10;">
              <v:fill on="f" focussize="0,0"/>
              <v:stroke on="f" weight="0.5pt"/>
              <v:imagedata o:title=""/>
              <o:lock v:ext="edit" aspectratio="f"/>
              <v:textbox inset="0mm,0mm,0mm,0mm" style="mso-fit-shape-to-text:t;">
                <w:txbxContent>
                  <w:p w14:paraId="10A5E71B">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84D100">
    <w:pPr>
      <w:pStyle w:val="19"/>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0BCCAF">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aJO4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G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aJO4zAgAAYwQAAA4AAAAAAAAAAQAgAAAAHwEAAGRycy9lMm9Eb2MueG1sUEsF&#10;BgAAAAAGAAYAWQEAAMQFAAAAAA==&#10;">
              <v:fill on="f" focussize="0,0"/>
              <v:stroke on="f" weight="0.5pt"/>
              <v:imagedata o:title=""/>
              <o:lock v:ext="edit" aspectratio="f"/>
              <v:textbox inset="0mm,0mm,0mm,0mm" style="mso-fit-shape-to-text:t;">
                <w:txbxContent>
                  <w:p w14:paraId="6F0BCCAF">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603AC6">
    <w:pPr>
      <w:pStyle w:val="1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C5443A">
                          <w:pPr>
                            <w:pStyle w:val="19"/>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64C5443A">
                    <w:pPr>
                      <w:pStyle w:val="19"/>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3B4B66">
    <w:pPr>
      <w:pStyle w:val="1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F05527">
                          <w:pPr>
                            <w:pStyle w:val="19"/>
                          </w:pPr>
                          <w:r>
                            <w:fldChar w:fldCharType="begin"/>
                          </w:r>
                          <w:r>
                            <w:instrText xml:space="preserve"> PAGE  \* MERGEFORMAT </w:instrText>
                          </w:r>
                          <w:r>
                            <w:fldChar w:fldCharType="separate"/>
                          </w:r>
                          <w:r>
                            <w:t>46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xuI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e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ESHG4jICAABjBAAADgAAAAAAAAABACAAAAAfAQAAZHJzL2Uyb0RvYy54bWxQSwUG&#10;AAAAAAYABgBZAQAAwwUAAAAA&#10;">
              <v:fill on="f" focussize="0,0"/>
              <v:stroke on="f" weight="0.5pt"/>
              <v:imagedata o:title=""/>
              <o:lock v:ext="edit" aspectratio="f"/>
              <v:textbox inset="0mm,0mm,0mm,0mm" style="mso-fit-shape-to-text:t;">
                <w:txbxContent>
                  <w:p w14:paraId="5FF05527">
                    <w:pPr>
                      <w:pStyle w:val="19"/>
                    </w:pPr>
                    <w:r>
                      <w:fldChar w:fldCharType="begin"/>
                    </w:r>
                    <w:r>
                      <w:instrText xml:space="preserve"> PAGE  \* MERGEFORMAT </w:instrText>
                    </w:r>
                    <w:r>
                      <w:fldChar w:fldCharType="separate"/>
                    </w:r>
                    <w:r>
                      <w:t>46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BBCD62"/>
    <w:multiLevelType w:val="singleLevel"/>
    <w:tmpl w:val="96BBCD62"/>
    <w:lvl w:ilvl="0" w:tentative="0">
      <w:start w:val="3"/>
      <w:numFmt w:val="decimal"/>
      <w:suff w:val="nothing"/>
      <w:lvlText w:val="%1）"/>
      <w:lvlJc w:val="left"/>
    </w:lvl>
  </w:abstractNum>
  <w:abstractNum w:abstractNumId="1">
    <w:nsid w:val="2CDC800F"/>
    <w:multiLevelType w:val="multilevel"/>
    <w:tmpl w:val="2CDC800F"/>
    <w:lvl w:ilvl="0" w:tentative="0">
      <w:start w:val="1"/>
      <w:numFmt w:val="decimal"/>
      <w:pStyle w:val="72"/>
      <w:lvlText w:val="表%1"/>
      <w:lvlJc w:val="left"/>
      <w:pPr>
        <w:ind w:left="902" w:hanging="420"/>
      </w:pPr>
      <w:rPr>
        <w:rFonts w:hint="default" w:ascii="Times New Roman" w:hAnsi="Times New Roman" w:eastAsia="宋体"/>
        <w:lang w:val="en-US"/>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2">
    <w:nsid w:val="58EAB22C"/>
    <w:multiLevelType w:val="singleLevel"/>
    <w:tmpl w:val="58EAB22C"/>
    <w:lvl w:ilvl="0" w:tentative="0">
      <w:start w:val="1"/>
      <w:numFmt w:val="bullet"/>
      <w:pStyle w:val="7"/>
      <w:lvlText w:val=""/>
      <w:lvlJc w:val="left"/>
      <w:pPr>
        <w:tabs>
          <w:tab w:val="left" w:pos="2040"/>
        </w:tabs>
        <w:ind w:left="2040" w:hanging="360"/>
      </w:pPr>
      <w:rPr>
        <w:rFonts w:hint="default" w:ascii="Wingdings" w:hAnsi="Wingdings"/>
      </w:rPr>
    </w:lvl>
  </w:abstractNum>
  <w:abstractNum w:abstractNumId="3">
    <w:nsid w:val="6D827B28"/>
    <w:multiLevelType w:val="singleLevel"/>
    <w:tmpl w:val="6D827B28"/>
    <w:lvl w:ilvl="0" w:tentative="0">
      <w:start w:val="5"/>
      <w:numFmt w:val="decimal"/>
      <w:suff w:val="nothing"/>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embedSystemFonts/>
  <w:bordersDoNotSurroundHeader w:val="0"/>
  <w:bordersDoNotSurroundFooter w:val="0"/>
  <w:hideSpellingErrors/>
  <w:documentProtection w:enforcement="0"/>
  <w:defaultTabStop w:val="420"/>
  <w:drawingGridVerticalSpacing w:val="198"/>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c2MTJkNzljOGQzMDEzYmMzYmY4OGU3YzljMmQwODcifQ=="/>
  </w:docVars>
  <w:rsids>
    <w:rsidRoot w:val="47337B52"/>
    <w:rsid w:val="000338A8"/>
    <w:rsid w:val="000342DA"/>
    <w:rsid w:val="00056BBF"/>
    <w:rsid w:val="0006715C"/>
    <w:rsid w:val="0017452C"/>
    <w:rsid w:val="001B3A69"/>
    <w:rsid w:val="00261429"/>
    <w:rsid w:val="002A1107"/>
    <w:rsid w:val="00446E97"/>
    <w:rsid w:val="0052762B"/>
    <w:rsid w:val="00533747"/>
    <w:rsid w:val="005C2DAA"/>
    <w:rsid w:val="005C7D37"/>
    <w:rsid w:val="005D65BC"/>
    <w:rsid w:val="00604007"/>
    <w:rsid w:val="00696328"/>
    <w:rsid w:val="006B7057"/>
    <w:rsid w:val="0071552F"/>
    <w:rsid w:val="008039CA"/>
    <w:rsid w:val="00812E86"/>
    <w:rsid w:val="00854B8B"/>
    <w:rsid w:val="00907422"/>
    <w:rsid w:val="009205D5"/>
    <w:rsid w:val="009932E2"/>
    <w:rsid w:val="009F6C93"/>
    <w:rsid w:val="00A3567D"/>
    <w:rsid w:val="00A636E0"/>
    <w:rsid w:val="00AC3E28"/>
    <w:rsid w:val="00B24509"/>
    <w:rsid w:val="00B92181"/>
    <w:rsid w:val="00B96837"/>
    <w:rsid w:val="00C8781D"/>
    <w:rsid w:val="00D93A02"/>
    <w:rsid w:val="00F61363"/>
    <w:rsid w:val="00FD4E79"/>
    <w:rsid w:val="011024D9"/>
    <w:rsid w:val="01687FFE"/>
    <w:rsid w:val="01864B43"/>
    <w:rsid w:val="018D219E"/>
    <w:rsid w:val="01B67A0B"/>
    <w:rsid w:val="01B86DB6"/>
    <w:rsid w:val="01CD0F22"/>
    <w:rsid w:val="01CF1323"/>
    <w:rsid w:val="01DF5489"/>
    <w:rsid w:val="020B4EFD"/>
    <w:rsid w:val="020E01CE"/>
    <w:rsid w:val="024A0BB7"/>
    <w:rsid w:val="02940D55"/>
    <w:rsid w:val="029F03C1"/>
    <w:rsid w:val="02A54FBD"/>
    <w:rsid w:val="02AE2387"/>
    <w:rsid w:val="02B2797C"/>
    <w:rsid w:val="02B34ECE"/>
    <w:rsid w:val="02B60CBE"/>
    <w:rsid w:val="02C62933"/>
    <w:rsid w:val="02D175D9"/>
    <w:rsid w:val="02DC5239"/>
    <w:rsid w:val="02DD5586"/>
    <w:rsid w:val="02E27A67"/>
    <w:rsid w:val="02E53E56"/>
    <w:rsid w:val="033316EA"/>
    <w:rsid w:val="03573B83"/>
    <w:rsid w:val="038B1487"/>
    <w:rsid w:val="039A7DB6"/>
    <w:rsid w:val="03B44BCD"/>
    <w:rsid w:val="03D04833"/>
    <w:rsid w:val="03DB72E3"/>
    <w:rsid w:val="03E52368"/>
    <w:rsid w:val="03E73CA6"/>
    <w:rsid w:val="03E814DF"/>
    <w:rsid w:val="042450BA"/>
    <w:rsid w:val="04363901"/>
    <w:rsid w:val="044702B6"/>
    <w:rsid w:val="044B6C64"/>
    <w:rsid w:val="04526FC6"/>
    <w:rsid w:val="047420BE"/>
    <w:rsid w:val="047F723D"/>
    <w:rsid w:val="04A15BD4"/>
    <w:rsid w:val="04C66F35"/>
    <w:rsid w:val="05027D4C"/>
    <w:rsid w:val="050C731A"/>
    <w:rsid w:val="051001D1"/>
    <w:rsid w:val="052E2E29"/>
    <w:rsid w:val="05375C27"/>
    <w:rsid w:val="05645C43"/>
    <w:rsid w:val="0597796B"/>
    <w:rsid w:val="05A642C8"/>
    <w:rsid w:val="05CE2EF3"/>
    <w:rsid w:val="05EA06E6"/>
    <w:rsid w:val="05FC6C57"/>
    <w:rsid w:val="061009EE"/>
    <w:rsid w:val="062F6E94"/>
    <w:rsid w:val="064620CC"/>
    <w:rsid w:val="0651201F"/>
    <w:rsid w:val="06580562"/>
    <w:rsid w:val="0668412B"/>
    <w:rsid w:val="067508F8"/>
    <w:rsid w:val="06815E42"/>
    <w:rsid w:val="06820577"/>
    <w:rsid w:val="069B2454"/>
    <w:rsid w:val="06A72000"/>
    <w:rsid w:val="06AD6BAF"/>
    <w:rsid w:val="06CB676A"/>
    <w:rsid w:val="06CD7A8A"/>
    <w:rsid w:val="07026CB5"/>
    <w:rsid w:val="07110CFE"/>
    <w:rsid w:val="07142A40"/>
    <w:rsid w:val="073C0B0D"/>
    <w:rsid w:val="075C2D03"/>
    <w:rsid w:val="07AA7265"/>
    <w:rsid w:val="07B84D14"/>
    <w:rsid w:val="07BF4D5D"/>
    <w:rsid w:val="07CD1B50"/>
    <w:rsid w:val="07E82202"/>
    <w:rsid w:val="08071C7F"/>
    <w:rsid w:val="08161201"/>
    <w:rsid w:val="081A779C"/>
    <w:rsid w:val="081D0D6B"/>
    <w:rsid w:val="08202B68"/>
    <w:rsid w:val="083A6EF6"/>
    <w:rsid w:val="083C7E99"/>
    <w:rsid w:val="08420B75"/>
    <w:rsid w:val="08484ACF"/>
    <w:rsid w:val="085E4324"/>
    <w:rsid w:val="085F7550"/>
    <w:rsid w:val="086B6CBD"/>
    <w:rsid w:val="089728BA"/>
    <w:rsid w:val="08B510DB"/>
    <w:rsid w:val="08B7656E"/>
    <w:rsid w:val="08E3005A"/>
    <w:rsid w:val="08F101F5"/>
    <w:rsid w:val="08F961FB"/>
    <w:rsid w:val="09031CF5"/>
    <w:rsid w:val="0906193C"/>
    <w:rsid w:val="090926CF"/>
    <w:rsid w:val="091F26C2"/>
    <w:rsid w:val="09D2313D"/>
    <w:rsid w:val="09E01AC0"/>
    <w:rsid w:val="09E85525"/>
    <w:rsid w:val="09F20D2E"/>
    <w:rsid w:val="0A042B2D"/>
    <w:rsid w:val="0A2E3708"/>
    <w:rsid w:val="0A4040D0"/>
    <w:rsid w:val="0A6F013C"/>
    <w:rsid w:val="0A926C64"/>
    <w:rsid w:val="0A934C1E"/>
    <w:rsid w:val="0A95778C"/>
    <w:rsid w:val="0A985DD1"/>
    <w:rsid w:val="0AAC14D4"/>
    <w:rsid w:val="0AAF4740"/>
    <w:rsid w:val="0AB03AE3"/>
    <w:rsid w:val="0AB51E21"/>
    <w:rsid w:val="0AE21620"/>
    <w:rsid w:val="0AEE2A27"/>
    <w:rsid w:val="0AF84A10"/>
    <w:rsid w:val="0B091922"/>
    <w:rsid w:val="0B093D05"/>
    <w:rsid w:val="0B22040F"/>
    <w:rsid w:val="0B2269DD"/>
    <w:rsid w:val="0B247C65"/>
    <w:rsid w:val="0B3041C1"/>
    <w:rsid w:val="0B3D39AE"/>
    <w:rsid w:val="0B3F5D38"/>
    <w:rsid w:val="0B684506"/>
    <w:rsid w:val="0B8364D1"/>
    <w:rsid w:val="0B9335CE"/>
    <w:rsid w:val="0BA4788F"/>
    <w:rsid w:val="0BC92F29"/>
    <w:rsid w:val="0BD95485"/>
    <w:rsid w:val="0BE205F3"/>
    <w:rsid w:val="0BF04916"/>
    <w:rsid w:val="0C0A6BE3"/>
    <w:rsid w:val="0C3E6C7F"/>
    <w:rsid w:val="0C405830"/>
    <w:rsid w:val="0C4C1587"/>
    <w:rsid w:val="0C621ECD"/>
    <w:rsid w:val="0C6902E1"/>
    <w:rsid w:val="0C84226F"/>
    <w:rsid w:val="0C8C0749"/>
    <w:rsid w:val="0C9F0D22"/>
    <w:rsid w:val="0CA5440E"/>
    <w:rsid w:val="0CBA6DA2"/>
    <w:rsid w:val="0CC873FE"/>
    <w:rsid w:val="0CCE09BB"/>
    <w:rsid w:val="0CE20586"/>
    <w:rsid w:val="0CE70F52"/>
    <w:rsid w:val="0CE84A81"/>
    <w:rsid w:val="0D38325D"/>
    <w:rsid w:val="0D44292A"/>
    <w:rsid w:val="0D5A61A4"/>
    <w:rsid w:val="0D812F1B"/>
    <w:rsid w:val="0D820CF9"/>
    <w:rsid w:val="0D83224B"/>
    <w:rsid w:val="0D8E6743"/>
    <w:rsid w:val="0D903EB0"/>
    <w:rsid w:val="0D925F2B"/>
    <w:rsid w:val="0DD35A97"/>
    <w:rsid w:val="0DF20A80"/>
    <w:rsid w:val="0DF27B36"/>
    <w:rsid w:val="0DF42A9A"/>
    <w:rsid w:val="0E036D11"/>
    <w:rsid w:val="0E232EAA"/>
    <w:rsid w:val="0E234276"/>
    <w:rsid w:val="0E47267D"/>
    <w:rsid w:val="0E486207"/>
    <w:rsid w:val="0E486A61"/>
    <w:rsid w:val="0E6B3A52"/>
    <w:rsid w:val="0E70259C"/>
    <w:rsid w:val="0E753244"/>
    <w:rsid w:val="0E813BB2"/>
    <w:rsid w:val="0EB30F5C"/>
    <w:rsid w:val="0EB5597D"/>
    <w:rsid w:val="0EBC4F8B"/>
    <w:rsid w:val="0EBF1D36"/>
    <w:rsid w:val="0ED92EC2"/>
    <w:rsid w:val="0EF37602"/>
    <w:rsid w:val="0F136F00"/>
    <w:rsid w:val="0F16142F"/>
    <w:rsid w:val="0F3B43AE"/>
    <w:rsid w:val="0F72637D"/>
    <w:rsid w:val="0F753E77"/>
    <w:rsid w:val="0F900551"/>
    <w:rsid w:val="0F94484C"/>
    <w:rsid w:val="0F9575E1"/>
    <w:rsid w:val="0F9D7DC2"/>
    <w:rsid w:val="0FC14BAE"/>
    <w:rsid w:val="10227328"/>
    <w:rsid w:val="102E4CFD"/>
    <w:rsid w:val="103F4C21"/>
    <w:rsid w:val="1042405B"/>
    <w:rsid w:val="10473884"/>
    <w:rsid w:val="105E064F"/>
    <w:rsid w:val="105F2091"/>
    <w:rsid w:val="106046B7"/>
    <w:rsid w:val="10635F40"/>
    <w:rsid w:val="106668A8"/>
    <w:rsid w:val="107533EE"/>
    <w:rsid w:val="108B3378"/>
    <w:rsid w:val="10900C36"/>
    <w:rsid w:val="10903894"/>
    <w:rsid w:val="111E2B44"/>
    <w:rsid w:val="112D4B41"/>
    <w:rsid w:val="11372728"/>
    <w:rsid w:val="1155697F"/>
    <w:rsid w:val="11877731"/>
    <w:rsid w:val="118F5312"/>
    <w:rsid w:val="11910467"/>
    <w:rsid w:val="119F5F25"/>
    <w:rsid w:val="11AA707A"/>
    <w:rsid w:val="11B3770F"/>
    <w:rsid w:val="11BC5701"/>
    <w:rsid w:val="11E27B6F"/>
    <w:rsid w:val="11FA3ACB"/>
    <w:rsid w:val="123F0A7C"/>
    <w:rsid w:val="1245423F"/>
    <w:rsid w:val="125644FC"/>
    <w:rsid w:val="12AC790A"/>
    <w:rsid w:val="12B46876"/>
    <w:rsid w:val="12EA6254"/>
    <w:rsid w:val="12F65F3A"/>
    <w:rsid w:val="12F7725B"/>
    <w:rsid w:val="131122B4"/>
    <w:rsid w:val="13290CC0"/>
    <w:rsid w:val="13386398"/>
    <w:rsid w:val="13572720"/>
    <w:rsid w:val="1363353B"/>
    <w:rsid w:val="136B13F7"/>
    <w:rsid w:val="136E119F"/>
    <w:rsid w:val="13730D35"/>
    <w:rsid w:val="13D12951"/>
    <w:rsid w:val="13FC0F16"/>
    <w:rsid w:val="140D35C8"/>
    <w:rsid w:val="142154CC"/>
    <w:rsid w:val="143D057B"/>
    <w:rsid w:val="1444790E"/>
    <w:rsid w:val="14575269"/>
    <w:rsid w:val="147F4DF3"/>
    <w:rsid w:val="148A14E4"/>
    <w:rsid w:val="14983BB6"/>
    <w:rsid w:val="14DA64B5"/>
    <w:rsid w:val="15083BC9"/>
    <w:rsid w:val="15477903"/>
    <w:rsid w:val="15663D90"/>
    <w:rsid w:val="15872CB5"/>
    <w:rsid w:val="158A2C37"/>
    <w:rsid w:val="1590103E"/>
    <w:rsid w:val="1599381C"/>
    <w:rsid w:val="15B74534"/>
    <w:rsid w:val="15B7757C"/>
    <w:rsid w:val="15C745A0"/>
    <w:rsid w:val="15F5655C"/>
    <w:rsid w:val="16266F18"/>
    <w:rsid w:val="163C0E2E"/>
    <w:rsid w:val="16416217"/>
    <w:rsid w:val="16474A4D"/>
    <w:rsid w:val="166C3680"/>
    <w:rsid w:val="16A9251B"/>
    <w:rsid w:val="16BA6D11"/>
    <w:rsid w:val="16BE5D16"/>
    <w:rsid w:val="16D00001"/>
    <w:rsid w:val="16D5207F"/>
    <w:rsid w:val="16DB3F82"/>
    <w:rsid w:val="17017B30"/>
    <w:rsid w:val="171A7C8B"/>
    <w:rsid w:val="17511257"/>
    <w:rsid w:val="17647424"/>
    <w:rsid w:val="177A201D"/>
    <w:rsid w:val="177D5C04"/>
    <w:rsid w:val="17910762"/>
    <w:rsid w:val="17C43569"/>
    <w:rsid w:val="17C911DB"/>
    <w:rsid w:val="1821004C"/>
    <w:rsid w:val="18342FF4"/>
    <w:rsid w:val="183B244E"/>
    <w:rsid w:val="18533C37"/>
    <w:rsid w:val="185F6D12"/>
    <w:rsid w:val="188C5516"/>
    <w:rsid w:val="18953665"/>
    <w:rsid w:val="189763E7"/>
    <w:rsid w:val="189D275D"/>
    <w:rsid w:val="189F1002"/>
    <w:rsid w:val="18BD01A3"/>
    <w:rsid w:val="18CF5030"/>
    <w:rsid w:val="18D135DD"/>
    <w:rsid w:val="18D166D0"/>
    <w:rsid w:val="18E965DD"/>
    <w:rsid w:val="18EE3310"/>
    <w:rsid w:val="18EF7F00"/>
    <w:rsid w:val="191805BA"/>
    <w:rsid w:val="193457D1"/>
    <w:rsid w:val="194A32DF"/>
    <w:rsid w:val="19831E34"/>
    <w:rsid w:val="1984390B"/>
    <w:rsid w:val="19BC14B3"/>
    <w:rsid w:val="19C84F88"/>
    <w:rsid w:val="19D76D3D"/>
    <w:rsid w:val="19E67B10"/>
    <w:rsid w:val="19FE2424"/>
    <w:rsid w:val="1A012C13"/>
    <w:rsid w:val="1A050447"/>
    <w:rsid w:val="1A1A782C"/>
    <w:rsid w:val="1A286237"/>
    <w:rsid w:val="1A307B3F"/>
    <w:rsid w:val="1A3F4E5F"/>
    <w:rsid w:val="1A6577C4"/>
    <w:rsid w:val="1A733D6A"/>
    <w:rsid w:val="1A882CBF"/>
    <w:rsid w:val="1A9D3E8E"/>
    <w:rsid w:val="1AD02149"/>
    <w:rsid w:val="1AF000F5"/>
    <w:rsid w:val="1B0070B8"/>
    <w:rsid w:val="1B081236"/>
    <w:rsid w:val="1B2836A2"/>
    <w:rsid w:val="1B387F06"/>
    <w:rsid w:val="1B4677D6"/>
    <w:rsid w:val="1B656D35"/>
    <w:rsid w:val="1B7E0B1A"/>
    <w:rsid w:val="1B8C002B"/>
    <w:rsid w:val="1B8C7BEC"/>
    <w:rsid w:val="1BAA6669"/>
    <w:rsid w:val="1BB34F5C"/>
    <w:rsid w:val="1BB36291"/>
    <w:rsid w:val="1BBA546D"/>
    <w:rsid w:val="1BD660E6"/>
    <w:rsid w:val="1BDF2723"/>
    <w:rsid w:val="1BE776CD"/>
    <w:rsid w:val="1BE849CB"/>
    <w:rsid w:val="1BF65D06"/>
    <w:rsid w:val="1BFF55C8"/>
    <w:rsid w:val="1C2029F3"/>
    <w:rsid w:val="1C3662C8"/>
    <w:rsid w:val="1C5978AF"/>
    <w:rsid w:val="1C5A616E"/>
    <w:rsid w:val="1C623DEF"/>
    <w:rsid w:val="1C6669D0"/>
    <w:rsid w:val="1C717645"/>
    <w:rsid w:val="1C762334"/>
    <w:rsid w:val="1C7D0090"/>
    <w:rsid w:val="1C820C7D"/>
    <w:rsid w:val="1CB77D35"/>
    <w:rsid w:val="1CC37803"/>
    <w:rsid w:val="1CCC576E"/>
    <w:rsid w:val="1CD50975"/>
    <w:rsid w:val="1CE337C3"/>
    <w:rsid w:val="1CE728BC"/>
    <w:rsid w:val="1CEC2503"/>
    <w:rsid w:val="1CFE7CC1"/>
    <w:rsid w:val="1D01040E"/>
    <w:rsid w:val="1D0C77F7"/>
    <w:rsid w:val="1D1A12F5"/>
    <w:rsid w:val="1D1B7E59"/>
    <w:rsid w:val="1D2041E1"/>
    <w:rsid w:val="1D2B4AE8"/>
    <w:rsid w:val="1D312928"/>
    <w:rsid w:val="1D42697A"/>
    <w:rsid w:val="1D554B87"/>
    <w:rsid w:val="1D6034B7"/>
    <w:rsid w:val="1D73014E"/>
    <w:rsid w:val="1D7E04F4"/>
    <w:rsid w:val="1D7E2A72"/>
    <w:rsid w:val="1D9B4016"/>
    <w:rsid w:val="1DA12F6F"/>
    <w:rsid w:val="1DC142F8"/>
    <w:rsid w:val="1DC26A6C"/>
    <w:rsid w:val="1DCC7C3E"/>
    <w:rsid w:val="1DE50621"/>
    <w:rsid w:val="1E026A8E"/>
    <w:rsid w:val="1E201DA8"/>
    <w:rsid w:val="1E3F13CB"/>
    <w:rsid w:val="1E440900"/>
    <w:rsid w:val="1E4A21EA"/>
    <w:rsid w:val="1E5937C0"/>
    <w:rsid w:val="1E9354E2"/>
    <w:rsid w:val="1E9B0CC0"/>
    <w:rsid w:val="1ECF60B1"/>
    <w:rsid w:val="1F1D18F8"/>
    <w:rsid w:val="1F1F3655"/>
    <w:rsid w:val="1F233BE4"/>
    <w:rsid w:val="1F264BAA"/>
    <w:rsid w:val="1F425A6D"/>
    <w:rsid w:val="1F55183E"/>
    <w:rsid w:val="1F5666AB"/>
    <w:rsid w:val="1F682A9E"/>
    <w:rsid w:val="1F6C0902"/>
    <w:rsid w:val="1F8567B4"/>
    <w:rsid w:val="1F9255E2"/>
    <w:rsid w:val="1F9260B5"/>
    <w:rsid w:val="1FA904AC"/>
    <w:rsid w:val="1FB01C98"/>
    <w:rsid w:val="1FB625A6"/>
    <w:rsid w:val="1FC53C71"/>
    <w:rsid w:val="1FDF21B9"/>
    <w:rsid w:val="1FEF6BCD"/>
    <w:rsid w:val="200D4D58"/>
    <w:rsid w:val="20145E6F"/>
    <w:rsid w:val="202A23AA"/>
    <w:rsid w:val="2035252F"/>
    <w:rsid w:val="20426768"/>
    <w:rsid w:val="204E416E"/>
    <w:rsid w:val="2053554B"/>
    <w:rsid w:val="205A42AC"/>
    <w:rsid w:val="20627C51"/>
    <w:rsid w:val="206334A0"/>
    <w:rsid w:val="20B83A79"/>
    <w:rsid w:val="20B857A0"/>
    <w:rsid w:val="20CD1C21"/>
    <w:rsid w:val="20F70346"/>
    <w:rsid w:val="21165730"/>
    <w:rsid w:val="216049C8"/>
    <w:rsid w:val="216A3842"/>
    <w:rsid w:val="217534B7"/>
    <w:rsid w:val="217C72A8"/>
    <w:rsid w:val="21874123"/>
    <w:rsid w:val="21A21EE6"/>
    <w:rsid w:val="21A63C29"/>
    <w:rsid w:val="21AA3D8E"/>
    <w:rsid w:val="21AB746C"/>
    <w:rsid w:val="21CA7BA7"/>
    <w:rsid w:val="21CC28F9"/>
    <w:rsid w:val="21CC4CBC"/>
    <w:rsid w:val="21E373E5"/>
    <w:rsid w:val="21F04E5C"/>
    <w:rsid w:val="21F62B4B"/>
    <w:rsid w:val="21FE2F88"/>
    <w:rsid w:val="220A3841"/>
    <w:rsid w:val="226400B3"/>
    <w:rsid w:val="229B20F7"/>
    <w:rsid w:val="22A86856"/>
    <w:rsid w:val="22AC24D1"/>
    <w:rsid w:val="22AD6181"/>
    <w:rsid w:val="22BF7272"/>
    <w:rsid w:val="22C23756"/>
    <w:rsid w:val="22C4619A"/>
    <w:rsid w:val="22C96F20"/>
    <w:rsid w:val="22CA332F"/>
    <w:rsid w:val="22D4112F"/>
    <w:rsid w:val="22E611C3"/>
    <w:rsid w:val="22EA79FA"/>
    <w:rsid w:val="231B182E"/>
    <w:rsid w:val="232D6225"/>
    <w:rsid w:val="234D125D"/>
    <w:rsid w:val="235446BD"/>
    <w:rsid w:val="23656449"/>
    <w:rsid w:val="237B29FC"/>
    <w:rsid w:val="237B31BD"/>
    <w:rsid w:val="23867F9F"/>
    <w:rsid w:val="239F5B0C"/>
    <w:rsid w:val="23BA2D13"/>
    <w:rsid w:val="23E46649"/>
    <w:rsid w:val="23E822B1"/>
    <w:rsid w:val="23F414E2"/>
    <w:rsid w:val="240C2CD0"/>
    <w:rsid w:val="240F0384"/>
    <w:rsid w:val="241B5D53"/>
    <w:rsid w:val="24596D0B"/>
    <w:rsid w:val="246A2C0D"/>
    <w:rsid w:val="247578BD"/>
    <w:rsid w:val="248C02D2"/>
    <w:rsid w:val="24C907E9"/>
    <w:rsid w:val="24D0490F"/>
    <w:rsid w:val="24E33462"/>
    <w:rsid w:val="24F4656C"/>
    <w:rsid w:val="24FB4836"/>
    <w:rsid w:val="250D3EB3"/>
    <w:rsid w:val="25123667"/>
    <w:rsid w:val="251956E0"/>
    <w:rsid w:val="252F333C"/>
    <w:rsid w:val="25430400"/>
    <w:rsid w:val="2558384A"/>
    <w:rsid w:val="25587188"/>
    <w:rsid w:val="25680BD9"/>
    <w:rsid w:val="25746FEE"/>
    <w:rsid w:val="258411D9"/>
    <w:rsid w:val="25853D69"/>
    <w:rsid w:val="25965227"/>
    <w:rsid w:val="259914E9"/>
    <w:rsid w:val="259A5A99"/>
    <w:rsid w:val="25A31CB1"/>
    <w:rsid w:val="25A42643"/>
    <w:rsid w:val="25C250DE"/>
    <w:rsid w:val="25CA2EBD"/>
    <w:rsid w:val="25D212EB"/>
    <w:rsid w:val="25D866B1"/>
    <w:rsid w:val="26292161"/>
    <w:rsid w:val="266D6A9E"/>
    <w:rsid w:val="267E506F"/>
    <w:rsid w:val="26816DC9"/>
    <w:rsid w:val="26875117"/>
    <w:rsid w:val="26963D00"/>
    <w:rsid w:val="26B66F5E"/>
    <w:rsid w:val="26C129C2"/>
    <w:rsid w:val="270C39B5"/>
    <w:rsid w:val="273405F5"/>
    <w:rsid w:val="27663E9A"/>
    <w:rsid w:val="27BB3FE9"/>
    <w:rsid w:val="27BC3C87"/>
    <w:rsid w:val="27C4149A"/>
    <w:rsid w:val="27FF32AC"/>
    <w:rsid w:val="28021CA9"/>
    <w:rsid w:val="28120110"/>
    <w:rsid w:val="28212236"/>
    <w:rsid w:val="282E41E5"/>
    <w:rsid w:val="283657F8"/>
    <w:rsid w:val="28453A9D"/>
    <w:rsid w:val="2862388A"/>
    <w:rsid w:val="28623A04"/>
    <w:rsid w:val="28A50FE4"/>
    <w:rsid w:val="28AE75B4"/>
    <w:rsid w:val="28C50ACE"/>
    <w:rsid w:val="28D41C26"/>
    <w:rsid w:val="290F7B6C"/>
    <w:rsid w:val="291056F2"/>
    <w:rsid w:val="29185CAA"/>
    <w:rsid w:val="29412EB4"/>
    <w:rsid w:val="29474A10"/>
    <w:rsid w:val="294813A0"/>
    <w:rsid w:val="296850EE"/>
    <w:rsid w:val="29CC70CF"/>
    <w:rsid w:val="29DE6F98"/>
    <w:rsid w:val="29FC18E1"/>
    <w:rsid w:val="2A291B72"/>
    <w:rsid w:val="2A2A1B5F"/>
    <w:rsid w:val="2A3F382C"/>
    <w:rsid w:val="2A465270"/>
    <w:rsid w:val="2A4B1A50"/>
    <w:rsid w:val="2A58457F"/>
    <w:rsid w:val="2A632BA2"/>
    <w:rsid w:val="2A79694A"/>
    <w:rsid w:val="2A7C7645"/>
    <w:rsid w:val="2A963FF1"/>
    <w:rsid w:val="2AC147E8"/>
    <w:rsid w:val="2AC55581"/>
    <w:rsid w:val="2AD375D2"/>
    <w:rsid w:val="2AD73E54"/>
    <w:rsid w:val="2AF91072"/>
    <w:rsid w:val="2B0B4AC1"/>
    <w:rsid w:val="2B1F6166"/>
    <w:rsid w:val="2B3C23FA"/>
    <w:rsid w:val="2B4016F4"/>
    <w:rsid w:val="2B646314"/>
    <w:rsid w:val="2B920FCA"/>
    <w:rsid w:val="2BB367CF"/>
    <w:rsid w:val="2BCF7030"/>
    <w:rsid w:val="2BE774AF"/>
    <w:rsid w:val="2BF85E4C"/>
    <w:rsid w:val="2C0E2A78"/>
    <w:rsid w:val="2C3951D6"/>
    <w:rsid w:val="2C56505D"/>
    <w:rsid w:val="2C601DE4"/>
    <w:rsid w:val="2C714C89"/>
    <w:rsid w:val="2C753AE6"/>
    <w:rsid w:val="2C7A57F6"/>
    <w:rsid w:val="2C8D0751"/>
    <w:rsid w:val="2C9D5009"/>
    <w:rsid w:val="2CB10DC3"/>
    <w:rsid w:val="2CC33414"/>
    <w:rsid w:val="2CD51096"/>
    <w:rsid w:val="2CEB4476"/>
    <w:rsid w:val="2CEF608D"/>
    <w:rsid w:val="2CF14016"/>
    <w:rsid w:val="2CF56F6B"/>
    <w:rsid w:val="2D006182"/>
    <w:rsid w:val="2D5A1B18"/>
    <w:rsid w:val="2D88302B"/>
    <w:rsid w:val="2D96147A"/>
    <w:rsid w:val="2D9E7AD4"/>
    <w:rsid w:val="2DC21B63"/>
    <w:rsid w:val="2DD51BFA"/>
    <w:rsid w:val="2DE36D9D"/>
    <w:rsid w:val="2DFE5A4C"/>
    <w:rsid w:val="2E07340C"/>
    <w:rsid w:val="2E2F3573"/>
    <w:rsid w:val="2E482D2B"/>
    <w:rsid w:val="2E540BAD"/>
    <w:rsid w:val="2E550472"/>
    <w:rsid w:val="2E71494B"/>
    <w:rsid w:val="2E736EF5"/>
    <w:rsid w:val="2E7E6D73"/>
    <w:rsid w:val="2E85311A"/>
    <w:rsid w:val="2E9E3D31"/>
    <w:rsid w:val="2EA0520A"/>
    <w:rsid w:val="2EAF02D0"/>
    <w:rsid w:val="2EB136ED"/>
    <w:rsid w:val="2EC42555"/>
    <w:rsid w:val="2ED72DDC"/>
    <w:rsid w:val="2EDB15C7"/>
    <w:rsid w:val="2EF240BB"/>
    <w:rsid w:val="2EF315E8"/>
    <w:rsid w:val="2F000DF7"/>
    <w:rsid w:val="2F1874C4"/>
    <w:rsid w:val="2F2803A9"/>
    <w:rsid w:val="2F662726"/>
    <w:rsid w:val="2F6839C4"/>
    <w:rsid w:val="2FAC62B7"/>
    <w:rsid w:val="2FCC29CA"/>
    <w:rsid w:val="2FE81F67"/>
    <w:rsid w:val="30067123"/>
    <w:rsid w:val="302F0062"/>
    <w:rsid w:val="30392E2B"/>
    <w:rsid w:val="3046763E"/>
    <w:rsid w:val="30B37E14"/>
    <w:rsid w:val="30BC77E7"/>
    <w:rsid w:val="30D047F9"/>
    <w:rsid w:val="30E855AF"/>
    <w:rsid w:val="30EF1F76"/>
    <w:rsid w:val="31124223"/>
    <w:rsid w:val="31190D28"/>
    <w:rsid w:val="312375AE"/>
    <w:rsid w:val="31467A2D"/>
    <w:rsid w:val="3159031F"/>
    <w:rsid w:val="317249B1"/>
    <w:rsid w:val="3176192B"/>
    <w:rsid w:val="318F7498"/>
    <w:rsid w:val="31A06E0C"/>
    <w:rsid w:val="31BA5DEC"/>
    <w:rsid w:val="31C13DBE"/>
    <w:rsid w:val="31CA3A6E"/>
    <w:rsid w:val="31E11237"/>
    <w:rsid w:val="31ED04C3"/>
    <w:rsid w:val="31F92ACB"/>
    <w:rsid w:val="321465A6"/>
    <w:rsid w:val="32237961"/>
    <w:rsid w:val="32274BC3"/>
    <w:rsid w:val="323C2E8C"/>
    <w:rsid w:val="32691205"/>
    <w:rsid w:val="326C2B8E"/>
    <w:rsid w:val="32701913"/>
    <w:rsid w:val="32803FC6"/>
    <w:rsid w:val="328A09D8"/>
    <w:rsid w:val="32941D67"/>
    <w:rsid w:val="329E3D7A"/>
    <w:rsid w:val="32B12408"/>
    <w:rsid w:val="32BA62F2"/>
    <w:rsid w:val="32CD5B0E"/>
    <w:rsid w:val="32CF120F"/>
    <w:rsid w:val="32D94D7F"/>
    <w:rsid w:val="32EA5C41"/>
    <w:rsid w:val="32F906EA"/>
    <w:rsid w:val="32FF6A74"/>
    <w:rsid w:val="33035619"/>
    <w:rsid w:val="33192B9D"/>
    <w:rsid w:val="331C14B6"/>
    <w:rsid w:val="331F5761"/>
    <w:rsid w:val="335B74C1"/>
    <w:rsid w:val="335D5BE1"/>
    <w:rsid w:val="339F2D1F"/>
    <w:rsid w:val="33B8680A"/>
    <w:rsid w:val="33D23B0B"/>
    <w:rsid w:val="33F17860"/>
    <w:rsid w:val="34064C38"/>
    <w:rsid w:val="342D0168"/>
    <w:rsid w:val="343441D7"/>
    <w:rsid w:val="343A051C"/>
    <w:rsid w:val="345164A1"/>
    <w:rsid w:val="345E036E"/>
    <w:rsid w:val="34655258"/>
    <w:rsid w:val="346E5762"/>
    <w:rsid w:val="34747D11"/>
    <w:rsid w:val="3487111B"/>
    <w:rsid w:val="349834BB"/>
    <w:rsid w:val="34C25DD7"/>
    <w:rsid w:val="34CD283C"/>
    <w:rsid w:val="34CF683A"/>
    <w:rsid w:val="34DB551B"/>
    <w:rsid w:val="35356CC6"/>
    <w:rsid w:val="3547159E"/>
    <w:rsid w:val="35564348"/>
    <w:rsid w:val="35655D3A"/>
    <w:rsid w:val="358B3424"/>
    <w:rsid w:val="359D0770"/>
    <w:rsid w:val="35A37983"/>
    <w:rsid w:val="35BA70A8"/>
    <w:rsid w:val="35EA423A"/>
    <w:rsid w:val="360452B3"/>
    <w:rsid w:val="362172F1"/>
    <w:rsid w:val="362C0724"/>
    <w:rsid w:val="36382298"/>
    <w:rsid w:val="3672253E"/>
    <w:rsid w:val="367A3D47"/>
    <w:rsid w:val="36CF0D4E"/>
    <w:rsid w:val="3705221A"/>
    <w:rsid w:val="374C482B"/>
    <w:rsid w:val="375405F4"/>
    <w:rsid w:val="37967102"/>
    <w:rsid w:val="379D0955"/>
    <w:rsid w:val="37B05B56"/>
    <w:rsid w:val="37C666DE"/>
    <w:rsid w:val="380048DF"/>
    <w:rsid w:val="380C527B"/>
    <w:rsid w:val="3812624E"/>
    <w:rsid w:val="381D52AE"/>
    <w:rsid w:val="382F02B5"/>
    <w:rsid w:val="38310B95"/>
    <w:rsid w:val="3833511A"/>
    <w:rsid w:val="385645E3"/>
    <w:rsid w:val="3861668A"/>
    <w:rsid w:val="38725AAB"/>
    <w:rsid w:val="38880E0B"/>
    <w:rsid w:val="388A20A7"/>
    <w:rsid w:val="3892569A"/>
    <w:rsid w:val="3899146F"/>
    <w:rsid w:val="389D516D"/>
    <w:rsid w:val="38A406DF"/>
    <w:rsid w:val="38AA5001"/>
    <w:rsid w:val="38B31234"/>
    <w:rsid w:val="38B37AA2"/>
    <w:rsid w:val="38DA3621"/>
    <w:rsid w:val="38E15A09"/>
    <w:rsid w:val="38FA219A"/>
    <w:rsid w:val="38FE4B0D"/>
    <w:rsid w:val="39056649"/>
    <w:rsid w:val="3906243C"/>
    <w:rsid w:val="39094D07"/>
    <w:rsid w:val="39324BD5"/>
    <w:rsid w:val="395D502A"/>
    <w:rsid w:val="395E1D1E"/>
    <w:rsid w:val="399E1B32"/>
    <w:rsid w:val="39A74488"/>
    <w:rsid w:val="39B66022"/>
    <w:rsid w:val="39B87ABC"/>
    <w:rsid w:val="39C42242"/>
    <w:rsid w:val="39F27583"/>
    <w:rsid w:val="3A253D8A"/>
    <w:rsid w:val="3A3210EF"/>
    <w:rsid w:val="3A4422B2"/>
    <w:rsid w:val="3A4C6CEA"/>
    <w:rsid w:val="3A523518"/>
    <w:rsid w:val="3A6F6951"/>
    <w:rsid w:val="3A7B3423"/>
    <w:rsid w:val="3AA45590"/>
    <w:rsid w:val="3AAB00A0"/>
    <w:rsid w:val="3ADD7441"/>
    <w:rsid w:val="3AE4407E"/>
    <w:rsid w:val="3AE949DE"/>
    <w:rsid w:val="3B131DCF"/>
    <w:rsid w:val="3B1C4A8B"/>
    <w:rsid w:val="3B2404AE"/>
    <w:rsid w:val="3B404051"/>
    <w:rsid w:val="3B4E2D5D"/>
    <w:rsid w:val="3B575B87"/>
    <w:rsid w:val="3B6A7C30"/>
    <w:rsid w:val="3B8052AF"/>
    <w:rsid w:val="3B8B3FAC"/>
    <w:rsid w:val="3BA9245E"/>
    <w:rsid w:val="3BBE659F"/>
    <w:rsid w:val="3BD73D75"/>
    <w:rsid w:val="3BD90D51"/>
    <w:rsid w:val="3BFB1526"/>
    <w:rsid w:val="3C0511D1"/>
    <w:rsid w:val="3C3F792B"/>
    <w:rsid w:val="3C455176"/>
    <w:rsid w:val="3C485B8B"/>
    <w:rsid w:val="3C4E05C5"/>
    <w:rsid w:val="3C5353E5"/>
    <w:rsid w:val="3C5C253A"/>
    <w:rsid w:val="3C7D6D35"/>
    <w:rsid w:val="3C8A79B0"/>
    <w:rsid w:val="3C8B64CE"/>
    <w:rsid w:val="3CBC214D"/>
    <w:rsid w:val="3CC852D7"/>
    <w:rsid w:val="3CF42DDE"/>
    <w:rsid w:val="3CF92D1A"/>
    <w:rsid w:val="3CFA113F"/>
    <w:rsid w:val="3D127F47"/>
    <w:rsid w:val="3D290FD8"/>
    <w:rsid w:val="3D4A761F"/>
    <w:rsid w:val="3D4D292D"/>
    <w:rsid w:val="3D83364B"/>
    <w:rsid w:val="3D907E00"/>
    <w:rsid w:val="3DA74185"/>
    <w:rsid w:val="3DAC3EF8"/>
    <w:rsid w:val="3DC569F0"/>
    <w:rsid w:val="3DE836E4"/>
    <w:rsid w:val="3DE85EB5"/>
    <w:rsid w:val="3DEE62BF"/>
    <w:rsid w:val="3DFC28DA"/>
    <w:rsid w:val="3E076B71"/>
    <w:rsid w:val="3E2B5A4F"/>
    <w:rsid w:val="3E310F6B"/>
    <w:rsid w:val="3E4E09BF"/>
    <w:rsid w:val="3E4F780E"/>
    <w:rsid w:val="3E5D535C"/>
    <w:rsid w:val="3E610C70"/>
    <w:rsid w:val="3E6E5168"/>
    <w:rsid w:val="3E890949"/>
    <w:rsid w:val="3E933D56"/>
    <w:rsid w:val="3ED33E7C"/>
    <w:rsid w:val="3EED5E1A"/>
    <w:rsid w:val="3EEF0540"/>
    <w:rsid w:val="3F236594"/>
    <w:rsid w:val="3F4C498F"/>
    <w:rsid w:val="3F5B678C"/>
    <w:rsid w:val="3F6A41B1"/>
    <w:rsid w:val="3F871E1C"/>
    <w:rsid w:val="3F9410C3"/>
    <w:rsid w:val="3FA220EB"/>
    <w:rsid w:val="3FA415C5"/>
    <w:rsid w:val="3FAE55BE"/>
    <w:rsid w:val="3FB2340B"/>
    <w:rsid w:val="3FB94BD4"/>
    <w:rsid w:val="3FBF6165"/>
    <w:rsid w:val="3FC11629"/>
    <w:rsid w:val="3FD24232"/>
    <w:rsid w:val="3FEE7C07"/>
    <w:rsid w:val="400221BB"/>
    <w:rsid w:val="4039246E"/>
    <w:rsid w:val="405D0F67"/>
    <w:rsid w:val="408D7AA4"/>
    <w:rsid w:val="40914C7B"/>
    <w:rsid w:val="40947A7E"/>
    <w:rsid w:val="40B70B43"/>
    <w:rsid w:val="40C40DE3"/>
    <w:rsid w:val="40C57F85"/>
    <w:rsid w:val="40D45C40"/>
    <w:rsid w:val="40D62A2D"/>
    <w:rsid w:val="40DF0E69"/>
    <w:rsid w:val="40EF0E1A"/>
    <w:rsid w:val="40F45204"/>
    <w:rsid w:val="410D2F00"/>
    <w:rsid w:val="410E154F"/>
    <w:rsid w:val="4111260C"/>
    <w:rsid w:val="41133F2D"/>
    <w:rsid w:val="411C2B09"/>
    <w:rsid w:val="412024F4"/>
    <w:rsid w:val="413C649A"/>
    <w:rsid w:val="416705EA"/>
    <w:rsid w:val="41960FB3"/>
    <w:rsid w:val="41B83A9E"/>
    <w:rsid w:val="41D03B36"/>
    <w:rsid w:val="41DD127B"/>
    <w:rsid w:val="41E37246"/>
    <w:rsid w:val="421157E0"/>
    <w:rsid w:val="4213162E"/>
    <w:rsid w:val="421C70D1"/>
    <w:rsid w:val="42227F3A"/>
    <w:rsid w:val="423C2589"/>
    <w:rsid w:val="42462837"/>
    <w:rsid w:val="42586868"/>
    <w:rsid w:val="42722A49"/>
    <w:rsid w:val="42816DCC"/>
    <w:rsid w:val="4297231E"/>
    <w:rsid w:val="42A035DD"/>
    <w:rsid w:val="42B13512"/>
    <w:rsid w:val="42B27AF0"/>
    <w:rsid w:val="42E83047"/>
    <w:rsid w:val="432C29DC"/>
    <w:rsid w:val="432F1C28"/>
    <w:rsid w:val="434340AA"/>
    <w:rsid w:val="4348138B"/>
    <w:rsid w:val="43491B10"/>
    <w:rsid w:val="43556519"/>
    <w:rsid w:val="43707D79"/>
    <w:rsid w:val="439C79C2"/>
    <w:rsid w:val="43C66C0B"/>
    <w:rsid w:val="43E44407"/>
    <w:rsid w:val="43E51F12"/>
    <w:rsid w:val="43EE1629"/>
    <w:rsid w:val="43F4397D"/>
    <w:rsid w:val="43FD5442"/>
    <w:rsid w:val="44392D47"/>
    <w:rsid w:val="44413139"/>
    <w:rsid w:val="44566415"/>
    <w:rsid w:val="44652065"/>
    <w:rsid w:val="446B4CAA"/>
    <w:rsid w:val="448C0E2A"/>
    <w:rsid w:val="448C31E8"/>
    <w:rsid w:val="4493196E"/>
    <w:rsid w:val="44AA0BE2"/>
    <w:rsid w:val="44C316FB"/>
    <w:rsid w:val="44CC60F4"/>
    <w:rsid w:val="450A1BFC"/>
    <w:rsid w:val="450D0A94"/>
    <w:rsid w:val="451A13C2"/>
    <w:rsid w:val="451B2E32"/>
    <w:rsid w:val="451D1314"/>
    <w:rsid w:val="4565330A"/>
    <w:rsid w:val="457A5934"/>
    <w:rsid w:val="45905D93"/>
    <w:rsid w:val="459D18A8"/>
    <w:rsid w:val="45B32A0C"/>
    <w:rsid w:val="45BA40BC"/>
    <w:rsid w:val="45C9535A"/>
    <w:rsid w:val="45CA00E0"/>
    <w:rsid w:val="45D51322"/>
    <w:rsid w:val="45D95AA6"/>
    <w:rsid w:val="45E87A97"/>
    <w:rsid w:val="45F26520"/>
    <w:rsid w:val="462668BB"/>
    <w:rsid w:val="463D527D"/>
    <w:rsid w:val="469877BB"/>
    <w:rsid w:val="46A55116"/>
    <w:rsid w:val="46BB053E"/>
    <w:rsid w:val="46D92D86"/>
    <w:rsid w:val="46E1112A"/>
    <w:rsid w:val="46E7520A"/>
    <w:rsid w:val="46E9235E"/>
    <w:rsid w:val="46FA6AE6"/>
    <w:rsid w:val="470B7865"/>
    <w:rsid w:val="47154451"/>
    <w:rsid w:val="471F15A1"/>
    <w:rsid w:val="472079AE"/>
    <w:rsid w:val="472114B3"/>
    <w:rsid w:val="472F42C8"/>
    <w:rsid w:val="47337B52"/>
    <w:rsid w:val="477F470B"/>
    <w:rsid w:val="4784068B"/>
    <w:rsid w:val="47943245"/>
    <w:rsid w:val="47997C5E"/>
    <w:rsid w:val="47B441E1"/>
    <w:rsid w:val="47B657A4"/>
    <w:rsid w:val="47E40AC5"/>
    <w:rsid w:val="47F70466"/>
    <w:rsid w:val="47FF4F79"/>
    <w:rsid w:val="481B4533"/>
    <w:rsid w:val="483603C5"/>
    <w:rsid w:val="48545901"/>
    <w:rsid w:val="485B5F49"/>
    <w:rsid w:val="48607DFE"/>
    <w:rsid w:val="48661694"/>
    <w:rsid w:val="486A0C38"/>
    <w:rsid w:val="48994497"/>
    <w:rsid w:val="48A66749"/>
    <w:rsid w:val="48D371C2"/>
    <w:rsid w:val="48DE34D3"/>
    <w:rsid w:val="49005D47"/>
    <w:rsid w:val="491110D4"/>
    <w:rsid w:val="494200A5"/>
    <w:rsid w:val="49424F48"/>
    <w:rsid w:val="4946359A"/>
    <w:rsid w:val="49746CE9"/>
    <w:rsid w:val="497F6965"/>
    <w:rsid w:val="4986332C"/>
    <w:rsid w:val="499C62CB"/>
    <w:rsid w:val="49C22764"/>
    <w:rsid w:val="49F7794D"/>
    <w:rsid w:val="4A080A57"/>
    <w:rsid w:val="4A0B09E5"/>
    <w:rsid w:val="4A0B1365"/>
    <w:rsid w:val="4A272678"/>
    <w:rsid w:val="4A4E2054"/>
    <w:rsid w:val="4A5D364E"/>
    <w:rsid w:val="4A62606A"/>
    <w:rsid w:val="4A752EED"/>
    <w:rsid w:val="4A7F4742"/>
    <w:rsid w:val="4A8508C9"/>
    <w:rsid w:val="4A98352B"/>
    <w:rsid w:val="4AC11314"/>
    <w:rsid w:val="4AE04316"/>
    <w:rsid w:val="4AFD139D"/>
    <w:rsid w:val="4B174D92"/>
    <w:rsid w:val="4B2177D5"/>
    <w:rsid w:val="4B253C9C"/>
    <w:rsid w:val="4B481704"/>
    <w:rsid w:val="4B7E3C53"/>
    <w:rsid w:val="4B814B4B"/>
    <w:rsid w:val="4B84051A"/>
    <w:rsid w:val="4B8749F0"/>
    <w:rsid w:val="4B911C4D"/>
    <w:rsid w:val="4BA85AC1"/>
    <w:rsid w:val="4BA96579"/>
    <w:rsid w:val="4C033A27"/>
    <w:rsid w:val="4C0A69B9"/>
    <w:rsid w:val="4C160596"/>
    <w:rsid w:val="4C1B0A80"/>
    <w:rsid w:val="4C415718"/>
    <w:rsid w:val="4C4A5008"/>
    <w:rsid w:val="4C4D000A"/>
    <w:rsid w:val="4CB26C05"/>
    <w:rsid w:val="4CB5626F"/>
    <w:rsid w:val="4CB644F0"/>
    <w:rsid w:val="4CD20212"/>
    <w:rsid w:val="4CDA0232"/>
    <w:rsid w:val="4D102660"/>
    <w:rsid w:val="4D2C0BB1"/>
    <w:rsid w:val="4D2C4702"/>
    <w:rsid w:val="4D3128AE"/>
    <w:rsid w:val="4D3E5B16"/>
    <w:rsid w:val="4D696284"/>
    <w:rsid w:val="4D6F36BB"/>
    <w:rsid w:val="4D783A7B"/>
    <w:rsid w:val="4D953813"/>
    <w:rsid w:val="4D9E5995"/>
    <w:rsid w:val="4DB50279"/>
    <w:rsid w:val="4DCF2DC8"/>
    <w:rsid w:val="4DF04C95"/>
    <w:rsid w:val="4DF85B4E"/>
    <w:rsid w:val="4DFE254C"/>
    <w:rsid w:val="4E012FE9"/>
    <w:rsid w:val="4E2B571B"/>
    <w:rsid w:val="4E2F3207"/>
    <w:rsid w:val="4E43185B"/>
    <w:rsid w:val="4E654609"/>
    <w:rsid w:val="4E693811"/>
    <w:rsid w:val="4E711364"/>
    <w:rsid w:val="4E824F2D"/>
    <w:rsid w:val="4E9B69BF"/>
    <w:rsid w:val="4E9D5A90"/>
    <w:rsid w:val="4EA4158E"/>
    <w:rsid w:val="4EB726FD"/>
    <w:rsid w:val="4ED936BC"/>
    <w:rsid w:val="4EDB4350"/>
    <w:rsid w:val="4EE17E6C"/>
    <w:rsid w:val="4EEA4415"/>
    <w:rsid w:val="4F005E52"/>
    <w:rsid w:val="4F1B7E36"/>
    <w:rsid w:val="4F3B02DA"/>
    <w:rsid w:val="4F3B5CFF"/>
    <w:rsid w:val="4F3D30B4"/>
    <w:rsid w:val="4F6230B3"/>
    <w:rsid w:val="4F632560"/>
    <w:rsid w:val="4F650788"/>
    <w:rsid w:val="4FA31AD9"/>
    <w:rsid w:val="4FA53B20"/>
    <w:rsid w:val="4FBC0F90"/>
    <w:rsid w:val="4FD42AD2"/>
    <w:rsid w:val="50126125"/>
    <w:rsid w:val="501C3C7C"/>
    <w:rsid w:val="502D1B1A"/>
    <w:rsid w:val="50843909"/>
    <w:rsid w:val="508D3F17"/>
    <w:rsid w:val="50AC681E"/>
    <w:rsid w:val="50B912B8"/>
    <w:rsid w:val="50B96590"/>
    <w:rsid w:val="50C01D3C"/>
    <w:rsid w:val="50C90A3D"/>
    <w:rsid w:val="50DC7B81"/>
    <w:rsid w:val="5109006E"/>
    <w:rsid w:val="513009C9"/>
    <w:rsid w:val="515A3F3F"/>
    <w:rsid w:val="517B3205"/>
    <w:rsid w:val="517C258C"/>
    <w:rsid w:val="51806F8F"/>
    <w:rsid w:val="51843B20"/>
    <w:rsid w:val="519D7EC8"/>
    <w:rsid w:val="51C95405"/>
    <w:rsid w:val="51E02979"/>
    <w:rsid w:val="51F07213"/>
    <w:rsid w:val="51F14117"/>
    <w:rsid w:val="523A167B"/>
    <w:rsid w:val="524D4496"/>
    <w:rsid w:val="5252276D"/>
    <w:rsid w:val="52906AFF"/>
    <w:rsid w:val="5296704C"/>
    <w:rsid w:val="52B704A1"/>
    <w:rsid w:val="52D02A20"/>
    <w:rsid w:val="52ED7177"/>
    <w:rsid w:val="52F835DF"/>
    <w:rsid w:val="52FB4967"/>
    <w:rsid w:val="530B7B15"/>
    <w:rsid w:val="53131E78"/>
    <w:rsid w:val="531B0DC3"/>
    <w:rsid w:val="53407DE6"/>
    <w:rsid w:val="535767AD"/>
    <w:rsid w:val="537C6968"/>
    <w:rsid w:val="53847DC9"/>
    <w:rsid w:val="53C7341D"/>
    <w:rsid w:val="53D273BA"/>
    <w:rsid w:val="53D62932"/>
    <w:rsid w:val="53F02939"/>
    <w:rsid w:val="540232F6"/>
    <w:rsid w:val="54096F0E"/>
    <w:rsid w:val="542D3E58"/>
    <w:rsid w:val="54487855"/>
    <w:rsid w:val="5489228E"/>
    <w:rsid w:val="54A159E1"/>
    <w:rsid w:val="54BD6A6F"/>
    <w:rsid w:val="54D35622"/>
    <w:rsid w:val="54DC66E2"/>
    <w:rsid w:val="54FB60CE"/>
    <w:rsid w:val="550E157C"/>
    <w:rsid w:val="551E0EF9"/>
    <w:rsid w:val="551F6098"/>
    <w:rsid w:val="552E541C"/>
    <w:rsid w:val="55300130"/>
    <w:rsid w:val="55320664"/>
    <w:rsid w:val="5554772F"/>
    <w:rsid w:val="55A5117C"/>
    <w:rsid w:val="55C01949"/>
    <w:rsid w:val="55D43358"/>
    <w:rsid w:val="55D84001"/>
    <w:rsid w:val="55EE6612"/>
    <w:rsid w:val="56393994"/>
    <w:rsid w:val="564910B1"/>
    <w:rsid w:val="5652293F"/>
    <w:rsid w:val="56B634F0"/>
    <w:rsid w:val="56CB3FD2"/>
    <w:rsid w:val="56F10390"/>
    <w:rsid w:val="56FD46D5"/>
    <w:rsid w:val="57054D49"/>
    <w:rsid w:val="571E156B"/>
    <w:rsid w:val="5735697C"/>
    <w:rsid w:val="57477FC4"/>
    <w:rsid w:val="575256B8"/>
    <w:rsid w:val="57546FBA"/>
    <w:rsid w:val="57894F86"/>
    <w:rsid w:val="578C0343"/>
    <w:rsid w:val="579200B4"/>
    <w:rsid w:val="57E858E7"/>
    <w:rsid w:val="580C4D73"/>
    <w:rsid w:val="587E6FC5"/>
    <w:rsid w:val="587F381E"/>
    <w:rsid w:val="58C9700B"/>
    <w:rsid w:val="58F86CE1"/>
    <w:rsid w:val="593A4949"/>
    <w:rsid w:val="59476372"/>
    <w:rsid w:val="59594ADC"/>
    <w:rsid w:val="596E090B"/>
    <w:rsid w:val="59821D4A"/>
    <w:rsid w:val="59872E8F"/>
    <w:rsid w:val="598D262D"/>
    <w:rsid w:val="599824F3"/>
    <w:rsid w:val="59CD3EFB"/>
    <w:rsid w:val="59D055B5"/>
    <w:rsid w:val="59D16022"/>
    <w:rsid w:val="59EF1F14"/>
    <w:rsid w:val="59F277C4"/>
    <w:rsid w:val="59FD2E0E"/>
    <w:rsid w:val="5A181C4A"/>
    <w:rsid w:val="5A1D5A49"/>
    <w:rsid w:val="5A204267"/>
    <w:rsid w:val="5A324A7C"/>
    <w:rsid w:val="5A3A408B"/>
    <w:rsid w:val="5A462BD3"/>
    <w:rsid w:val="5A6C4002"/>
    <w:rsid w:val="5A8C14BA"/>
    <w:rsid w:val="5A9B1D83"/>
    <w:rsid w:val="5ACA497E"/>
    <w:rsid w:val="5B602AE8"/>
    <w:rsid w:val="5B6C4BE3"/>
    <w:rsid w:val="5B717120"/>
    <w:rsid w:val="5B9A3BD2"/>
    <w:rsid w:val="5BAB5CB9"/>
    <w:rsid w:val="5BC7745A"/>
    <w:rsid w:val="5BE74049"/>
    <w:rsid w:val="5C0322C2"/>
    <w:rsid w:val="5C074CC3"/>
    <w:rsid w:val="5C1C64BF"/>
    <w:rsid w:val="5C371882"/>
    <w:rsid w:val="5C374A89"/>
    <w:rsid w:val="5C4312F3"/>
    <w:rsid w:val="5C783F87"/>
    <w:rsid w:val="5C7B7116"/>
    <w:rsid w:val="5CA05DBD"/>
    <w:rsid w:val="5CB470B5"/>
    <w:rsid w:val="5CC11514"/>
    <w:rsid w:val="5CC70FBE"/>
    <w:rsid w:val="5CD32E70"/>
    <w:rsid w:val="5CDB7B85"/>
    <w:rsid w:val="5CE46694"/>
    <w:rsid w:val="5D1C3349"/>
    <w:rsid w:val="5D2D6CA6"/>
    <w:rsid w:val="5D4924AD"/>
    <w:rsid w:val="5D5C2DED"/>
    <w:rsid w:val="5D774ABF"/>
    <w:rsid w:val="5D913399"/>
    <w:rsid w:val="5D99024E"/>
    <w:rsid w:val="5DEE527E"/>
    <w:rsid w:val="5E305538"/>
    <w:rsid w:val="5E4D2736"/>
    <w:rsid w:val="5E643B46"/>
    <w:rsid w:val="5E6E5431"/>
    <w:rsid w:val="5EBA4BE0"/>
    <w:rsid w:val="5EDA5C65"/>
    <w:rsid w:val="5EE54319"/>
    <w:rsid w:val="5EE5534E"/>
    <w:rsid w:val="5EF373EF"/>
    <w:rsid w:val="5F0A286B"/>
    <w:rsid w:val="5F17346F"/>
    <w:rsid w:val="5F1A7E0D"/>
    <w:rsid w:val="5F1F22DE"/>
    <w:rsid w:val="5F3A3EBC"/>
    <w:rsid w:val="5F473251"/>
    <w:rsid w:val="5F645C14"/>
    <w:rsid w:val="5F706332"/>
    <w:rsid w:val="5F86770A"/>
    <w:rsid w:val="5FAA1892"/>
    <w:rsid w:val="5FD35746"/>
    <w:rsid w:val="60045433"/>
    <w:rsid w:val="60047EEC"/>
    <w:rsid w:val="602045A6"/>
    <w:rsid w:val="602F1964"/>
    <w:rsid w:val="60533BC0"/>
    <w:rsid w:val="60752858"/>
    <w:rsid w:val="6079305A"/>
    <w:rsid w:val="60804398"/>
    <w:rsid w:val="60844B35"/>
    <w:rsid w:val="60BA3903"/>
    <w:rsid w:val="60C40351"/>
    <w:rsid w:val="60E73C33"/>
    <w:rsid w:val="60F410CC"/>
    <w:rsid w:val="61013649"/>
    <w:rsid w:val="612E3836"/>
    <w:rsid w:val="613428E1"/>
    <w:rsid w:val="6134704E"/>
    <w:rsid w:val="6158666B"/>
    <w:rsid w:val="61605829"/>
    <w:rsid w:val="616D6CBD"/>
    <w:rsid w:val="617E14D2"/>
    <w:rsid w:val="618266FD"/>
    <w:rsid w:val="619266BC"/>
    <w:rsid w:val="619B5570"/>
    <w:rsid w:val="61A02CE9"/>
    <w:rsid w:val="61CF10CB"/>
    <w:rsid w:val="61EA5A89"/>
    <w:rsid w:val="61F478F6"/>
    <w:rsid w:val="61F70874"/>
    <w:rsid w:val="62047268"/>
    <w:rsid w:val="62111457"/>
    <w:rsid w:val="621E7CE8"/>
    <w:rsid w:val="622E5A52"/>
    <w:rsid w:val="6232694B"/>
    <w:rsid w:val="625C6013"/>
    <w:rsid w:val="6298484B"/>
    <w:rsid w:val="62A8594E"/>
    <w:rsid w:val="62B41BA1"/>
    <w:rsid w:val="62BA553B"/>
    <w:rsid w:val="62CE2806"/>
    <w:rsid w:val="62D4747D"/>
    <w:rsid w:val="62F914E8"/>
    <w:rsid w:val="631541C8"/>
    <w:rsid w:val="63182C08"/>
    <w:rsid w:val="6398095F"/>
    <w:rsid w:val="63A736D9"/>
    <w:rsid w:val="63D64287"/>
    <w:rsid w:val="63EE7599"/>
    <w:rsid w:val="63F911A2"/>
    <w:rsid w:val="64197F5D"/>
    <w:rsid w:val="641D44BA"/>
    <w:rsid w:val="64205C7E"/>
    <w:rsid w:val="64234559"/>
    <w:rsid w:val="642D4ABC"/>
    <w:rsid w:val="645020F0"/>
    <w:rsid w:val="6499512E"/>
    <w:rsid w:val="64D6617C"/>
    <w:rsid w:val="64DF0FF1"/>
    <w:rsid w:val="64ED444F"/>
    <w:rsid w:val="64EF28D6"/>
    <w:rsid w:val="6503141E"/>
    <w:rsid w:val="6518361C"/>
    <w:rsid w:val="652038DC"/>
    <w:rsid w:val="652354C5"/>
    <w:rsid w:val="655F5C38"/>
    <w:rsid w:val="65642D0B"/>
    <w:rsid w:val="657310D0"/>
    <w:rsid w:val="657D192F"/>
    <w:rsid w:val="65883AB7"/>
    <w:rsid w:val="658F4C0E"/>
    <w:rsid w:val="65BB606E"/>
    <w:rsid w:val="65BD0007"/>
    <w:rsid w:val="65CF2708"/>
    <w:rsid w:val="65E50B86"/>
    <w:rsid w:val="65F95B49"/>
    <w:rsid w:val="65FA7352"/>
    <w:rsid w:val="66377FF2"/>
    <w:rsid w:val="663A71C6"/>
    <w:rsid w:val="664F718F"/>
    <w:rsid w:val="6653155D"/>
    <w:rsid w:val="66547C19"/>
    <w:rsid w:val="6661512E"/>
    <w:rsid w:val="66994F4A"/>
    <w:rsid w:val="66BF24D4"/>
    <w:rsid w:val="66DB09CF"/>
    <w:rsid w:val="66EC7296"/>
    <w:rsid w:val="66F55BEA"/>
    <w:rsid w:val="66F57C08"/>
    <w:rsid w:val="67082FC6"/>
    <w:rsid w:val="670D07CD"/>
    <w:rsid w:val="6719039C"/>
    <w:rsid w:val="6722576E"/>
    <w:rsid w:val="67272ACD"/>
    <w:rsid w:val="674E0209"/>
    <w:rsid w:val="675636B0"/>
    <w:rsid w:val="675749AE"/>
    <w:rsid w:val="678371C8"/>
    <w:rsid w:val="67AF5DAA"/>
    <w:rsid w:val="67B87F93"/>
    <w:rsid w:val="67BF76E0"/>
    <w:rsid w:val="67CC405C"/>
    <w:rsid w:val="67D76FAA"/>
    <w:rsid w:val="67F16BB1"/>
    <w:rsid w:val="683E7581"/>
    <w:rsid w:val="685257B7"/>
    <w:rsid w:val="68542917"/>
    <w:rsid w:val="6867259A"/>
    <w:rsid w:val="68831BF6"/>
    <w:rsid w:val="688B5848"/>
    <w:rsid w:val="68956209"/>
    <w:rsid w:val="68963F17"/>
    <w:rsid w:val="68994A48"/>
    <w:rsid w:val="68D55DF1"/>
    <w:rsid w:val="68D96D30"/>
    <w:rsid w:val="68EF3120"/>
    <w:rsid w:val="68F37357"/>
    <w:rsid w:val="693805A3"/>
    <w:rsid w:val="69594C8E"/>
    <w:rsid w:val="69626F7A"/>
    <w:rsid w:val="698447EC"/>
    <w:rsid w:val="698B61EF"/>
    <w:rsid w:val="698D6205"/>
    <w:rsid w:val="69AC2A06"/>
    <w:rsid w:val="69AE16B7"/>
    <w:rsid w:val="69BB76EE"/>
    <w:rsid w:val="69D32689"/>
    <w:rsid w:val="69F31153"/>
    <w:rsid w:val="69FD4603"/>
    <w:rsid w:val="6A072332"/>
    <w:rsid w:val="6A0B06C0"/>
    <w:rsid w:val="6A1C1418"/>
    <w:rsid w:val="6A1F6497"/>
    <w:rsid w:val="6A2038D6"/>
    <w:rsid w:val="6A263B63"/>
    <w:rsid w:val="6A552581"/>
    <w:rsid w:val="6A684071"/>
    <w:rsid w:val="6A8938DF"/>
    <w:rsid w:val="6A930BF1"/>
    <w:rsid w:val="6AC2057D"/>
    <w:rsid w:val="6AE2476C"/>
    <w:rsid w:val="6AEA681A"/>
    <w:rsid w:val="6AFF7473"/>
    <w:rsid w:val="6B0A20DA"/>
    <w:rsid w:val="6B217424"/>
    <w:rsid w:val="6B331DE2"/>
    <w:rsid w:val="6B4165B7"/>
    <w:rsid w:val="6B4D3D13"/>
    <w:rsid w:val="6B5F5FCA"/>
    <w:rsid w:val="6B7258A0"/>
    <w:rsid w:val="6B92099D"/>
    <w:rsid w:val="6B97275E"/>
    <w:rsid w:val="6BA84264"/>
    <w:rsid w:val="6BB307EE"/>
    <w:rsid w:val="6BCE1B0B"/>
    <w:rsid w:val="6BD577E6"/>
    <w:rsid w:val="6BDF6CB7"/>
    <w:rsid w:val="6C0C4976"/>
    <w:rsid w:val="6C1A459F"/>
    <w:rsid w:val="6C2647E2"/>
    <w:rsid w:val="6C496C32"/>
    <w:rsid w:val="6C4B3A42"/>
    <w:rsid w:val="6C771E22"/>
    <w:rsid w:val="6C7F2D2D"/>
    <w:rsid w:val="6C996EF9"/>
    <w:rsid w:val="6CA2414A"/>
    <w:rsid w:val="6CA45D41"/>
    <w:rsid w:val="6CA578E3"/>
    <w:rsid w:val="6CAB0214"/>
    <w:rsid w:val="6CAE4471"/>
    <w:rsid w:val="6CD879A5"/>
    <w:rsid w:val="6CEF025F"/>
    <w:rsid w:val="6CFE155B"/>
    <w:rsid w:val="6D325C64"/>
    <w:rsid w:val="6D38020B"/>
    <w:rsid w:val="6D4F4D93"/>
    <w:rsid w:val="6D57537F"/>
    <w:rsid w:val="6D7808F1"/>
    <w:rsid w:val="6D7B3172"/>
    <w:rsid w:val="6D7F07BA"/>
    <w:rsid w:val="6D8C3B65"/>
    <w:rsid w:val="6D93461D"/>
    <w:rsid w:val="6D947B4A"/>
    <w:rsid w:val="6DBD1686"/>
    <w:rsid w:val="6DCB3142"/>
    <w:rsid w:val="6DD469CF"/>
    <w:rsid w:val="6DDD41C4"/>
    <w:rsid w:val="6E0434DA"/>
    <w:rsid w:val="6E191986"/>
    <w:rsid w:val="6E2919F0"/>
    <w:rsid w:val="6E3B019B"/>
    <w:rsid w:val="6E424F0C"/>
    <w:rsid w:val="6E4F2657"/>
    <w:rsid w:val="6E633391"/>
    <w:rsid w:val="6EB96AB2"/>
    <w:rsid w:val="6EBD33B2"/>
    <w:rsid w:val="6F6274DE"/>
    <w:rsid w:val="6F765629"/>
    <w:rsid w:val="6F85635D"/>
    <w:rsid w:val="6F89020F"/>
    <w:rsid w:val="6F933500"/>
    <w:rsid w:val="6F9A48DA"/>
    <w:rsid w:val="6FAA583D"/>
    <w:rsid w:val="6FC45103"/>
    <w:rsid w:val="6FD94920"/>
    <w:rsid w:val="6FE305DC"/>
    <w:rsid w:val="6FE86E3A"/>
    <w:rsid w:val="6FF75D10"/>
    <w:rsid w:val="700E1B9B"/>
    <w:rsid w:val="70287B5B"/>
    <w:rsid w:val="703D3958"/>
    <w:rsid w:val="704B60DD"/>
    <w:rsid w:val="70916C3B"/>
    <w:rsid w:val="709B3423"/>
    <w:rsid w:val="70AD723C"/>
    <w:rsid w:val="70B977CB"/>
    <w:rsid w:val="70BD2E8D"/>
    <w:rsid w:val="70E22345"/>
    <w:rsid w:val="70F35274"/>
    <w:rsid w:val="70F83601"/>
    <w:rsid w:val="71082FD5"/>
    <w:rsid w:val="712B53C6"/>
    <w:rsid w:val="713036D2"/>
    <w:rsid w:val="7151470C"/>
    <w:rsid w:val="715353C7"/>
    <w:rsid w:val="71661DC1"/>
    <w:rsid w:val="71894FF8"/>
    <w:rsid w:val="719C5B1D"/>
    <w:rsid w:val="71BF117D"/>
    <w:rsid w:val="71BF47CB"/>
    <w:rsid w:val="71FD6B16"/>
    <w:rsid w:val="71FF6D8C"/>
    <w:rsid w:val="72081FCD"/>
    <w:rsid w:val="72111D31"/>
    <w:rsid w:val="721F5814"/>
    <w:rsid w:val="724E6B26"/>
    <w:rsid w:val="726B5AAC"/>
    <w:rsid w:val="728472E9"/>
    <w:rsid w:val="72864BBF"/>
    <w:rsid w:val="7286759B"/>
    <w:rsid w:val="72B31523"/>
    <w:rsid w:val="72BB425D"/>
    <w:rsid w:val="72C5562B"/>
    <w:rsid w:val="72ED0644"/>
    <w:rsid w:val="72F26741"/>
    <w:rsid w:val="730E62E2"/>
    <w:rsid w:val="731953CE"/>
    <w:rsid w:val="732A002F"/>
    <w:rsid w:val="732A47B2"/>
    <w:rsid w:val="73353A6C"/>
    <w:rsid w:val="73396723"/>
    <w:rsid w:val="736B7D85"/>
    <w:rsid w:val="737B5940"/>
    <w:rsid w:val="73DF14B7"/>
    <w:rsid w:val="73E25C4B"/>
    <w:rsid w:val="73EA2A38"/>
    <w:rsid w:val="73F22BB2"/>
    <w:rsid w:val="742B36DE"/>
    <w:rsid w:val="74424693"/>
    <w:rsid w:val="7447000A"/>
    <w:rsid w:val="74686D53"/>
    <w:rsid w:val="7479536C"/>
    <w:rsid w:val="74A75DA7"/>
    <w:rsid w:val="74B40EDF"/>
    <w:rsid w:val="74BB48CA"/>
    <w:rsid w:val="74D13C69"/>
    <w:rsid w:val="74F7562F"/>
    <w:rsid w:val="74F851A1"/>
    <w:rsid w:val="74F92698"/>
    <w:rsid w:val="750964B9"/>
    <w:rsid w:val="751B53A5"/>
    <w:rsid w:val="751F2D52"/>
    <w:rsid w:val="7537638F"/>
    <w:rsid w:val="754C545D"/>
    <w:rsid w:val="75A2627B"/>
    <w:rsid w:val="75B90A32"/>
    <w:rsid w:val="75CE181D"/>
    <w:rsid w:val="75D1397D"/>
    <w:rsid w:val="75DE25CC"/>
    <w:rsid w:val="75E049B2"/>
    <w:rsid w:val="7603519E"/>
    <w:rsid w:val="760D16A4"/>
    <w:rsid w:val="761F438D"/>
    <w:rsid w:val="76246345"/>
    <w:rsid w:val="762D0D86"/>
    <w:rsid w:val="763C73B4"/>
    <w:rsid w:val="764D4EFD"/>
    <w:rsid w:val="7676646C"/>
    <w:rsid w:val="767778ED"/>
    <w:rsid w:val="767A5FD5"/>
    <w:rsid w:val="76992564"/>
    <w:rsid w:val="76A23C82"/>
    <w:rsid w:val="76CB008E"/>
    <w:rsid w:val="76CF41D8"/>
    <w:rsid w:val="76D62A18"/>
    <w:rsid w:val="773409C2"/>
    <w:rsid w:val="774214A4"/>
    <w:rsid w:val="77507ED0"/>
    <w:rsid w:val="777515FB"/>
    <w:rsid w:val="777B5F90"/>
    <w:rsid w:val="778D7514"/>
    <w:rsid w:val="77A0722F"/>
    <w:rsid w:val="77A20C27"/>
    <w:rsid w:val="77E92E21"/>
    <w:rsid w:val="78277D5D"/>
    <w:rsid w:val="78451CFA"/>
    <w:rsid w:val="785F1566"/>
    <w:rsid w:val="786543B9"/>
    <w:rsid w:val="786A23C2"/>
    <w:rsid w:val="78F80B3D"/>
    <w:rsid w:val="78F92638"/>
    <w:rsid w:val="78FB44CB"/>
    <w:rsid w:val="79070D90"/>
    <w:rsid w:val="790E745C"/>
    <w:rsid w:val="791A2573"/>
    <w:rsid w:val="793C2596"/>
    <w:rsid w:val="7946490C"/>
    <w:rsid w:val="795029A4"/>
    <w:rsid w:val="795428EF"/>
    <w:rsid w:val="79545D01"/>
    <w:rsid w:val="797E57EA"/>
    <w:rsid w:val="799435C7"/>
    <w:rsid w:val="79A05AEA"/>
    <w:rsid w:val="79BB6A33"/>
    <w:rsid w:val="79C70A30"/>
    <w:rsid w:val="79D27334"/>
    <w:rsid w:val="79D55313"/>
    <w:rsid w:val="79D84414"/>
    <w:rsid w:val="79E050AD"/>
    <w:rsid w:val="79E72F8F"/>
    <w:rsid w:val="79E77028"/>
    <w:rsid w:val="7A156214"/>
    <w:rsid w:val="7A1878F7"/>
    <w:rsid w:val="7A3157A3"/>
    <w:rsid w:val="7A653A3D"/>
    <w:rsid w:val="7A731E0E"/>
    <w:rsid w:val="7A761DC8"/>
    <w:rsid w:val="7A7D0CDB"/>
    <w:rsid w:val="7A873BA8"/>
    <w:rsid w:val="7AD47268"/>
    <w:rsid w:val="7ADD4C06"/>
    <w:rsid w:val="7AE4066E"/>
    <w:rsid w:val="7AFF5078"/>
    <w:rsid w:val="7B121A9E"/>
    <w:rsid w:val="7B242EC7"/>
    <w:rsid w:val="7B270E32"/>
    <w:rsid w:val="7B2A241A"/>
    <w:rsid w:val="7B2B25BE"/>
    <w:rsid w:val="7B443B6D"/>
    <w:rsid w:val="7B4B531C"/>
    <w:rsid w:val="7B511751"/>
    <w:rsid w:val="7B6C1B5B"/>
    <w:rsid w:val="7B713709"/>
    <w:rsid w:val="7B8011A6"/>
    <w:rsid w:val="7B8B129D"/>
    <w:rsid w:val="7BA929C9"/>
    <w:rsid w:val="7BAC0703"/>
    <w:rsid w:val="7BD55D7E"/>
    <w:rsid w:val="7BDD556E"/>
    <w:rsid w:val="7BE50ED5"/>
    <w:rsid w:val="7C0072CD"/>
    <w:rsid w:val="7C227B86"/>
    <w:rsid w:val="7C3C6FC1"/>
    <w:rsid w:val="7C4440C0"/>
    <w:rsid w:val="7C5B5787"/>
    <w:rsid w:val="7C6D5015"/>
    <w:rsid w:val="7C816BA9"/>
    <w:rsid w:val="7C896A5F"/>
    <w:rsid w:val="7C9276A5"/>
    <w:rsid w:val="7C99506C"/>
    <w:rsid w:val="7CA12173"/>
    <w:rsid w:val="7CC67EAE"/>
    <w:rsid w:val="7CCB0752"/>
    <w:rsid w:val="7CCB34CE"/>
    <w:rsid w:val="7CEB1A6D"/>
    <w:rsid w:val="7CF15D44"/>
    <w:rsid w:val="7D2838BB"/>
    <w:rsid w:val="7D2F59D0"/>
    <w:rsid w:val="7D3A52E0"/>
    <w:rsid w:val="7D433E81"/>
    <w:rsid w:val="7D6573EE"/>
    <w:rsid w:val="7D6D3CBD"/>
    <w:rsid w:val="7D8C4938"/>
    <w:rsid w:val="7D935F5F"/>
    <w:rsid w:val="7DBD29CC"/>
    <w:rsid w:val="7E182EEA"/>
    <w:rsid w:val="7E1846B6"/>
    <w:rsid w:val="7E2A3492"/>
    <w:rsid w:val="7E493977"/>
    <w:rsid w:val="7E4F3BFD"/>
    <w:rsid w:val="7E707A1F"/>
    <w:rsid w:val="7E790324"/>
    <w:rsid w:val="7E9F7757"/>
    <w:rsid w:val="7EA408EF"/>
    <w:rsid w:val="7EAC061E"/>
    <w:rsid w:val="7EAE68CD"/>
    <w:rsid w:val="7ECA4E87"/>
    <w:rsid w:val="7EDF2D32"/>
    <w:rsid w:val="7EEA0AA5"/>
    <w:rsid w:val="7F08156B"/>
    <w:rsid w:val="7F08745F"/>
    <w:rsid w:val="7F184B31"/>
    <w:rsid w:val="7F185E70"/>
    <w:rsid w:val="7F1B620C"/>
    <w:rsid w:val="7F332280"/>
    <w:rsid w:val="7F3927BD"/>
    <w:rsid w:val="7F613CD2"/>
    <w:rsid w:val="7F852604"/>
    <w:rsid w:val="7F8B20EA"/>
    <w:rsid w:val="7F9615DB"/>
    <w:rsid w:val="7F9677FF"/>
    <w:rsid w:val="7F9E3539"/>
    <w:rsid w:val="7FC16E99"/>
    <w:rsid w:val="7FCD3C4C"/>
    <w:rsid w:val="7FCD6AE4"/>
    <w:rsid w:val="7FE513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semiHidden="0" w:name="heading 2"/>
    <w:lsdException w:qFormat="1" w:uiPriority="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qFormat="1" w:unhideWhenUsed="0" w:uiPriority="39"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snapToGrid w:val="0"/>
      <w:sz w:val="28"/>
      <w:szCs w:val="28"/>
      <w:lang w:val="en-US" w:eastAsia="zh-CN" w:bidi="ar-SA"/>
    </w:rPr>
  </w:style>
  <w:style w:type="paragraph" w:styleId="2">
    <w:name w:val="heading 1"/>
    <w:basedOn w:val="1"/>
    <w:next w:val="1"/>
    <w:qFormat/>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4"/>
    <w:unhideWhenUsed/>
    <w:qFormat/>
    <w:uiPriority w:val="0"/>
    <w:pPr>
      <w:spacing w:before="100" w:beforeAutospacing="1" w:after="100" w:afterAutospacing="1"/>
      <w:jc w:val="left"/>
      <w:outlineLvl w:val="1"/>
    </w:pPr>
    <w:rPr>
      <w:rFonts w:hint="eastAsia" w:ascii="宋体" w:hAnsi="宋体" w:eastAsia="宋体" w:cs="宋体"/>
      <w:b/>
      <w:kern w:val="0"/>
      <w:sz w:val="36"/>
      <w:szCs w:val="36"/>
      <w:lang w:val="en-US" w:eastAsia="zh-CN" w:bidi="ar"/>
    </w:rPr>
  </w:style>
  <w:style w:type="paragraph" w:styleId="8">
    <w:name w:val="heading 3"/>
    <w:basedOn w:val="1"/>
    <w:next w:val="4"/>
    <w:semiHidden/>
    <w:unhideWhenUsed/>
    <w:qFormat/>
    <w:uiPriority w:val="0"/>
    <w:pPr>
      <w:spacing w:beforeAutospacing="1" w:afterAutospacing="1"/>
      <w:jc w:val="left"/>
      <w:outlineLvl w:val="2"/>
    </w:pPr>
    <w:rPr>
      <w:rFonts w:hint="eastAsia" w:ascii="宋体" w:hAnsi="宋体" w:cs="Times New Roman"/>
      <w:b/>
      <w:sz w:val="27"/>
      <w:szCs w:val="27"/>
    </w:rPr>
  </w:style>
  <w:style w:type="paragraph" w:styleId="9">
    <w:name w:val="heading 4"/>
    <w:basedOn w:val="1"/>
    <w:next w:val="1"/>
    <w:qFormat/>
    <w:uiPriority w:val="9"/>
    <w:pPr>
      <w:keepNext/>
      <w:keepLines/>
      <w:spacing w:before="280" w:after="290" w:line="376" w:lineRule="auto"/>
      <w:outlineLvl w:val="3"/>
    </w:pPr>
    <w:rPr>
      <w:rFonts w:ascii="Arial" w:hAnsi="Arial" w:eastAsia="黑体"/>
      <w:b/>
      <w:bCs/>
    </w:rPr>
  </w:style>
  <w:style w:type="character" w:default="1" w:styleId="36">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4">
    <w:name w:val="Normal Indent"/>
    <w:basedOn w:val="1"/>
    <w:next w:val="5"/>
    <w:qFormat/>
    <w:uiPriority w:val="0"/>
    <w:pPr>
      <w:ind w:firstLine="420" w:firstLineChars="200"/>
    </w:pPr>
  </w:style>
  <w:style w:type="paragraph" w:customStyle="1" w:styleId="5">
    <w:name w:val="样式 正文文本 + 首行缩进:  2 字符"/>
    <w:basedOn w:val="6"/>
    <w:next w:val="1"/>
    <w:qFormat/>
    <w:uiPriority w:val="99"/>
    <w:pPr>
      <w:spacing w:after="200" w:line="480" w:lineRule="exact"/>
      <w:ind w:firstLine="480" w:firstLineChars="200"/>
    </w:pPr>
    <w:rPr>
      <w:rFonts w:ascii="宋体" w:hAnsi="宋体" w:cs="Times New Roman"/>
      <w:sz w:val="24"/>
    </w:rPr>
  </w:style>
  <w:style w:type="paragraph" w:styleId="6">
    <w:name w:val="Body Text"/>
    <w:basedOn w:val="1"/>
    <w:next w:val="7"/>
    <w:qFormat/>
    <w:uiPriority w:val="0"/>
  </w:style>
  <w:style w:type="paragraph" w:styleId="7">
    <w:name w:val="List Bullet 5"/>
    <w:basedOn w:val="1"/>
    <w:qFormat/>
    <w:uiPriority w:val="0"/>
    <w:pPr>
      <w:numPr>
        <w:ilvl w:val="0"/>
        <w:numId w:val="1"/>
      </w:numPr>
    </w:pPr>
  </w:style>
  <w:style w:type="paragraph" w:styleId="10">
    <w:name w:val="caption"/>
    <w:basedOn w:val="1"/>
    <w:next w:val="1"/>
    <w:qFormat/>
    <w:uiPriority w:val="0"/>
    <w:pPr>
      <w:spacing w:before="120" w:after="120" w:line="288" w:lineRule="auto"/>
      <w:ind w:firstLine="510"/>
      <w:jc w:val="center"/>
    </w:pPr>
    <w:rPr>
      <w:rFonts w:ascii="黑体" w:hAnsi="Arial" w:eastAsia="黑体"/>
      <w:b/>
    </w:rPr>
  </w:style>
  <w:style w:type="paragraph" w:styleId="11">
    <w:name w:val="toa heading"/>
    <w:basedOn w:val="1"/>
    <w:next w:val="1"/>
    <w:qFormat/>
    <w:uiPriority w:val="0"/>
    <w:pPr>
      <w:spacing w:before="120"/>
    </w:pPr>
    <w:rPr>
      <w:rFonts w:ascii="Arial" w:hAnsi="Arial"/>
      <w:sz w:val="24"/>
    </w:rPr>
  </w:style>
  <w:style w:type="paragraph" w:styleId="12">
    <w:name w:val="annotation text"/>
    <w:basedOn w:val="1"/>
    <w:link w:val="66"/>
    <w:qFormat/>
    <w:uiPriority w:val="0"/>
    <w:pPr>
      <w:jc w:val="left"/>
    </w:pPr>
  </w:style>
  <w:style w:type="paragraph" w:styleId="13">
    <w:name w:val="Body Text Indent"/>
    <w:basedOn w:val="1"/>
    <w:next w:val="10"/>
    <w:qFormat/>
    <w:uiPriority w:val="0"/>
    <w:pPr>
      <w:spacing w:after="120"/>
      <w:ind w:left="420" w:leftChars="200"/>
    </w:pPr>
    <w:rPr>
      <w:sz w:val="24"/>
      <w:szCs w:val="20"/>
    </w:rPr>
  </w:style>
  <w:style w:type="paragraph" w:styleId="14">
    <w:name w:val="Block Text"/>
    <w:basedOn w:val="1"/>
    <w:next w:val="1"/>
    <w:qFormat/>
    <w:uiPriority w:val="0"/>
    <w:pPr>
      <w:ind w:left="113" w:right="113" w:firstLine="555"/>
      <w:jc w:val="left"/>
    </w:pPr>
  </w:style>
  <w:style w:type="paragraph" w:styleId="15">
    <w:name w:val="Plain Text"/>
    <w:basedOn w:val="1"/>
    <w:qFormat/>
    <w:uiPriority w:val="0"/>
    <w:rPr>
      <w:rFonts w:ascii="宋体" w:hAnsi="Courier New"/>
    </w:rPr>
  </w:style>
  <w:style w:type="paragraph" w:styleId="16">
    <w:name w:val="toc 8"/>
    <w:basedOn w:val="1"/>
    <w:next w:val="1"/>
    <w:qFormat/>
    <w:uiPriority w:val="39"/>
    <w:pPr>
      <w:ind w:left="1680"/>
      <w:jc w:val="left"/>
    </w:pPr>
    <w:rPr>
      <w:sz w:val="18"/>
      <w:szCs w:val="20"/>
    </w:rPr>
  </w:style>
  <w:style w:type="paragraph" w:styleId="17">
    <w:name w:val="Body Text Indent 2"/>
    <w:basedOn w:val="1"/>
    <w:next w:val="11"/>
    <w:qFormat/>
    <w:uiPriority w:val="0"/>
    <w:pPr>
      <w:spacing w:line="360" w:lineRule="exact"/>
      <w:ind w:firstLine="522" w:firstLineChars="200"/>
      <w:jc w:val="left"/>
    </w:pPr>
    <w:rPr>
      <w:rFonts w:ascii="宋体" w:hAnsi="宋体"/>
    </w:rPr>
  </w:style>
  <w:style w:type="paragraph" w:styleId="18">
    <w:name w:val="Balloon Text"/>
    <w:basedOn w:val="1"/>
    <w:link w:val="68"/>
    <w:qFormat/>
    <w:uiPriority w:val="0"/>
    <w:rPr>
      <w:sz w:val="18"/>
      <w:szCs w:val="18"/>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next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21">
    <w:name w:val="toc 1"/>
    <w:basedOn w:val="1"/>
    <w:next w:val="1"/>
    <w:qFormat/>
    <w:uiPriority w:val="0"/>
    <w:pPr>
      <w:spacing w:line="440" w:lineRule="exact"/>
      <w:jc w:val="center"/>
    </w:pPr>
    <w:rPr>
      <w:rFonts w:ascii="宋体" w:hAnsi="宋体"/>
      <w:sz w:val="24"/>
    </w:rPr>
  </w:style>
  <w:style w:type="paragraph" w:styleId="22">
    <w:name w:val="List"/>
    <w:basedOn w:val="1"/>
    <w:next w:val="1"/>
    <w:qFormat/>
    <w:uiPriority w:val="0"/>
    <w:pPr>
      <w:ind w:left="200" w:hanging="200" w:hangingChars="200"/>
    </w:pPr>
  </w:style>
  <w:style w:type="paragraph" w:styleId="23">
    <w:name w:val="Body Text Indent 3"/>
    <w:basedOn w:val="1"/>
    <w:qFormat/>
    <w:uiPriority w:val="0"/>
    <w:pPr>
      <w:spacing w:line="460" w:lineRule="exact"/>
      <w:ind w:firstLine="570"/>
    </w:pPr>
    <w:rPr>
      <w:sz w:val="24"/>
    </w:rPr>
  </w:style>
  <w:style w:type="paragraph" w:styleId="24">
    <w:name w:val="toc 2"/>
    <w:basedOn w:val="1"/>
    <w:next w:val="1"/>
    <w:qFormat/>
    <w:uiPriority w:val="0"/>
    <w:pPr>
      <w:ind w:left="210"/>
      <w:jc w:val="left"/>
    </w:pPr>
    <w:rPr>
      <w:rFonts w:ascii="Calibri" w:hAnsi="Calibri" w:eastAsia="宋体" w:cs="Times New Roman"/>
      <w:smallCaps/>
      <w:sz w:val="20"/>
      <w:szCs w:val="20"/>
    </w:rPr>
  </w:style>
  <w:style w:type="paragraph" w:styleId="25">
    <w:name w:val="Body Text 2"/>
    <w:basedOn w:val="1"/>
    <w:qFormat/>
    <w:uiPriority w:val="0"/>
    <w:pPr>
      <w:spacing w:line="320" w:lineRule="exact"/>
      <w:jc w:val="center"/>
    </w:pPr>
    <w:rPr>
      <w:szCs w:val="24"/>
    </w:rPr>
  </w:style>
  <w:style w:type="paragraph" w:styleId="26">
    <w:name w:val="Normal (Web)"/>
    <w:basedOn w:val="1"/>
    <w:qFormat/>
    <w:uiPriority w:val="0"/>
    <w:pPr>
      <w:widowControl/>
      <w:spacing w:before="100" w:beforeAutospacing="1" w:after="100" w:afterAutospacing="1"/>
      <w:jc w:val="left"/>
    </w:pPr>
    <w:rPr>
      <w:rFonts w:ascii="宋体" w:hAnsi="宋体" w:cs="宋体"/>
      <w:sz w:val="24"/>
      <w:szCs w:val="24"/>
    </w:rPr>
  </w:style>
  <w:style w:type="paragraph" w:styleId="27">
    <w:name w:val="annotation subject"/>
    <w:basedOn w:val="12"/>
    <w:next w:val="12"/>
    <w:link w:val="67"/>
    <w:qFormat/>
    <w:uiPriority w:val="0"/>
    <w:rPr>
      <w:b/>
      <w:bCs/>
    </w:rPr>
  </w:style>
  <w:style w:type="paragraph" w:styleId="28">
    <w:name w:val="Body Text First Indent"/>
    <w:basedOn w:val="6"/>
    <w:next w:val="1"/>
    <w:qFormat/>
    <w:uiPriority w:val="0"/>
    <w:pPr>
      <w:spacing w:after="120"/>
      <w:ind w:firstLine="420" w:firstLineChars="100"/>
    </w:pPr>
    <w:rPr>
      <w:rFonts w:ascii="宋体"/>
      <w:sz w:val="25"/>
      <w:szCs w:val="25"/>
    </w:rPr>
  </w:style>
  <w:style w:type="paragraph" w:styleId="29">
    <w:name w:val="Body Text First Indent 2"/>
    <w:basedOn w:val="13"/>
    <w:next w:val="30"/>
    <w:qFormat/>
    <w:uiPriority w:val="0"/>
    <w:pPr>
      <w:ind w:firstLine="420"/>
    </w:pPr>
    <w:rPr>
      <w:rFonts w:ascii="Times New Roman" w:hAnsi="Times New Roman"/>
      <w:sz w:val="21"/>
      <w:szCs w:val="24"/>
    </w:rPr>
  </w:style>
  <w:style w:type="paragraph" w:customStyle="1" w:styleId="30">
    <w:name w:val="Default"/>
    <w:basedOn w:val="31"/>
    <w:next w:val="32"/>
    <w:qFormat/>
    <w:uiPriority w:val="0"/>
    <w:pPr>
      <w:autoSpaceDE w:val="0"/>
      <w:autoSpaceDN w:val="0"/>
      <w:adjustRightInd w:val="0"/>
    </w:pPr>
    <w:rPr>
      <w:rFonts w:ascii="宋体" w:cs="宋体"/>
      <w:sz w:val="24"/>
    </w:rPr>
  </w:style>
  <w:style w:type="paragraph" w:customStyle="1" w:styleId="31">
    <w:name w:val="批注文字1"/>
    <w:qFormat/>
    <w:locked/>
    <w:uiPriority w:val="0"/>
    <w:pPr>
      <w:widowControl w:val="0"/>
    </w:pPr>
    <w:rPr>
      <w:rFonts w:ascii="Times New Roman" w:hAnsi="Times New Roman" w:eastAsia="宋体" w:cs="Times New Roman"/>
      <w:color w:val="000000"/>
      <w:kern w:val="2"/>
      <w:sz w:val="21"/>
      <w:szCs w:val="24"/>
      <w:lang w:val="en-US" w:eastAsia="zh-CN" w:bidi="ar-SA"/>
    </w:rPr>
  </w:style>
  <w:style w:type="paragraph" w:customStyle="1" w:styleId="32">
    <w:name w:val="Char Char Char Char Char Char Char Char Char Char Char Char Char"/>
    <w:next w:val="3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
    <w:name w:val="point101"/>
    <w:basedOn w:val="1"/>
    <w:qFormat/>
    <w:uiPriority w:val="0"/>
    <w:pPr>
      <w:widowControl/>
      <w:spacing w:before="100" w:beforeAutospacing="1" w:after="100" w:afterAutospacing="1" w:line="390" w:lineRule="atLeast"/>
      <w:jc w:val="left"/>
    </w:pPr>
    <w:rPr>
      <w:rFonts w:ascii="宋体" w:hAnsi="宋体" w:cs="宋体"/>
      <w:sz w:val="18"/>
      <w:szCs w:val="18"/>
    </w:rPr>
  </w:style>
  <w:style w:type="table" w:styleId="35">
    <w:name w:val="Table Grid"/>
    <w:basedOn w:val="3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7">
    <w:name w:val="Strong"/>
    <w:basedOn w:val="36"/>
    <w:qFormat/>
    <w:uiPriority w:val="0"/>
    <w:rPr>
      <w:b/>
    </w:rPr>
  </w:style>
  <w:style w:type="character" w:styleId="38">
    <w:name w:val="Hyperlink"/>
    <w:basedOn w:val="36"/>
    <w:qFormat/>
    <w:uiPriority w:val="0"/>
    <w:rPr>
      <w:color w:val="000033"/>
      <w:u w:val="none"/>
    </w:rPr>
  </w:style>
  <w:style w:type="character" w:styleId="39">
    <w:name w:val="annotation reference"/>
    <w:basedOn w:val="36"/>
    <w:qFormat/>
    <w:uiPriority w:val="0"/>
    <w:rPr>
      <w:sz w:val="21"/>
      <w:szCs w:val="21"/>
    </w:rPr>
  </w:style>
  <w:style w:type="paragraph" w:customStyle="1" w:styleId="40">
    <w:name w:val="纯文本1"/>
    <w:basedOn w:val="1"/>
    <w:qFormat/>
    <w:uiPriority w:val="99"/>
    <w:pPr>
      <w:autoSpaceDE w:val="0"/>
      <w:autoSpaceDN w:val="0"/>
      <w:adjustRightInd w:val="0"/>
      <w:textAlignment w:val="baseline"/>
    </w:pPr>
    <w:rPr>
      <w:rFonts w:ascii="宋体"/>
      <w:szCs w:val="20"/>
    </w:rPr>
  </w:style>
  <w:style w:type="paragraph" w:customStyle="1" w:styleId="41">
    <w:name w:val="样式1"/>
    <w:basedOn w:val="20"/>
    <w:next w:val="42"/>
    <w:qFormat/>
    <w:uiPriority w:val="0"/>
    <w:pPr>
      <w:ind w:firstLine="0" w:firstLineChars="200"/>
    </w:pPr>
  </w:style>
  <w:style w:type="paragraph" w:customStyle="1" w:styleId="42">
    <w:name w:val="标题样式2"/>
    <w:basedOn w:val="3"/>
    <w:next w:val="26"/>
    <w:qFormat/>
    <w:uiPriority w:val="0"/>
    <w:pPr>
      <w:keepLines/>
      <w:numPr>
        <w:ilvl w:val="1"/>
        <w:numId w:val="0"/>
      </w:numPr>
      <w:tabs>
        <w:tab w:val="left" w:pos="1440"/>
      </w:tabs>
      <w:adjustRightInd w:val="0"/>
      <w:spacing w:line="360" w:lineRule="auto"/>
      <w:ind w:left="1440" w:hanging="360"/>
      <w:jc w:val="left"/>
      <w:textAlignment w:val="baseline"/>
    </w:pPr>
    <w:rPr>
      <w:rFonts w:ascii="黑体" w:hAnsi="Arial" w:eastAsia="黑体"/>
      <w:kern w:val="0"/>
      <w:sz w:val="24"/>
      <w:szCs w:val="24"/>
    </w:rPr>
  </w:style>
  <w:style w:type="paragraph" w:customStyle="1" w:styleId="43">
    <w:name w:val="正文1"/>
    <w:basedOn w:val="1"/>
    <w:next w:val="1"/>
    <w:qFormat/>
    <w:uiPriority w:val="0"/>
    <w:pPr>
      <w:snapToGrid w:val="0"/>
      <w:spacing w:line="500" w:lineRule="exact"/>
      <w:ind w:firstLine="200" w:firstLineChars="200"/>
    </w:pPr>
    <w:rPr>
      <w:sz w:val="24"/>
    </w:rPr>
  </w:style>
  <w:style w:type="character" w:customStyle="1" w:styleId="44">
    <w:name w:val="标题 1 Char Char Char"/>
    <w:qFormat/>
    <w:uiPriority w:val="0"/>
    <w:rPr>
      <w:rFonts w:ascii="宋体" w:hAnsi="宋体"/>
      <w:bCs/>
      <w:sz w:val="28"/>
    </w:rPr>
  </w:style>
  <w:style w:type="paragraph" w:customStyle="1" w:styleId="45">
    <w:name w:val="p0"/>
    <w:basedOn w:val="1"/>
    <w:qFormat/>
    <w:uiPriority w:val="0"/>
    <w:pPr>
      <w:widowControl/>
      <w:spacing w:line="288" w:lineRule="atLeast"/>
      <w:jc w:val="left"/>
    </w:pPr>
    <w:rPr>
      <w:rFonts w:ascii="Arial" w:hAnsi="Arial" w:cs="Arial"/>
      <w:color w:val="444444"/>
      <w:sz w:val="20"/>
    </w:rPr>
  </w:style>
  <w:style w:type="character" w:customStyle="1" w:styleId="46">
    <w:name w:val="正文文字 Char"/>
    <w:qFormat/>
    <w:uiPriority w:val="0"/>
    <w:rPr>
      <w:rFonts w:eastAsia="宋体"/>
      <w:kern w:val="2"/>
      <w:sz w:val="24"/>
      <w:szCs w:val="24"/>
      <w:lang w:val="en-US" w:eastAsia="zh-CN" w:bidi="ar-SA"/>
    </w:rPr>
  </w:style>
  <w:style w:type="paragraph" w:customStyle="1" w:styleId="47">
    <w:name w:val="三"/>
    <w:basedOn w:val="1"/>
    <w:qFormat/>
    <w:uiPriority w:val="0"/>
    <w:rPr>
      <w:rFonts w:ascii="宋体"/>
      <w:sz w:val="24"/>
      <w:szCs w:val="20"/>
    </w:rPr>
  </w:style>
  <w:style w:type="paragraph" w:customStyle="1" w:styleId="48">
    <w:name w:val="正"/>
    <w:basedOn w:val="1"/>
    <w:qFormat/>
    <w:uiPriority w:val="0"/>
    <w:pPr>
      <w:spacing w:line="360" w:lineRule="auto"/>
      <w:ind w:firstLine="200" w:firstLineChars="200"/>
    </w:pPr>
    <w:rPr>
      <w:sz w:val="24"/>
      <w:szCs w:val="24"/>
    </w:rPr>
  </w:style>
  <w:style w:type="paragraph" w:customStyle="1" w:styleId="49">
    <w:name w:val="样式 正文文本缩进正文文本缩进 Char + (西文) BatangChe Char Char"/>
    <w:basedOn w:val="13"/>
    <w:qFormat/>
    <w:uiPriority w:val="0"/>
    <w:pPr>
      <w:spacing w:line="360" w:lineRule="auto"/>
      <w:jc w:val="left"/>
    </w:pPr>
    <w:rPr>
      <w:rFonts w:ascii="Times New Roman" w:hAnsi="Times New Roman"/>
      <w:bCs/>
      <w:lang w:val="zh-CN"/>
    </w:rPr>
  </w:style>
  <w:style w:type="character" w:customStyle="1" w:styleId="50">
    <w:name w:val="fontstyle01"/>
    <w:basedOn w:val="36"/>
    <w:qFormat/>
    <w:uiPriority w:val="0"/>
    <w:rPr>
      <w:rFonts w:hint="eastAsia" w:ascii="宋体" w:hAnsi="宋体" w:eastAsia="宋体" w:cs="宋体"/>
      <w:color w:val="000000"/>
      <w:sz w:val="44"/>
      <w:szCs w:val="44"/>
    </w:rPr>
  </w:style>
  <w:style w:type="character" w:customStyle="1" w:styleId="51">
    <w:name w:val="fontstyle11"/>
    <w:basedOn w:val="36"/>
    <w:qFormat/>
    <w:uiPriority w:val="0"/>
    <w:rPr>
      <w:rFonts w:ascii="TimesNewRomanPSMT" w:hAnsi="TimesNewRomanPSMT" w:eastAsia="TimesNewRomanPSMT" w:cs="TimesNewRomanPSMT"/>
      <w:color w:val="000000"/>
      <w:sz w:val="22"/>
      <w:szCs w:val="22"/>
    </w:rPr>
  </w:style>
  <w:style w:type="character" w:customStyle="1" w:styleId="52">
    <w:name w:val="font11"/>
    <w:basedOn w:val="36"/>
    <w:qFormat/>
    <w:uiPriority w:val="0"/>
    <w:rPr>
      <w:rFonts w:hint="eastAsia" w:ascii="宋体" w:hAnsi="宋体" w:eastAsia="宋体" w:cs="宋体"/>
      <w:color w:val="000000"/>
      <w:sz w:val="21"/>
      <w:szCs w:val="21"/>
      <w:u w:val="none"/>
    </w:rPr>
  </w:style>
  <w:style w:type="character" w:customStyle="1" w:styleId="53">
    <w:name w:val="font31"/>
    <w:basedOn w:val="36"/>
    <w:qFormat/>
    <w:uiPriority w:val="0"/>
    <w:rPr>
      <w:rFonts w:hint="default" w:ascii="Times New Roman" w:hAnsi="Times New Roman" w:cs="Times New Roman"/>
      <w:color w:val="000000"/>
      <w:sz w:val="21"/>
      <w:szCs w:val="21"/>
      <w:u w:val="none"/>
    </w:rPr>
  </w:style>
  <w:style w:type="character" w:customStyle="1" w:styleId="54">
    <w:name w:val="font41"/>
    <w:basedOn w:val="36"/>
    <w:qFormat/>
    <w:uiPriority w:val="0"/>
    <w:rPr>
      <w:rFonts w:hint="eastAsia" w:ascii="宋体" w:hAnsi="宋体" w:eastAsia="宋体" w:cs="宋体"/>
      <w:color w:val="000000"/>
      <w:sz w:val="21"/>
      <w:szCs w:val="21"/>
      <w:u w:val="none"/>
    </w:rPr>
  </w:style>
  <w:style w:type="character" w:customStyle="1" w:styleId="55">
    <w:name w:val="font01"/>
    <w:basedOn w:val="36"/>
    <w:qFormat/>
    <w:uiPriority w:val="0"/>
    <w:rPr>
      <w:rFonts w:hint="eastAsia" w:ascii="宋体" w:hAnsi="宋体" w:eastAsia="宋体" w:cs="宋体"/>
      <w:color w:val="000000"/>
      <w:sz w:val="24"/>
      <w:szCs w:val="24"/>
      <w:u w:val="none"/>
      <w:vertAlign w:val="superscript"/>
    </w:rPr>
  </w:style>
  <w:style w:type="paragraph" w:customStyle="1" w:styleId="56">
    <w:name w:val="Default1"/>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7">
    <w:name w:val="武正文"/>
    <w:basedOn w:val="1"/>
    <w:qFormat/>
    <w:uiPriority w:val="0"/>
    <w:pPr>
      <w:spacing w:line="360" w:lineRule="auto"/>
      <w:ind w:firstLine="200" w:firstLineChars="200"/>
    </w:pPr>
    <w:rPr>
      <w:color w:val="000000"/>
      <w:sz w:val="24"/>
      <w:szCs w:val="24"/>
    </w:rPr>
  </w:style>
  <w:style w:type="paragraph" w:customStyle="1" w:styleId="58">
    <w:name w:val="表"/>
    <w:basedOn w:val="1"/>
    <w:qFormat/>
    <w:uiPriority w:val="0"/>
    <w:pPr>
      <w:widowControl/>
      <w:spacing w:line="440" w:lineRule="exact"/>
      <w:ind w:firstLine="200" w:firstLineChars="200"/>
    </w:pPr>
    <w:rPr>
      <w:rFonts w:ascii="Times New Roman" w:hAnsi="Times New Roman"/>
      <w:sz w:val="24"/>
      <w:szCs w:val="24"/>
    </w:rPr>
  </w:style>
  <w:style w:type="paragraph" w:customStyle="1" w:styleId="59">
    <w:name w:val="Table Paragraph"/>
    <w:basedOn w:val="1"/>
    <w:qFormat/>
    <w:uiPriority w:val="1"/>
    <w:pPr>
      <w:jc w:val="center"/>
    </w:pPr>
    <w:rPr>
      <w:rFonts w:ascii="Times New Roman" w:hAnsi="Times New Roman" w:eastAsia="Times New Roman" w:cs="Times New Roman"/>
      <w:lang w:val="zh-CN" w:bidi="zh-CN"/>
    </w:rPr>
  </w:style>
  <w:style w:type="paragraph" w:customStyle="1" w:styleId="60">
    <w:name w:val="2.1.1"/>
    <w:basedOn w:val="1"/>
    <w:qFormat/>
    <w:uiPriority w:val="0"/>
    <w:rPr>
      <w:sz w:val="24"/>
    </w:rPr>
  </w:style>
  <w:style w:type="paragraph" w:customStyle="1" w:styleId="61">
    <w:name w:val="（正文）"/>
    <w:basedOn w:val="15"/>
    <w:qFormat/>
    <w:uiPriority w:val="0"/>
    <w:pPr>
      <w:spacing w:line="360" w:lineRule="auto"/>
      <w:ind w:firstLine="480" w:firstLineChars="200"/>
    </w:pPr>
    <w:rPr>
      <w:rFonts w:ascii="Times New Roman" w:hAnsi="Times New Roman"/>
      <w:sz w:val="24"/>
      <w:szCs w:val="20"/>
    </w:rPr>
  </w:style>
  <w:style w:type="paragraph" w:customStyle="1" w:styleId="62">
    <w:name w:val="Other|1"/>
    <w:basedOn w:val="1"/>
    <w:qFormat/>
    <w:uiPriority w:val="0"/>
    <w:pPr>
      <w:spacing w:line="444" w:lineRule="auto"/>
      <w:ind w:firstLine="400"/>
    </w:pPr>
    <w:rPr>
      <w:rFonts w:ascii="宋体" w:hAnsi="宋体" w:cs="宋体"/>
      <w:sz w:val="22"/>
      <w:szCs w:val="22"/>
      <w:lang w:val="zh-TW" w:eastAsia="zh-TW" w:bidi="zh-TW"/>
    </w:rPr>
  </w:style>
  <w:style w:type="paragraph" w:customStyle="1" w:styleId="63">
    <w:name w:val="表格1"/>
    <w:basedOn w:val="4"/>
    <w:next w:val="4"/>
    <w:qFormat/>
    <w:uiPriority w:val="0"/>
    <w:pPr>
      <w:adjustRightInd w:val="0"/>
      <w:snapToGrid w:val="0"/>
      <w:spacing w:line="340" w:lineRule="exact"/>
      <w:ind w:firstLine="0"/>
      <w:jc w:val="center"/>
    </w:pPr>
  </w:style>
  <w:style w:type="character" w:customStyle="1" w:styleId="64">
    <w:name w:val="font51"/>
    <w:basedOn w:val="36"/>
    <w:qFormat/>
    <w:uiPriority w:val="0"/>
    <w:rPr>
      <w:rFonts w:hint="default" w:ascii="Times New Roman" w:hAnsi="Times New Roman" w:cs="Times New Roman"/>
      <w:color w:val="000000"/>
      <w:sz w:val="21"/>
      <w:szCs w:val="21"/>
      <w:u w:val="none"/>
    </w:rPr>
  </w:style>
  <w:style w:type="paragraph" w:customStyle="1" w:styleId="65">
    <w:name w:val="X-N"/>
    <w:basedOn w:val="1"/>
    <w:qFormat/>
    <w:uiPriority w:val="0"/>
    <w:pPr>
      <w:adjustRightInd w:val="0"/>
      <w:jc w:val="center"/>
    </w:pPr>
    <w:rPr>
      <w:sz w:val="18"/>
      <w:szCs w:val="21"/>
    </w:rPr>
  </w:style>
  <w:style w:type="character" w:customStyle="1" w:styleId="66">
    <w:name w:val="批注文字 Char"/>
    <w:basedOn w:val="36"/>
    <w:link w:val="12"/>
    <w:qFormat/>
    <w:uiPriority w:val="0"/>
    <w:rPr>
      <w:rFonts w:asciiTheme="minorHAnsi" w:hAnsiTheme="minorHAnsi" w:cstheme="minorBidi"/>
      <w:snapToGrid w:val="0"/>
      <w:sz w:val="28"/>
      <w:szCs w:val="28"/>
    </w:rPr>
  </w:style>
  <w:style w:type="character" w:customStyle="1" w:styleId="67">
    <w:name w:val="批注主题 Char"/>
    <w:basedOn w:val="66"/>
    <w:link w:val="27"/>
    <w:qFormat/>
    <w:uiPriority w:val="0"/>
    <w:rPr>
      <w:rFonts w:asciiTheme="minorHAnsi" w:hAnsiTheme="minorHAnsi" w:cstheme="minorBidi"/>
      <w:b/>
      <w:bCs/>
      <w:snapToGrid w:val="0"/>
      <w:sz w:val="28"/>
      <w:szCs w:val="28"/>
    </w:rPr>
  </w:style>
  <w:style w:type="character" w:customStyle="1" w:styleId="68">
    <w:name w:val="批注框文本 Char"/>
    <w:basedOn w:val="36"/>
    <w:link w:val="18"/>
    <w:qFormat/>
    <w:uiPriority w:val="0"/>
    <w:rPr>
      <w:rFonts w:asciiTheme="minorHAnsi" w:hAnsiTheme="minorHAnsi" w:cstheme="minorBidi"/>
      <w:snapToGrid w:val="0"/>
      <w:sz w:val="18"/>
      <w:szCs w:val="18"/>
    </w:rPr>
  </w:style>
  <w:style w:type="paragraph" w:customStyle="1" w:styleId="69">
    <w:name w:val="报告书 正文"/>
    <w:qFormat/>
    <w:uiPriority w:val="0"/>
    <w:pPr>
      <w:widowControl w:val="0"/>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table" w:customStyle="1" w:styleId="70">
    <w:name w:val="Table Normal"/>
    <w:semiHidden/>
    <w:unhideWhenUsed/>
    <w:qFormat/>
    <w:uiPriority w:val="0"/>
    <w:tblPr>
      <w:tblCellMar>
        <w:top w:w="0" w:type="dxa"/>
        <w:left w:w="0" w:type="dxa"/>
        <w:bottom w:w="0" w:type="dxa"/>
        <w:right w:w="0" w:type="dxa"/>
      </w:tblCellMar>
    </w:tblPr>
  </w:style>
  <w:style w:type="character" w:customStyle="1" w:styleId="71">
    <w:name w:val="font21"/>
    <w:basedOn w:val="36"/>
    <w:qFormat/>
    <w:uiPriority w:val="0"/>
    <w:rPr>
      <w:rFonts w:hint="default" w:ascii="Times New Roman" w:hAnsi="Times New Roman" w:cs="Times New Roman"/>
      <w:color w:val="000000"/>
      <w:sz w:val="20"/>
      <w:szCs w:val="20"/>
      <w:u w:val="none"/>
    </w:rPr>
  </w:style>
  <w:style w:type="paragraph" w:customStyle="1" w:styleId="72">
    <w:name w:val="表头"/>
    <w:basedOn w:val="43"/>
    <w:next w:val="43"/>
    <w:qFormat/>
    <w:uiPriority w:val="0"/>
    <w:pPr>
      <w:numPr>
        <w:ilvl w:val="0"/>
        <w:numId w:val="2"/>
      </w:numPr>
      <w:spacing w:line="480" w:lineRule="exact"/>
      <w:ind w:left="0" w:firstLine="0" w:firstLineChars="0"/>
      <w:jc w:val="center"/>
    </w:pPr>
    <w:rPr>
      <w:rFonts w:ascii="Times New Roman" w:hAnsi="Times New Roman" w:eastAsia="宋体" w:cs="宋体"/>
      <w:b/>
      <w:bCs/>
      <w:szCs w:val="20"/>
    </w:rPr>
  </w:style>
  <w:style w:type="paragraph" w:customStyle="1" w:styleId="73">
    <w:name w:val="正文文本缩进1"/>
    <w:qFormat/>
    <w:uiPriority w:val="0"/>
    <w:pPr>
      <w:widowControl w:val="0"/>
      <w:ind w:firstLine="570"/>
      <w:jc w:val="both"/>
    </w:pPr>
    <w:rPr>
      <w:rFonts w:ascii="宋体" w:hAnsi="Calibri" w:eastAsia="宋体" w:cs="黑体"/>
      <w:kern w:val="2"/>
      <w:sz w:val="21"/>
      <w:szCs w:val="22"/>
      <w:lang w:val="en-US" w:eastAsia="zh-CN" w:bidi="ar-SA"/>
    </w:rPr>
  </w:style>
  <w:style w:type="character" w:customStyle="1" w:styleId="74">
    <w:name w:val="NormalCharacter"/>
    <w:link w:val="75"/>
    <w:qFormat/>
    <w:uiPriority w:val="0"/>
    <w:rPr>
      <w:rFonts w:ascii="宋体" w:hAnsi="宋体"/>
      <w:kern w:val="2"/>
      <w:sz w:val="24"/>
      <w:szCs w:val="24"/>
      <w:lang w:val="en-US" w:eastAsia="zh-CN" w:bidi="ar-SA"/>
    </w:rPr>
  </w:style>
  <w:style w:type="paragraph" w:customStyle="1" w:styleId="75">
    <w:name w:val="UserStyle_47"/>
    <w:basedOn w:val="1"/>
    <w:link w:val="74"/>
    <w:qFormat/>
    <w:uiPriority w:val="0"/>
    <w:pPr>
      <w:spacing w:line="360" w:lineRule="auto"/>
      <w:ind w:firstLine="200" w:firstLineChars="200"/>
      <w:jc w:val="both"/>
      <w:textAlignment w:val="baseline"/>
    </w:pPr>
    <w:rPr>
      <w:rFonts w:ascii="宋体" w:hAnsi="宋体"/>
      <w:kern w:val="2"/>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5" Type="http://schemas.openxmlformats.org/officeDocument/2006/relationships/fontTable" Target="fontTable.xml"/><Relationship Id="rId34" Type="http://schemas.openxmlformats.org/officeDocument/2006/relationships/numbering" Target="numbering.xml"/><Relationship Id="rId33" Type="http://schemas.openxmlformats.org/officeDocument/2006/relationships/customXml" Target="../customXml/item1.xml"/><Relationship Id="rId32" Type="http://schemas.openxmlformats.org/officeDocument/2006/relationships/image" Target="media/image20.png"/><Relationship Id="rId31" Type="http://schemas.openxmlformats.org/officeDocument/2006/relationships/image" Target="media/image19.png"/><Relationship Id="rId30" Type="http://schemas.openxmlformats.org/officeDocument/2006/relationships/image" Target="media/image18.png"/><Relationship Id="rId3" Type="http://schemas.openxmlformats.org/officeDocument/2006/relationships/footer" Target="footer1.xml"/><Relationship Id="rId29" Type="http://schemas.openxmlformats.org/officeDocument/2006/relationships/image" Target="media/image17.png"/><Relationship Id="rId28" Type="http://schemas.openxmlformats.org/officeDocument/2006/relationships/image" Target="media/image16.png"/><Relationship Id="rId27" Type="http://schemas.openxmlformats.org/officeDocument/2006/relationships/image" Target="media/image15.png"/><Relationship Id="rId26" Type="http://schemas.openxmlformats.org/officeDocument/2006/relationships/image" Target="media/image14.png"/><Relationship Id="rId25" Type="http://schemas.openxmlformats.org/officeDocument/2006/relationships/image" Target="media/image13.png"/><Relationship Id="rId24" Type="http://schemas.openxmlformats.org/officeDocument/2006/relationships/image" Target="media/image12.png"/><Relationship Id="rId23" Type="http://schemas.openxmlformats.org/officeDocument/2006/relationships/image" Target="media/image11.png"/><Relationship Id="rId22" Type="http://schemas.openxmlformats.org/officeDocument/2006/relationships/image" Target="media/image10.png"/><Relationship Id="rId21" Type="http://schemas.openxmlformats.org/officeDocument/2006/relationships/image" Target="media/image9.wmf"/><Relationship Id="rId20" Type="http://schemas.openxmlformats.org/officeDocument/2006/relationships/oleObject" Target="embeddings/oleObject3.bin"/><Relationship Id="rId2" Type="http://schemas.openxmlformats.org/officeDocument/2006/relationships/settings" Target="settings.xml"/><Relationship Id="rId19" Type="http://schemas.openxmlformats.org/officeDocument/2006/relationships/image" Target="media/image8.wmf"/><Relationship Id="rId18" Type="http://schemas.openxmlformats.org/officeDocument/2006/relationships/oleObject" Target="embeddings/oleObject2.bin"/><Relationship Id="rId17" Type="http://schemas.openxmlformats.org/officeDocument/2006/relationships/image" Target="media/image7.png"/><Relationship Id="rId16" Type="http://schemas.openxmlformats.org/officeDocument/2006/relationships/image" Target="media/image6.wmf"/><Relationship Id="rId15" Type="http://schemas.openxmlformats.org/officeDocument/2006/relationships/oleObject" Target="embeddings/oleObject1.bin"/><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Info spid="_x0000_s1031" textRotate="1"/>
    <customShpInfo spid="_x0000_s103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57</Pages>
  <Words>27604</Words>
  <Characters>31916</Characters>
  <Lines>366</Lines>
  <Paragraphs>103</Paragraphs>
  <TotalTime>19</TotalTime>
  <ScaleCrop>false</ScaleCrop>
  <LinksUpToDate>false</LinksUpToDate>
  <CharactersWithSpaces>31954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2021-02-25T00:44:00Z</dcterms:created>
  <dc:creator>liukuize</dc:creator>
  <cp:lastModifiedBy>程 彪</cp:lastModifiedBy>
  <cp:lastPrinted>2025-10-13T03:42:47Z</cp:lastPrinted>
  <dcterms:modified xsi:type="dcterms:W3CDTF">2025-10-13T05:56:35Z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5FC04F2B0CA64F60817F8406BA8373AE_13</vt:lpwstr>
  </property>
  <property fmtid="{D5CDD505-2E9C-101B-9397-08002B2CF9AE}" pid="4" name="KSOTemplateDocerSaveRecord">
    <vt:lpwstr>eyJoZGlkIjoiMzkyNTBkOTFmZmNmOTNmZjE0NjljOWM1Yjc4OWY3ZWIiLCJ1c2VySWQiOiI0MzY1MjQwNzYifQ==</vt:lpwstr>
  </property>
</Properties>
</file>