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4C972">
      <w:pPr>
        <w:rPr>
          <w:rFonts w:hint="default" w:ascii="仿宋_GB2312" w:hAnsi="仿宋_GB2312" w:eastAsia="仿宋_GB2312" w:cs="仿宋_GB2312"/>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 xml:space="preserve">  </w:t>
      </w:r>
    </w:p>
    <w:p w14:paraId="3107C552">
      <w:pPr>
        <w:rPr>
          <w:rFonts w:ascii="仿宋_GB2312" w:hAnsi="仿宋_GB2312" w:eastAsia="仿宋_GB2312" w:cs="仿宋_GB2312"/>
          <w:color w:val="000000" w:themeColor="text1"/>
          <w:sz w:val="36"/>
          <w:szCs w:val="36"/>
          <w14:textFill>
            <w14:solidFill>
              <w14:schemeClr w14:val="tx1"/>
            </w14:solidFill>
          </w14:textFill>
        </w:rPr>
      </w:pPr>
    </w:p>
    <w:p w14:paraId="207DEA8B">
      <w:pPr>
        <w:adjustRightInd w:val="0"/>
        <w:snapToGrid w:val="0"/>
        <w:jc w:val="center"/>
        <w:outlineLvl w:val="0"/>
        <w:rPr>
          <w:rFonts w:ascii="方正小标宋_GBK" w:hAnsi="方正小标宋_GBK" w:eastAsia="方正小标宋_GBK" w:cs="方正小标宋_GBK"/>
          <w:bCs/>
          <w:color w:val="000000" w:themeColor="text1"/>
          <w:sz w:val="72"/>
          <w:szCs w:val="72"/>
          <w14:textFill>
            <w14:solidFill>
              <w14:schemeClr w14:val="tx1"/>
            </w14:solidFill>
          </w14:textFill>
        </w:rPr>
      </w:pPr>
      <w:r>
        <w:rPr>
          <w:rFonts w:hint="eastAsia" w:ascii="方正小标宋_GBK" w:hAnsi="方正小标宋_GBK" w:eastAsia="方正小标宋_GBK" w:cs="方正小标宋_GBK"/>
          <w:bCs/>
          <w:color w:val="000000" w:themeColor="text1"/>
          <w:sz w:val="72"/>
          <w:szCs w:val="72"/>
          <w:lang w:bidi="ar"/>
          <w14:textFill>
            <w14:solidFill>
              <w14:schemeClr w14:val="tx1"/>
            </w14:solidFill>
          </w14:textFill>
        </w:rPr>
        <w:t>建设项目环境影响报告表</w:t>
      </w:r>
    </w:p>
    <w:p w14:paraId="0309BA92">
      <w:pPr>
        <w:adjustRightInd w:val="0"/>
        <w:snapToGrid w:val="0"/>
        <w:spacing w:before="249" w:beforeLines="80"/>
        <w:jc w:val="center"/>
        <w:rPr>
          <w:rFonts w:ascii="楷体_GB2312" w:eastAsia="楷体_GB2312" w:cs="楷体_GB2312"/>
          <w:bCs/>
          <w:color w:val="000000" w:themeColor="text1"/>
          <w:sz w:val="48"/>
          <w:szCs w:val="48"/>
          <w14:textFill>
            <w14:solidFill>
              <w14:schemeClr w14:val="tx1"/>
            </w14:solidFill>
          </w14:textFill>
        </w:rPr>
      </w:pPr>
      <w:r>
        <w:rPr>
          <w:rFonts w:hint="eastAsia" w:ascii="楷体_GB2312" w:hAnsi="Times New Roman" w:eastAsia="楷体_GB2312" w:cs="楷体_GB2312"/>
          <w:bCs/>
          <w:color w:val="000000" w:themeColor="text1"/>
          <w:sz w:val="48"/>
          <w:szCs w:val="48"/>
          <w:lang w:bidi="ar"/>
          <w14:textFill>
            <w14:solidFill>
              <w14:schemeClr w14:val="tx1"/>
            </w14:solidFill>
          </w14:textFill>
        </w:rPr>
        <w:t>（污染影响类）</w:t>
      </w:r>
    </w:p>
    <w:p w14:paraId="5D0410CB">
      <w:pPr>
        <w:adjustRightInd w:val="0"/>
        <w:snapToGrid w:val="0"/>
        <w:spacing w:line="288" w:lineRule="auto"/>
        <w:jc w:val="center"/>
        <w:outlineLvl w:val="0"/>
        <w:rPr>
          <w:rFonts w:ascii="华文仿宋" w:hAnsi="华文仿宋" w:eastAsia="华文仿宋" w:cs="华文仿宋"/>
          <w:color w:val="000000" w:themeColor="text1"/>
          <w:kern w:val="44"/>
          <w:sz w:val="44"/>
          <w:szCs w:val="44"/>
          <w14:textFill>
            <w14:solidFill>
              <w14:schemeClr w14:val="tx1"/>
            </w14:solidFill>
          </w14:textFill>
        </w:rPr>
      </w:pPr>
    </w:p>
    <w:p w14:paraId="3E055DF0">
      <w:pPr>
        <w:jc w:val="center"/>
        <w:rPr>
          <w:rFonts w:eastAsia="仿宋"/>
          <w:color w:val="000000" w:themeColor="text1"/>
          <w:sz w:val="52"/>
          <w:szCs w:val="52"/>
          <w14:textFill>
            <w14:solidFill>
              <w14:schemeClr w14:val="tx1"/>
            </w14:solidFill>
          </w14:textFill>
        </w:rPr>
      </w:pPr>
    </w:p>
    <w:p w14:paraId="45264FC7">
      <w:pPr>
        <w:pStyle w:val="14"/>
        <w:rPr>
          <w:rFonts w:eastAsia="仿宋"/>
          <w:color w:val="000000" w:themeColor="text1"/>
          <w:sz w:val="52"/>
          <w:szCs w:val="52"/>
          <w14:textFill>
            <w14:solidFill>
              <w14:schemeClr w14:val="tx1"/>
            </w14:solidFill>
          </w14:textFill>
        </w:rPr>
      </w:pPr>
    </w:p>
    <w:p w14:paraId="01F58359">
      <w:pPr>
        <w:rPr>
          <w:rFonts w:eastAsia="仿宋"/>
          <w:color w:val="000000" w:themeColor="text1"/>
          <w:sz w:val="52"/>
          <w:szCs w:val="52"/>
          <w14:textFill>
            <w14:solidFill>
              <w14:schemeClr w14:val="tx1"/>
            </w14:solidFill>
          </w14:textFill>
        </w:rPr>
      </w:pPr>
    </w:p>
    <w:p w14:paraId="706B2FBB">
      <w:pPr>
        <w:rPr>
          <w:rFonts w:eastAsia="仿宋"/>
          <w:color w:val="000000" w:themeColor="text1"/>
          <w:sz w:val="52"/>
          <w:szCs w:val="52"/>
          <w14:textFill>
            <w14:solidFill>
              <w14:schemeClr w14:val="tx1"/>
            </w14:solidFill>
          </w14:textFill>
        </w:rPr>
      </w:pPr>
    </w:p>
    <w:p w14:paraId="29797D8B">
      <w:pPr>
        <w:pStyle w:val="14"/>
        <w:rPr>
          <w:rFonts w:eastAsia="仿宋"/>
          <w:color w:val="000000" w:themeColor="text1"/>
          <w:sz w:val="52"/>
          <w:szCs w:val="52"/>
          <w14:textFill>
            <w14:solidFill>
              <w14:schemeClr w14:val="tx1"/>
            </w14:solidFill>
          </w14:textFill>
        </w:rPr>
      </w:pPr>
    </w:p>
    <w:p w14:paraId="4459DEA4">
      <w:pPr>
        <w:rPr>
          <w:color w:val="000000" w:themeColor="text1"/>
          <w14:textFill>
            <w14:solidFill>
              <w14:schemeClr w14:val="tx1"/>
            </w14:solidFill>
          </w14:textFill>
        </w:rPr>
      </w:pPr>
    </w:p>
    <w:tbl>
      <w:tblPr>
        <w:tblStyle w:val="37"/>
        <w:tblW w:w="9536" w:type="dxa"/>
        <w:jc w:val="center"/>
        <w:tblLayout w:type="fixed"/>
        <w:tblCellMar>
          <w:top w:w="0" w:type="dxa"/>
          <w:left w:w="108" w:type="dxa"/>
          <w:bottom w:w="0" w:type="dxa"/>
          <w:right w:w="108" w:type="dxa"/>
        </w:tblCellMar>
      </w:tblPr>
      <w:tblGrid>
        <w:gridCol w:w="2376"/>
        <w:gridCol w:w="7160"/>
      </w:tblGrid>
      <w:tr w14:paraId="32681FDE">
        <w:tblPrEx>
          <w:tblCellMar>
            <w:top w:w="0" w:type="dxa"/>
            <w:left w:w="108" w:type="dxa"/>
            <w:bottom w:w="0" w:type="dxa"/>
            <w:right w:w="108" w:type="dxa"/>
          </w:tblCellMar>
        </w:tblPrEx>
        <w:trPr>
          <w:trHeight w:val="737" w:hRule="atLeast"/>
          <w:jc w:val="center"/>
        </w:trPr>
        <w:tc>
          <w:tcPr>
            <w:tcW w:w="2376" w:type="dxa"/>
          </w:tcPr>
          <w:p w14:paraId="73258B03">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项目名称</w:t>
            </w:r>
            <w:r>
              <w:rPr>
                <w:rFonts w:hint="eastAsia" w:ascii="Times New Roman" w:hAnsi="Times New Roman" w:eastAsia="仿宋_GB2312" w:cs="Times New Roman"/>
                <w:color w:val="000000" w:themeColor="text1"/>
                <w:spacing w:val="-28"/>
                <w:sz w:val="36"/>
                <w:szCs w:val="36"/>
                <w14:textFill>
                  <w14:solidFill>
                    <w14:schemeClr w14:val="tx1"/>
                  </w14:solidFill>
                </w14:textFill>
              </w:rPr>
              <w:t>：</w:t>
            </w:r>
          </w:p>
        </w:tc>
        <w:tc>
          <w:tcPr>
            <w:tcW w:w="7160" w:type="dxa"/>
            <w:vAlign w:val="center"/>
          </w:tcPr>
          <w:p w14:paraId="41E867CB">
            <w:pPr>
              <w:adjustRightInd w:val="0"/>
              <w:snapToGrid w:val="0"/>
              <w:spacing w:line="288" w:lineRule="auto"/>
              <w:jc w:val="distribute"/>
              <w:rPr>
                <w:rFonts w:hint="eastAsia" w:ascii="Times New Roman" w:hAnsi="Times New Roman" w:eastAsia="仿宋_GB2312" w:cs="Times New Roman"/>
                <w:color w:val="000000" w:themeColor="text1"/>
                <w:sz w:val="36"/>
                <w:szCs w:val="36"/>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洁贝欧年产2000万套日用塑料制品项目</w:t>
            </w:r>
          </w:p>
        </w:tc>
      </w:tr>
      <w:tr w14:paraId="5900F7F7">
        <w:tblPrEx>
          <w:tblCellMar>
            <w:top w:w="0" w:type="dxa"/>
            <w:left w:w="108" w:type="dxa"/>
            <w:bottom w:w="0" w:type="dxa"/>
            <w:right w:w="108" w:type="dxa"/>
          </w:tblCellMar>
        </w:tblPrEx>
        <w:trPr>
          <w:trHeight w:val="710" w:hRule="atLeast"/>
          <w:jc w:val="center"/>
        </w:trPr>
        <w:tc>
          <w:tcPr>
            <w:tcW w:w="2376" w:type="dxa"/>
            <w:vAlign w:val="center"/>
          </w:tcPr>
          <w:p w14:paraId="2F45AEF0">
            <w:pPr>
              <w:adjustRightInd w:val="0"/>
              <w:snapToGrid w:val="0"/>
              <w:spacing w:line="288" w:lineRule="auto"/>
              <w:rPr>
                <w:rFonts w:ascii="Times New Roman" w:hAnsi="Times New Roman" w:eastAsia="仿宋_GB2312" w:cs="Times New Roman"/>
                <w:color w:val="000000" w:themeColor="text1"/>
                <w:spacing w:val="-40"/>
                <w:sz w:val="36"/>
                <w:szCs w:val="36"/>
                <w14:textFill>
                  <w14:solidFill>
                    <w14:schemeClr w14:val="tx1"/>
                  </w14:solidFill>
                </w14:textFill>
              </w:rPr>
            </w:pPr>
            <w:r>
              <w:rPr>
                <w:rFonts w:ascii="Times New Roman" w:hAnsi="Times New Roman" w:eastAsia="仿宋_GB2312" w:cs="Times New Roman"/>
                <w:color w:val="000000" w:themeColor="text1"/>
                <w:spacing w:val="-40"/>
                <w:sz w:val="36"/>
                <w:szCs w:val="36"/>
                <w14:textFill>
                  <w14:solidFill>
                    <w14:schemeClr w14:val="tx1"/>
                  </w14:solidFill>
                </w14:textFill>
              </w:rPr>
              <w:t>建设单位（盖章）</w:t>
            </w:r>
            <w:r>
              <w:rPr>
                <w:rFonts w:hint="eastAsia" w:ascii="Times New Roman" w:hAnsi="Times New Roman" w:eastAsia="仿宋_GB2312" w:cs="Times New Roman"/>
                <w:color w:val="000000" w:themeColor="text1"/>
                <w:spacing w:val="-40"/>
                <w:sz w:val="36"/>
                <w:szCs w:val="36"/>
                <w:lang w:eastAsia="zh-CN"/>
                <w14:textFill>
                  <w14:solidFill>
                    <w14:schemeClr w14:val="tx1"/>
                  </w14:solidFill>
                </w14:textFill>
              </w:rPr>
              <w:t>：</w:t>
            </w:r>
          </w:p>
        </w:tc>
        <w:tc>
          <w:tcPr>
            <w:tcW w:w="7160" w:type="dxa"/>
            <w:vAlign w:val="center"/>
          </w:tcPr>
          <w:p w14:paraId="17660905">
            <w:pPr>
              <w:adjustRightInd w:val="0"/>
              <w:snapToGrid w:val="0"/>
              <w:spacing w:line="288" w:lineRule="auto"/>
              <w:jc w:val="distribute"/>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永清县洁贝欧塑料制品有限公司</w:t>
            </w:r>
          </w:p>
        </w:tc>
      </w:tr>
      <w:tr w14:paraId="165891A7">
        <w:tblPrEx>
          <w:tblCellMar>
            <w:top w:w="0" w:type="dxa"/>
            <w:left w:w="108" w:type="dxa"/>
            <w:bottom w:w="0" w:type="dxa"/>
            <w:right w:w="108" w:type="dxa"/>
          </w:tblCellMar>
        </w:tblPrEx>
        <w:trPr>
          <w:jc w:val="center"/>
        </w:trPr>
        <w:tc>
          <w:tcPr>
            <w:tcW w:w="2376" w:type="dxa"/>
            <w:vAlign w:val="center"/>
          </w:tcPr>
          <w:p w14:paraId="53619939">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编制日期：</w:t>
            </w:r>
          </w:p>
        </w:tc>
        <w:tc>
          <w:tcPr>
            <w:tcW w:w="7160" w:type="dxa"/>
            <w:vAlign w:val="center"/>
          </w:tcPr>
          <w:p w14:paraId="1C49FF7B">
            <w:pPr>
              <w:adjustRightInd w:val="0"/>
              <w:snapToGrid w:val="0"/>
              <w:spacing w:line="288" w:lineRule="auto"/>
              <w:rPr>
                <w:rFonts w:ascii="Times New Roman" w:hAnsi="Times New Roman" w:eastAsia="仿宋_GB2312" w:cs="Times New Roman"/>
                <w:color w:val="000000" w:themeColor="text1"/>
                <w:sz w:val="36"/>
                <w:szCs w:val="36"/>
                <w:u w:val="single"/>
                <w14:textFill>
                  <w14:solidFill>
                    <w14:schemeClr w14:val="tx1"/>
                  </w14:solidFill>
                </w14:textFill>
              </w:rPr>
            </w:pP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202</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5</w:t>
            </w:r>
            <w:r>
              <w:rPr>
                <w:rFonts w:ascii="Times New Roman" w:hAnsi="Times New Roman" w:eastAsia="仿宋_GB2312" w:cs="Times New Roman"/>
                <w:color w:val="000000" w:themeColor="text1"/>
                <w:sz w:val="36"/>
                <w:szCs w:val="36"/>
                <w:u w:val="single"/>
                <w14:textFill>
                  <w14:solidFill>
                    <w14:schemeClr w14:val="tx1"/>
                  </w14:solidFill>
                </w14:textFill>
              </w:rPr>
              <w:t>年</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11</w:t>
            </w:r>
            <w:r>
              <w:rPr>
                <w:rFonts w:ascii="Times New Roman" w:hAnsi="Times New Roman" w:eastAsia="仿宋_GB2312" w:cs="Times New Roman"/>
                <w:color w:val="000000" w:themeColor="text1"/>
                <w:sz w:val="36"/>
                <w:szCs w:val="36"/>
                <w:u w:val="single"/>
                <w14:textFill>
                  <w14:solidFill>
                    <w14:schemeClr w14:val="tx1"/>
                  </w14:solidFill>
                </w14:textFill>
              </w:rPr>
              <w:t xml:space="preserve">月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p>
        </w:tc>
      </w:tr>
    </w:tbl>
    <w:p w14:paraId="4101603F">
      <w:pPr>
        <w:ind w:firstLine="1040"/>
        <w:rPr>
          <w:rFonts w:eastAsia="仿宋"/>
          <w:color w:val="000000" w:themeColor="text1"/>
          <w:sz w:val="44"/>
          <w:szCs w:val="44"/>
          <w14:textFill>
            <w14:solidFill>
              <w14:schemeClr w14:val="tx1"/>
            </w14:solidFill>
          </w14:textFill>
        </w:rPr>
      </w:pPr>
    </w:p>
    <w:p w14:paraId="4D6AF5FA">
      <w:pPr>
        <w:pStyle w:val="4"/>
        <w:rPr>
          <w:color w:val="000000" w:themeColor="text1"/>
          <w14:textFill>
            <w14:solidFill>
              <w14:schemeClr w14:val="tx1"/>
            </w14:solidFill>
          </w14:textFill>
        </w:rPr>
      </w:pPr>
    </w:p>
    <w:p w14:paraId="4444DB6D">
      <w:pPr>
        <w:adjustRightInd w:val="0"/>
        <w:snapToGrid w:val="0"/>
        <w:spacing w:line="288" w:lineRule="auto"/>
        <w:jc w:val="center"/>
        <w:rPr>
          <w:rFonts w:ascii="楷体_GB2312" w:eastAsia="楷体_GB2312" w:cs="楷体_GB2312"/>
          <w:color w:val="000000" w:themeColor="text1"/>
          <w:sz w:val="36"/>
          <w:szCs w:val="36"/>
          <w14:textFill>
            <w14:solidFill>
              <w14:schemeClr w14:val="tx1"/>
            </w14:solidFill>
          </w14:textFill>
        </w:rPr>
      </w:pPr>
      <w:r>
        <w:rPr>
          <w:rFonts w:hint="eastAsia" w:ascii="楷体_GB2312" w:hAnsi="Times New Roman" w:eastAsia="楷体_GB2312" w:cs="楷体_GB2312"/>
          <w:color w:val="000000" w:themeColor="text1"/>
          <w:sz w:val="36"/>
          <w:szCs w:val="36"/>
          <w:lang w:bidi="ar"/>
          <w14:textFill>
            <w14:solidFill>
              <w14:schemeClr w14:val="tx1"/>
            </w14:solidFill>
          </w14:textFill>
        </w:rPr>
        <w:t>中华人民共和国生态环境部制</w:t>
      </w:r>
    </w:p>
    <w:p w14:paraId="5F09A5CF">
      <w:pPr>
        <w:spacing w:line="288" w:lineRule="auto"/>
        <w:rPr>
          <w:rFonts w:ascii="仿宋_GB2312" w:hAnsi="Times New Roman" w:eastAsia="仿宋_GB2312" w:cs="Times New Roman"/>
          <w:color w:val="000000" w:themeColor="text1"/>
          <w:sz w:val="36"/>
          <w:szCs w:val="36"/>
          <w:lang w:bidi="ar"/>
          <w14:textFill>
            <w14:solidFill>
              <w14:schemeClr w14:val="tx1"/>
            </w14:solidFill>
          </w14:textFill>
        </w:rPr>
      </w:pPr>
    </w:p>
    <w:p w14:paraId="1DFFDA61">
      <w:pPr>
        <w:pStyle w:val="25"/>
        <w:rPr>
          <w:rFonts w:ascii="仿宋_GB2312" w:hAnsi="Times New Roman" w:eastAsia="仿宋_GB2312"/>
          <w:color w:val="000000" w:themeColor="text1"/>
          <w:sz w:val="36"/>
          <w:szCs w:val="36"/>
          <w:lang w:bidi="ar"/>
          <w14:textFill>
            <w14:solidFill>
              <w14:schemeClr w14:val="tx1"/>
            </w14:solidFill>
          </w14:textFill>
        </w:rPr>
      </w:pPr>
    </w:p>
    <w:p w14:paraId="13EE0541">
      <w:pPr>
        <w:pStyle w:val="27"/>
        <w:ind w:right="105" w:rightChars="50"/>
        <w:jc w:val="both"/>
        <w:outlineLvl w:val="0"/>
        <w:rPr>
          <w:rFonts w:ascii="黑体" w:eastAsia="黑体" w:cs="黑体"/>
          <w:snapToGrid w:val="0"/>
          <w:color w:val="000000" w:themeColor="text1"/>
          <w:sz w:val="30"/>
          <w:szCs w:val="30"/>
          <w14:textFill>
            <w14:solidFill>
              <w14:schemeClr w14:val="tx1"/>
            </w14:solidFill>
          </w14:textFill>
        </w:rPr>
      </w:pPr>
    </w:p>
    <w:p w14:paraId="7C4F85F9">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0FDEFB0">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E6BA05B">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094CAF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A0B208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E91724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755D39F">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006845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FA32EC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6342FB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99EB80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26F5D3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97B8F8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sectPr>
          <w:footerReference r:id="rId3" w:type="default"/>
          <w:pgSz w:w="11915" w:h="16840"/>
          <w:pgMar w:top="1702" w:right="1531" w:bottom="2127" w:left="1531" w:header="851" w:footer="851" w:gutter="0"/>
          <w:pgNumType w:start="1"/>
          <w:cols w:space="425" w:num="1"/>
          <w:docGrid w:type="lines" w:linePitch="312" w:charSpace="0"/>
        </w:sectPr>
      </w:pPr>
    </w:p>
    <w:p w14:paraId="257F58C8">
      <w:pPr>
        <w:pStyle w:val="27"/>
        <w:ind w:left="105" w:leftChars="50" w:right="105" w:rightChars="50"/>
        <w:jc w:val="center"/>
        <w:outlineLvl w:val="0"/>
        <w:rPr>
          <w:rFonts w:hint="default" w:ascii="黑体" w:eastAsia="黑体" w:cs="黑体"/>
          <w:color w:val="000000" w:themeColor="text1"/>
          <w:sz w:val="30"/>
          <w:szCs w:val="30"/>
          <w14:textFill>
            <w14:solidFill>
              <w14:schemeClr w14:val="tx1"/>
            </w14:solidFill>
          </w14:textFill>
        </w:rPr>
      </w:pPr>
      <w:r>
        <w:rPr>
          <w:rFonts w:ascii="黑体" w:eastAsia="黑体" w:cs="黑体"/>
          <w:snapToGrid w:val="0"/>
          <w:color w:val="000000" w:themeColor="text1"/>
          <w:sz w:val="30"/>
          <w:szCs w:val="30"/>
          <w14:textFill>
            <w14:solidFill>
              <w14:schemeClr w14:val="tx1"/>
            </w14:solidFill>
          </w14:textFill>
        </w:rPr>
        <w:t>一、建设项目基本情况</w:t>
      </w:r>
    </w:p>
    <w:tbl>
      <w:tblPr>
        <w:tblStyle w:val="37"/>
        <w:tblW w:w="94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95"/>
        <w:gridCol w:w="2520"/>
        <w:gridCol w:w="1803"/>
        <w:gridCol w:w="3168"/>
      </w:tblGrid>
      <w:tr w14:paraId="4E17B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1995" w:type="dxa"/>
            <w:tcBorders>
              <w:top w:val="single" w:color="auto" w:sz="8"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52691718">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建设项目名称</w:t>
            </w:r>
          </w:p>
        </w:tc>
        <w:tc>
          <w:tcPr>
            <w:tcW w:w="7491" w:type="dxa"/>
            <w:gridSpan w:val="3"/>
            <w:tcBorders>
              <w:top w:val="single" w:color="auto" w:sz="8" w:space="0"/>
              <w:left w:val="single" w:color="auto" w:sz="4" w:space="0"/>
              <w:bottom w:val="single" w:color="auto" w:sz="4" w:space="0"/>
              <w:right w:val="single" w:color="auto" w:sz="8" w:space="0"/>
            </w:tcBorders>
            <w:shd w:val="clear" w:color="auto" w:fill="auto"/>
            <w:vAlign w:val="center"/>
          </w:tcPr>
          <w:p w14:paraId="37BA883E">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4"/>
                <w:lang w:eastAsia="zh-CN"/>
                <w14:textFill>
                  <w14:solidFill>
                    <w14:schemeClr w14:val="tx1"/>
                  </w14:solidFill>
                </w14:textFill>
              </w:rPr>
              <w:t>洁贝欧年产2000万套日用塑料制品项目</w:t>
            </w:r>
          </w:p>
        </w:tc>
      </w:tr>
      <w:tr w14:paraId="62157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017E6CF">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项目代码</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4E755CFB">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auto"/>
                <w:sz w:val="24"/>
                <w:highlight w:val="none"/>
                <w:lang w:val="en-US" w:eastAsia="zh-CN"/>
              </w:rPr>
              <w:t>2509-131023-04-01-806941</w:t>
            </w:r>
          </w:p>
        </w:tc>
      </w:tr>
      <w:tr w14:paraId="7F0DB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2A210FC">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建设单位联系人</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66EAAE5F">
            <w:pPr>
              <w:adjustRightInd w:val="0"/>
              <w:snapToGrid w:val="0"/>
              <w:ind w:left="105" w:leftChars="50" w:right="105" w:rightChars="50"/>
              <w:jc w:val="center"/>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lang w:val="en-US" w:eastAsia="zh-CN"/>
                <w14:textFill>
                  <w14:solidFill>
                    <w14:schemeClr w14:val="tx1"/>
                  </w14:solidFill>
                </w14:textFill>
              </w:rPr>
              <w:instrText xml:space="preserve"> HYPERLINK "https://www.tianyancha.com/human/2068136419-c7697875053" \o "王增玉" \t "https://www.tianyancha.com/company/_blank" </w:instrText>
            </w:r>
            <w:r>
              <w:rPr>
                <w:rFonts w:hint="eastAsia" w:ascii="Times New Roman" w:hAnsi="Times New Roman" w:eastAsia="宋体" w:cs="Times New Roman"/>
                <w:color w:val="000000" w:themeColor="text1"/>
                <w:sz w:val="24"/>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lang w:val="en-US" w:eastAsia="zh-CN"/>
                <w14:textFill>
                  <w14:solidFill>
                    <w14:schemeClr w14:val="tx1"/>
                  </w14:solidFill>
                </w14:textFill>
              </w:rPr>
              <w:t>王增玉</w:t>
            </w:r>
            <w:r>
              <w:rPr>
                <w:rFonts w:hint="eastAsia" w:ascii="Times New Roman" w:hAnsi="Times New Roman" w:eastAsia="宋体" w:cs="Times New Roman"/>
                <w:color w:val="000000" w:themeColor="text1"/>
                <w:sz w:val="24"/>
                <w:lang w:val="en-US" w:eastAsia="zh-CN"/>
                <w14:textFill>
                  <w14:solidFill>
                    <w14:schemeClr w14:val="tx1"/>
                  </w14:solidFill>
                </w14:textFill>
              </w:rPr>
              <w:fldChar w:fldCharType="end"/>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628437C4">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联系方式</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95DC2F8">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13730371011</w:t>
            </w:r>
          </w:p>
        </w:tc>
      </w:tr>
      <w:tr w14:paraId="450161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AE15FFB">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建设地点</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3B1002A8">
            <w:pPr>
              <w:adjustRightInd w:val="0"/>
              <w:snapToGrid w:val="0"/>
              <w:ind w:left="105" w:leftChars="50" w:right="105" w:rightChars="50"/>
              <w:jc w:val="center"/>
              <w:rPr>
                <w:rFonts w:hint="eastAsia" w:ascii="Times New Roman" w:hAnsi="Times New Roman" w:eastAsia="宋体" w:cs="Times New Roman"/>
                <w:color w:val="000000" w:themeColor="text1"/>
                <w:sz w:val="24"/>
                <w:highlight w:val="yellow"/>
                <w:lang w:eastAsia="zh-CN"/>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河北省廊坊市</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永清县别古庄镇北堼上村28号</w:t>
            </w:r>
          </w:p>
        </w:tc>
      </w:tr>
      <w:tr w14:paraId="33FCF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F520BB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地理坐标</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5B9BFCD1">
            <w:pPr>
              <w:ind w:left="105" w:leftChars="50" w:right="105" w:rightChars="50"/>
              <w:jc w:val="center"/>
              <w:rPr>
                <w:rFonts w:ascii="Times New Roman" w:hAnsi="Times New Roman" w:eastAsia="宋体" w:cs="Times New Roman"/>
                <w:color w:val="000000" w:themeColor="text1"/>
                <w:sz w:val="24"/>
                <w:highlight w:val="yellow"/>
                <w14:textFill>
                  <w14:solidFill>
                    <w14:schemeClr w14:val="tx1"/>
                  </w14:solidFill>
                </w14:textFill>
              </w:rPr>
            </w:pPr>
            <w:r>
              <w:rPr>
                <w:rFonts w:ascii="Times New Roman" w:hAnsi="Times New Roman" w:eastAsia="宋体" w:cs="Times New Roman"/>
                <w:color w:val="auto"/>
                <w:sz w:val="24"/>
                <w:highlight w:val="none"/>
                <w:lang w:bidi="ar"/>
              </w:rPr>
              <w:t>（东经</w:t>
            </w:r>
            <w:r>
              <w:rPr>
                <w:rFonts w:hint="eastAsia" w:ascii="Times New Roman" w:hAnsi="Times New Roman" w:eastAsia="宋体" w:cs="Times New Roman"/>
                <w:color w:val="auto"/>
                <w:sz w:val="24"/>
                <w:highlight w:val="none"/>
                <w:lang w:eastAsia="zh-CN" w:bidi="ar"/>
              </w:rPr>
              <w:t>116°39′37.679″</w:t>
            </w:r>
            <w:r>
              <w:rPr>
                <w:rFonts w:ascii="Times New Roman" w:hAnsi="Times New Roman" w:eastAsia="宋体" w:cs="Times New Roman"/>
                <w:color w:val="auto"/>
                <w:sz w:val="24"/>
                <w:highlight w:val="none"/>
                <w:lang w:bidi="ar"/>
              </w:rPr>
              <w:t>，北纬</w:t>
            </w:r>
            <w:r>
              <w:rPr>
                <w:rFonts w:hint="eastAsia" w:ascii="Times New Roman" w:hAnsi="Times New Roman" w:eastAsia="宋体" w:cs="Times New Roman"/>
                <w:color w:val="auto"/>
                <w:sz w:val="24"/>
                <w:highlight w:val="none"/>
                <w:lang w:eastAsia="zh-CN" w:bidi="ar"/>
              </w:rPr>
              <w:t xml:space="preserve"> 39°21′5.701″</w:t>
            </w:r>
            <w:r>
              <w:rPr>
                <w:rFonts w:ascii="Times New Roman" w:hAnsi="Times New Roman" w:eastAsia="宋体" w:cs="Times New Roman"/>
                <w:color w:val="auto"/>
                <w:sz w:val="24"/>
                <w:highlight w:val="none"/>
                <w:lang w:bidi="ar"/>
              </w:rPr>
              <w:t>）</w:t>
            </w:r>
          </w:p>
        </w:tc>
      </w:tr>
      <w:tr w14:paraId="41F71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A47BDAA">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国民经济</w:t>
            </w:r>
          </w:p>
          <w:p w14:paraId="3CEE4740">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行业类别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D31E4B5">
            <w:pPr>
              <w:adjustRightInd w:val="0"/>
              <w:snapToGrid w:val="0"/>
              <w:ind w:left="105" w:leftChars="50" w:right="105" w:rightChars="50"/>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eastAsiaTheme="minorEastAsia"/>
                <w:color w:val="auto"/>
                <w:sz w:val="24"/>
                <w:highlight w:val="none"/>
                <w:lang w:val="en-US" w:eastAsia="zh-CN"/>
              </w:rPr>
              <w:t>C2</w:t>
            </w:r>
            <w:r>
              <w:rPr>
                <w:rFonts w:hint="eastAsia" w:ascii="Times New Roman" w:hAnsi="Times New Roman" w:cs="Times New Roman"/>
                <w:color w:val="auto"/>
                <w:sz w:val="24"/>
                <w:highlight w:val="none"/>
                <w:lang w:val="en-US" w:eastAsia="zh-CN"/>
              </w:rPr>
              <w:t>927日用塑料制品</w:t>
            </w:r>
            <w:r>
              <w:rPr>
                <w:rFonts w:hint="default" w:ascii="Times New Roman" w:hAnsi="Times New Roman" w:cs="Times New Roman" w:eastAsiaTheme="minorEastAsia"/>
                <w:color w:val="auto"/>
                <w:sz w:val="24"/>
                <w:highlight w:val="none"/>
                <w:lang w:val="en-US" w:eastAsia="zh-CN"/>
              </w:rPr>
              <w:t>制造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7B0D1F39">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bookmarkStart w:id="0" w:name="_Hlk49843745"/>
            <w:r>
              <w:rPr>
                <w:rFonts w:ascii="Times New Roman" w:hAnsi="Times New Roman" w:eastAsia="宋体" w:cs="Times New Roman"/>
                <w:bCs/>
                <w:color w:val="auto"/>
                <w:sz w:val="24"/>
                <w:highlight w:val="none"/>
                <w:lang w:bidi="ar"/>
              </w:rPr>
              <w:t>建设项目</w:t>
            </w:r>
          </w:p>
          <w:p w14:paraId="06C6D2DF">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r>
              <w:rPr>
                <w:rFonts w:ascii="Times New Roman" w:hAnsi="Times New Roman" w:eastAsia="宋体" w:cs="Times New Roman"/>
                <w:bCs/>
                <w:color w:val="auto"/>
                <w:sz w:val="24"/>
                <w:highlight w:val="none"/>
                <w:lang w:bidi="ar"/>
              </w:rPr>
              <w:t>行业类别</w:t>
            </w:r>
            <w:bookmarkEnd w:id="0"/>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3447E7A4">
            <w:pPr>
              <w:adjustRightInd w:val="0"/>
              <w:snapToGrid w:val="0"/>
              <w:ind w:left="105" w:leftChars="50" w:right="105" w:rightChars="50"/>
              <w:jc w:val="center"/>
              <w:rPr>
                <w:rFonts w:hint="default" w:ascii="Times New Roman" w:hAnsi="Times New Roman" w:eastAsia="宋体" w:cs="Times New Roman"/>
                <w:bCs/>
                <w:color w:val="auto"/>
                <w:sz w:val="24"/>
                <w:highlight w:val="yellow"/>
                <w:lang w:val="en-US" w:eastAsia="zh-CN" w:bidi="ar"/>
              </w:rPr>
            </w:pPr>
            <w:r>
              <w:rPr>
                <w:rFonts w:hint="eastAsia" w:ascii="Times New Roman" w:hAnsi="Times New Roman"/>
                <w:color w:val="auto"/>
                <w:sz w:val="24"/>
                <w:lang w:eastAsia="zh-CN"/>
              </w:rPr>
              <w:t>二十六</w:t>
            </w:r>
            <w:r>
              <w:rPr>
                <w:rFonts w:ascii="Times New Roman" w:hAnsi="Times New Roman"/>
                <w:color w:val="auto"/>
                <w:sz w:val="24"/>
              </w:rPr>
              <w:t>、</w:t>
            </w:r>
            <w:r>
              <w:rPr>
                <w:rFonts w:hint="eastAsia" w:ascii="Times New Roman" w:hAnsi="Times New Roman"/>
                <w:color w:val="auto"/>
                <w:sz w:val="24"/>
                <w:lang w:eastAsia="zh-CN"/>
              </w:rPr>
              <w:t>橡胶和塑料制品业</w:t>
            </w:r>
            <w:r>
              <w:rPr>
                <w:rFonts w:ascii="Times New Roman" w:hAnsi="Times New Roman"/>
                <w:color w:val="auto"/>
                <w:sz w:val="24"/>
              </w:rPr>
              <w:t xml:space="preserve"> 2</w:t>
            </w:r>
            <w:r>
              <w:rPr>
                <w:rFonts w:hint="eastAsia" w:ascii="Times New Roman" w:hAnsi="Times New Roman"/>
                <w:color w:val="auto"/>
                <w:sz w:val="24"/>
                <w:lang w:val="en-US" w:eastAsia="zh-CN"/>
              </w:rPr>
              <w:t>9</w:t>
            </w:r>
            <w:r>
              <w:rPr>
                <w:rFonts w:ascii="Times New Roman" w:hAnsi="Times New Roman"/>
                <w:color w:val="auto"/>
                <w:sz w:val="24"/>
              </w:rPr>
              <w:t>-</w:t>
            </w:r>
            <w:r>
              <w:rPr>
                <w:rFonts w:hint="eastAsia" w:ascii="Times New Roman" w:hAnsi="Times New Roman"/>
                <w:color w:val="auto"/>
                <w:sz w:val="24"/>
                <w:lang w:val="en-US" w:eastAsia="zh-CN"/>
              </w:rPr>
              <w:t>53</w:t>
            </w:r>
            <w:r>
              <w:rPr>
                <w:rFonts w:ascii="Times New Roman" w:hAnsi="Times New Roman"/>
                <w:color w:val="auto"/>
                <w:sz w:val="24"/>
              </w:rPr>
              <w:t xml:space="preserve"> </w:t>
            </w:r>
            <w:r>
              <w:rPr>
                <w:rFonts w:hint="eastAsia" w:ascii="Times New Roman" w:hAnsi="Times New Roman"/>
                <w:color w:val="auto"/>
                <w:sz w:val="24"/>
                <w:lang w:val="en-US" w:eastAsia="zh-CN"/>
              </w:rPr>
              <w:t>塑料制品业 292-其他（年用非溶剂型低VOCs含量涂料10吨以下的除外）</w:t>
            </w:r>
          </w:p>
        </w:tc>
      </w:tr>
      <w:tr w14:paraId="4DA8E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0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C66D3E4">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建设性质</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2E46CC">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52"/>
            </w:r>
            <w:r>
              <w:rPr>
                <w:rFonts w:ascii="Times New Roman" w:hAnsi="Times New Roman" w:eastAsia="宋体" w:cs="Times New Roman"/>
                <w:color w:val="000000" w:themeColor="text1"/>
                <w:sz w:val="24"/>
                <w:lang w:bidi="ar"/>
                <w14:textFill>
                  <w14:solidFill>
                    <w14:schemeClr w14:val="tx1"/>
                  </w14:solidFill>
                </w14:textFill>
              </w:rPr>
              <w:t>新建（迁建）</w:t>
            </w:r>
          </w:p>
          <w:p w14:paraId="4FE37C5C">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改建</w:t>
            </w:r>
          </w:p>
          <w:p w14:paraId="548A4779">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A3"/>
            </w:r>
            <w:r>
              <w:rPr>
                <w:rFonts w:hint="eastAsia" w:ascii="Times New Roman" w:hAnsi="Times New Roman" w:eastAsia="宋体" w:cs="Times New Roman"/>
                <w:color w:val="000000" w:themeColor="text1"/>
                <w:sz w:val="24"/>
                <w:lang w:bidi="ar"/>
                <w14:textFill>
                  <w14:solidFill>
                    <w14:schemeClr w14:val="tx1"/>
                  </w14:solidFill>
                </w14:textFill>
              </w:rPr>
              <w:t>扩建</w:t>
            </w:r>
          </w:p>
          <w:p w14:paraId="64F6AE81">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A3"/>
            </w:r>
            <w:r>
              <w:rPr>
                <w:rFonts w:ascii="Times New Roman" w:hAnsi="Times New Roman" w:eastAsia="宋体" w:cs="Times New Roman"/>
                <w:color w:val="000000" w:themeColor="text1"/>
                <w:sz w:val="24"/>
                <w:lang w:bidi="ar"/>
                <w14:textFill>
                  <w14:solidFill>
                    <w14:schemeClr w14:val="tx1"/>
                  </w14:solidFill>
                </w14:textFill>
              </w:rPr>
              <w:t>技术改造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00DF43E3">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建设项目</w:t>
            </w:r>
          </w:p>
          <w:p w14:paraId="667A413B">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申报情形</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836E6D">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52"/>
            </w:r>
            <w:r>
              <w:rPr>
                <w:rFonts w:ascii="Times New Roman" w:hAnsi="Times New Roman" w:eastAsia="宋体" w:cs="Times New Roman"/>
                <w:color w:val="000000" w:themeColor="text1"/>
                <w:sz w:val="24"/>
                <w:lang w:bidi="ar"/>
                <w14:textFill>
                  <w14:solidFill>
                    <w14:schemeClr w14:val="tx1"/>
                  </w14:solidFill>
                </w14:textFill>
              </w:rPr>
              <w:t xml:space="preserve">首次申报项目             </w:t>
            </w:r>
          </w:p>
          <w:p w14:paraId="78620846">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不予批准后再次申报项目</w:t>
            </w:r>
          </w:p>
          <w:p w14:paraId="040CA7A4">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 xml:space="preserve">超五年重新审核项目     </w:t>
            </w:r>
          </w:p>
          <w:p w14:paraId="4934B8A2">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重大变动重新报批项目</w:t>
            </w:r>
          </w:p>
        </w:tc>
      </w:tr>
      <w:tr w14:paraId="26762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41D79BC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项目审批（核准/</w:t>
            </w:r>
          </w:p>
          <w:p w14:paraId="6094D4A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备案）部门（选填）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567B7DC9">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永清县发展和改革局</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494E1F92">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项目审批（核准/</w:t>
            </w:r>
          </w:p>
          <w:p w14:paraId="26E6CD97">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备案）文号（选填）</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6CF07EA">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auto"/>
                <w:sz w:val="24"/>
                <w:highlight w:val="none"/>
                <w:lang w:eastAsia="zh-CN"/>
              </w:rPr>
              <w:t>永发改项目备〔2025〕253号</w:t>
            </w:r>
          </w:p>
        </w:tc>
      </w:tr>
      <w:tr w14:paraId="42DE0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95E635E">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总投资（万元）</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A5A099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300</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49CFB90C">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环保投资（万元）</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7D31BECB">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20</w:t>
            </w:r>
          </w:p>
        </w:tc>
      </w:tr>
      <w:tr w14:paraId="0FC48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34791F1">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环保投资占比（%）</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87E44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6.67</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18FE5B18">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施工工期</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C86552">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rPr>
              <w:t>个月</w:t>
            </w:r>
          </w:p>
        </w:tc>
      </w:tr>
      <w:tr w14:paraId="236B5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47908EF">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是否开工建设</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4D34CA63">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☑否</w:t>
            </w:r>
          </w:p>
          <w:p w14:paraId="7F33EADE">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是：</w:t>
            </w:r>
            <w:r>
              <w:rPr>
                <w:rFonts w:ascii="Times New Roman" w:hAnsi="Times New Roman" w:eastAsia="宋体" w:cs="Times New Roman"/>
                <w:color w:val="000000" w:themeColor="text1"/>
                <w:sz w:val="24"/>
                <w:u w:val="single"/>
                <w:lang w:bidi="ar"/>
                <w14:textFill>
                  <w14:solidFill>
                    <w14:schemeClr w14:val="tx1"/>
                  </w14:solidFill>
                </w14:textFill>
              </w:rPr>
              <w:t xml:space="preserve">             </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0A4FFB27">
            <w:pPr>
              <w:adjustRightInd w:val="0"/>
              <w:snapToGrid w:val="0"/>
              <w:ind w:left="105" w:leftChars="50" w:right="105" w:rightChars="50"/>
              <w:jc w:val="center"/>
              <w:rPr>
                <w:rFonts w:ascii="Times New Roman" w:hAnsi="Times New Roman" w:eastAsia="宋体" w:cs="Times New Roman"/>
                <w:color w:val="000000" w:themeColor="text1"/>
                <w:spacing w:val="-6"/>
                <w:sz w:val="24"/>
                <w14:textFill>
                  <w14:solidFill>
                    <w14:schemeClr w14:val="tx1"/>
                  </w14:solidFill>
                </w14:textFill>
              </w:rPr>
            </w:pPr>
            <w:r>
              <w:rPr>
                <w:rFonts w:ascii="Times New Roman" w:hAnsi="Times New Roman" w:eastAsia="宋体" w:cs="Times New Roman"/>
                <w:color w:val="000000" w:themeColor="text1"/>
                <w:spacing w:val="-6"/>
                <w:sz w:val="24"/>
                <w:lang w:bidi="ar"/>
                <w14:textFill>
                  <w14:solidFill>
                    <w14:schemeClr w14:val="tx1"/>
                  </w14:solidFill>
                </w14:textFill>
              </w:rPr>
              <w:t>用地面积（m</w:t>
            </w:r>
            <w:r>
              <w:rPr>
                <w:rFonts w:ascii="Times New Roman" w:hAnsi="Times New Roman" w:eastAsia="宋体" w:cs="Times New Roman"/>
                <w:color w:val="000000" w:themeColor="text1"/>
                <w:spacing w:val="-6"/>
                <w:sz w:val="24"/>
                <w:vertAlign w:val="superscript"/>
                <w:lang w:bidi="ar"/>
                <w14:textFill>
                  <w14:solidFill>
                    <w14:schemeClr w14:val="tx1"/>
                  </w14:solidFill>
                </w14:textFill>
              </w:rPr>
              <w:t>2</w:t>
            </w:r>
            <w:r>
              <w:rPr>
                <w:rFonts w:ascii="Times New Roman" w:hAnsi="Times New Roman" w:eastAsia="宋体" w:cs="Times New Roman"/>
                <w:color w:val="000000" w:themeColor="text1"/>
                <w:spacing w:val="-6"/>
                <w:sz w:val="24"/>
                <w:lang w:bidi="ar"/>
                <w14:textFill>
                  <w14:solidFill>
                    <w14:schemeClr w14:val="tx1"/>
                  </w14:solidFill>
                </w14:textFill>
              </w:rPr>
              <w:t>）</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470D845A">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1896.8</w:t>
            </w:r>
          </w:p>
        </w:tc>
      </w:tr>
      <w:tr w14:paraId="61A38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38613BC0">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专项评价设置情况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32D801D4">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无</w:t>
            </w:r>
          </w:p>
        </w:tc>
      </w:tr>
      <w:tr w14:paraId="532DE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0FDF841">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584691A3">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433E1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50027677">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规划环境影响</w:t>
            </w:r>
          </w:p>
          <w:p w14:paraId="2A50F858">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评价情况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68D7E755">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04788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D1E09C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规划及规划环境影响评价符合性分析</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0224187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64E20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995" w:type="dxa"/>
            <w:tcBorders>
              <w:top w:val="single" w:color="auto" w:sz="4" w:space="0"/>
              <w:left w:val="single" w:color="auto" w:sz="8" w:space="0"/>
              <w:bottom w:val="single" w:color="auto" w:sz="8" w:space="0"/>
              <w:right w:val="single" w:color="auto" w:sz="4" w:space="0"/>
            </w:tcBorders>
            <w:shd w:val="clear" w:color="auto" w:fill="auto"/>
            <w:tcMar>
              <w:left w:w="108" w:type="dxa"/>
              <w:right w:w="108" w:type="dxa"/>
            </w:tcMar>
            <w:vAlign w:val="center"/>
          </w:tcPr>
          <w:p w14:paraId="419B9E1F">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其他符合性分析</w:t>
            </w:r>
          </w:p>
        </w:tc>
        <w:tc>
          <w:tcPr>
            <w:tcW w:w="7491" w:type="dxa"/>
            <w:gridSpan w:val="3"/>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14:paraId="611157B8">
            <w:pPr>
              <w:pStyle w:val="27"/>
              <w:spacing w:beforeAutospacing="0" w:afterAutospacing="0" w:line="360" w:lineRule="auto"/>
              <w:ind w:left="105" w:leftChars="50" w:right="105" w:rightChars="50" w:firstLine="482" w:firstLineChars="200"/>
              <w:rPr>
                <w:rFonts w:hint="default" w:ascii="Times New Roman" w:hAnsi="Times New Roman"/>
                <w:b/>
                <w:color w:val="000000" w:themeColor="text1"/>
                <w14:textFill>
                  <w14:solidFill>
                    <w14:schemeClr w14:val="tx1"/>
                  </w14:solidFill>
                </w14:textFill>
              </w:rPr>
            </w:pPr>
            <w:r>
              <w:rPr>
                <w:rFonts w:hint="default" w:ascii="Times New Roman" w:hAnsi="Times New Roman"/>
                <w:b/>
                <w:color w:val="000000" w:themeColor="text1"/>
                <w14:textFill>
                  <w14:solidFill>
                    <w14:schemeClr w14:val="tx1"/>
                  </w14:solidFill>
                </w14:textFill>
              </w:rPr>
              <w:t>1</w:t>
            </w:r>
            <w:r>
              <w:rPr>
                <w:rFonts w:ascii="Times New Roman" w:hAnsi="Times New Roman"/>
                <w:b/>
                <w:color w:val="000000" w:themeColor="text1"/>
                <w14:textFill>
                  <w14:solidFill>
                    <w14:schemeClr w14:val="tx1"/>
                  </w14:solidFill>
                </w14:textFill>
              </w:rPr>
              <w:t>、土地和规划符合性分析</w:t>
            </w:r>
          </w:p>
          <w:p w14:paraId="48C05F4C">
            <w:pPr>
              <w:pStyle w:val="51"/>
              <w:tabs>
                <w:tab w:val="left" w:pos="5600"/>
              </w:tabs>
              <w:adjustRightInd/>
              <w:ind w:firstLine="480"/>
              <w:rPr>
                <w:rFonts w:hint="eastAsia" w:ascii="Times New Roman" w:hAnsi="Times New Roman" w:eastAsia="宋体" w:cs="Times New Roman"/>
                <w:color w:val="auto"/>
                <w:szCs w:val="24"/>
                <w:highlight w:val="yellow"/>
                <w:lang w:val="en-US" w:eastAsia="zh-CN"/>
              </w:rPr>
            </w:pPr>
            <w:r>
              <w:rPr>
                <w:rFonts w:hint="eastAsia" w:ascii="Times New Roman" w:hAnsi="Times New Roman" w:cs="Times New Roman"/>
                <w:color w:val="000000" w:themeColor="text1"/>
                <w:lang w:eastAsia="zh-CN"/>
                <w14:textFill>
                  <w14:solidFill>
                    <w14:schemeClr w14:val="tx1"/>
                  </w14:solidFill>
                </w14:textFill>
              </w:rPr>
              <w:t>永清县洁贝欧塑料制品有限公司</w:t>
            </w:r>
            <w:r>
              <w:rPr>
                <w:rFonts w:ascii="Times New Roman" w:hAnsi="Times New Roman" w:cs="Times New Roman"/>
                <w:color w:val="000000" w:themeColor="text1"/>
                <w14:textFill>
                  <w14:solidFill>
                    <w14:schemeClr w14:val="tx1"/>
                  </w14:solidFill>
                </w14:textFill>
              </w:rPr>
              <w:t>选址位于</w:t>
            </w:r>
            <w:r>
              <w:rPr>
                <w:rFonts w:hint="eastAsia" w:ascii="Times New Roman" w:hAnsi="Times New Roman" w:cs="Times New Roman"/>
                <w:color w:val="000000" w:themeColor="text1"/>
                <w14:textFill>
                  <w14:solidFill>
                    <w14:schemeClr w14:val="tx1"/>
                  </w14:solidFill>
                </w14:textFill>
              </w:rPr>
              <w:t>河北省</w:t>
            </w:r>
            <w:r>
              <w:rPr>
                <w:rFonts w:hint="eastAsia" w:ascii="Times New Roman" w:hAnsi="Times New Roman" w:cs="Times New Roman"/>
                <w:color w:val="000000" w:themeColor="text1"/>
                <w:lang w:eastAsia="zh-CN"/>
                <w14:textFill>
                  <w14:solidFill>
                    <w14:schemeClr w14:val="tx1"/>
                  </w14:solidFill>
                </w14:textFill>
              </w:rPr>
              <w:t>廊坊市永清县别古庄镇北堼上村28号</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highlight w:val="none"/>
                <w14:textFill>
                  <w14:solidFill>
                    <w14:schemeClr w14:val="tx1"/>
                  </w14:solidFill>
                </w14:textFill>
              </w:rPr>
              <w:t>地理位置中心坐标为东经</w:t>
            </w:r>
            <w:r>
              <w:rPr>
                <w:rFonts w:hint="eastAsia" w:ascii="Times New Roman" w:hAnsi="Times New Roman" w:cs="Times New Roman"/>
                <w:color w:val="000000" w:themeColor="text1"/>
                <w:highlight w:val="none"/>
                <w:lang w:eastAsia="zh-CN"/>
                <w14:textFill>
                  <w14:solidFill>
                    <w14:schemeClr w14:val="tx1"/>
                  </w14:solidFill>
                </w14:textFill>
              </w:rPr>
              <w:t>116°39′37.679″</w:t>
            </w:r>
            <w:r>
              <w:rPr>
                <w:rFonts w:hint="eastAsia" w:ascii="Times New Roman" w:hAnsi="Times New Roman" w:cs="Times New Roman"/>
                <w:color w:val="000000" w:themeColor="text1"/>
                <w:highlight w:val="none"/>
                <w14:textFill>
                  <w14:solidFill>
                    <w14:schemeClr w14:val="tx1"/>
                  </w14:solidFill>
                </w14:textFill>
              </w:rPr>
              <w:t>，北纬</w:t>
            </w:r>
            <w:r>
              <w:rPr>
                <w:rFonts w:hint="eastAsia" w:ascii="Times New Roman" w:hAnsi="Times New Roman" w:cs="Times New Roman"/>
                <w:color w:val="000000" w:themeColor="text1"/>
                <w:highlight w:val="none"/>
                <w:lang w:eastAsia="zh-CN"/>
                <w14:textFill>
                  <w14:solidFill>
                    <w14:schemeClr w14:val="tx1"/>
                  </w14:solidFill>
                </w14:textFill>
              </w:rPr>
              <w:t xml:space="preserve"> 39°21′5.701″</w:t>
            </w:r>
            <w:r>
              <w:rPr>
                <w:rFonts w:hint="eastAsia" w:ascii="Times New Roman" w:hAnsi="Times New Roman" w:cs="Times New Roman"/>
                <w:color w:val="000000" w:themeColor="text1"/>
                <w:highlight w:val="none"/>
                <w14:textFill>
                  <w14:solidFill>
                    <w14:schemeClr w14:val="tx1"/>
                  </w14:solidFill>
                </w14:textFill>
              </w:rPr>
              <w:t>，</w:t>
            </w:r>
            <w:r>
              <w:rPr>
                <w:rFonts w:hint="eastAsia" w:ascii="Times New Roman" w:hAnsi="Times New Roman" w:cs="Times New Roman"/>
                <w:color w:val="000000" w:themeColor="text1"/>
                <w:highlight w:val="none"/>
                <w:lang w:eastAsia="zh-CN"/>
                <w14:textFill>
                  <w14:solidFill>
                    <w14:schemeClr w14:val="tx1"/>
                  </w14:solidFill>
                </w14:textFill>
              </w:rPr>
              <w:t>项目</w:t>
            </w:r>
            <w:r>
              <w:rPr>
                <w:rFonts w:hint="eastAsia" w:ascii="Times New Roman" w:hAnsi="Times New Roman" w:cs="Times New Roman"/>
                <w:color w:val="000000" w:themeColor="text1"/>
                <w:highlight w:val="none"/>
                <w:lang w:val="en-US" w:eastAsia="zh-CN"/>
                <w14:textFill>
                  <w14:solidFill>
                    <w14:schemeClr w14:val="tx1"/>
                  </w14:solidFill>
                </w14:textFill>
              </w:rPr>
              <w:t>东至其他厂房，南至空地，西至其他厂房，北至空地</w:t>
            </w:r>
            <w:r>
              <w:rPr>
                <w:rFonts w:hint="eastAsia" w:ascii="Times New Roman" w:hAnsi="Times New Roman" w:cs="Times New Roman"/>
                <w:color w:val="000000" w:themeColor="text1"/>
                <w:highlight w:val="none"/>
                <w:lang w:eastAsia="zh-CN"/>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距离本项目最近的环</w:t>
            </w:r>
            <w:r>
              <w:rPr>
                <w:rFonts w:hint="eastAsia" w:ascii="Times New Roman" w:hAnsi="Times New Roman" w:cs="Times New Roman"/>
                <w:color w:val="auto"/>
                <w:lang w:eastAsia="zh-CN"/>
              </w:rPr>
              <w:t>境</w:t>
            </w:r>
            <w:r>
              <w:rPr>
                <w:rFonts w:hint="eastAsia" w:ascii="Times New Roman" w:hAnsi="Times New Roman" w:cs="Times New Roman"/>
                <w:color w:val="auto"/>
                <w:lang w:eastAsia="zh-CN"/>
              </w:rPr>
              <w:t>保护目标为西侧</w:t>
            </w:r>
            <w:r>
              <w:rPr>
                <w:rFonts w:hint="eastAsia" w:ascii="Times New Roman" w:hAnsi="Times New Roman" w:cs="Times New Roman"/>
                <w:color w:val="auto"/>
                <w:lang w:val="en-US" w:eastAsia="zh-CN"/>
              </w:rPr>
              <w:t>125米处的</w:t>
            </w:r>
            <w:r>
              <w:rPr>
                <w:rFonts w:hint="eastAsia" w:ascii="Times New Roman" w:hAnsi="Times New Roman" w:cs="Times New Roman"/>
                <w:color w:val="auto"/>
                <w:lang w:eastAsia="zh-CN"/>
              </w:rPr>
              <w:t>北堼上村</w:t>
            </w:r>
            <w:r>
              <w:rPr>
                <w:rFonts w:hint="eastAsia" w:ascii="Times New Roman" w:hAnsi="Times New Roman" w:cs="Times New Roman"/>
                <w:color w:val="auto"/>
                <w:lang w:val="en-US" w:eastAsia="zh-CN"/>
              </w:rPr>
              <w:t>。</w:t>
            </w:r>
            <w:r>
              <w:rPr>
                <w:rFonts w:hint="eastAsia" w:ascii="Times New Roman" w:hAnsi="Times New Roman" w:eastAsia="宋体" w:cs="Times New Roman"/>
                <w:color w:val="auto"/>
                <w:szCs w:val="24"/>
                <w:highlight w:val="none"/>
                <w:lang w:val="en-US" w:eastAsia="zh-CN"/>
              </w:rPr>
              <w:t>本项目租赁李全文所有土地进行建设（租赁合同见附件）</w:t>
            </w:r>
            <w:r>
              <w:rPr>
                <w:rFonts w:hint="eastAsia" w:ascii="Times New Roman" w:hAnsi="Times New Roman" w:eastAsia="宋体" w:cs="Times New Roman"/>
                <w:color w:val="auto"/>
                <w:szCs w:val="24"/>
                <w:highlight w:val="none"/>
                <w:lang w:val="en-US" w:eastAsia="zh-CN"/>
              </w:rPr>
              <w:t>，根据项目所在地土地证，本项目用地为工业用地。根据永清县别古庄镇人民政府出具的项目初审意见，本项目符合永清县别古庄镇总体规划及产业定位。</w:t>
            </w:r>
          </w:p>
          <w:p w14:paraId="6C90EFF0">
            <w:pPr>
              <w:pStyle w:val="51"/>
              <w:tabs>
                <w:tab w:val="left" w:pos="5600"/>
              </w:tabs>
              <w:adjustRightInd/>
              <w:ind w:firstLine="480"/>
              <w:rPr>
                <w:rFonts w:hint="eastAsia" w:ascii="Times New Roman" w:hAnsi="Times New Roman" w:eastAsiaTheme="minorEastAsia"/>
                <w:color w:val="auto"/>
                <w:sz w:val="24"/>
                <w:highlight w:val="none"/>
                <w:lang w:val="en-US" w:eastAsia="zh-CN"/>
              </w:rPr>
            </w:pPr>
            <w:r>
              <w:rPr>
                <w:rFonts w:hint="eastAsia" w:ascii="Times New Roman" w:hAnsi="Times New Roman" w:cs="Times New Roman"/>
                <w:color w:val="auto"/>
                <w:lang w:eastAsia="zh-CN"/>
              </w:rPr>
              <w:t>根据《河北省人民政府关于廊坊市 62个集中式饮用水水源保护区划分的批复》（冀政字[2020]44号），距离本项目最近的集中式饮用水水源为项目西南侧</w:t>
            </w:r>
            <w:r>
              <w:rPr>
                <w:rFonts w:hint="eastAsia" w:ascii="Times New Roman" w:hAnsi="Times New Roman" w:cs="Times New Roman"/>
                <w:color w:val="auto"/>
                <w:lang w:val="en-US" w:eastAsia="zh-CN"/>
              </w:rPr>
              <w:t>3.63km处的别古庄镇水源地，别古庄镇水源地保护级别为</w:t>
            </w:r>
            <w:r>
              <w:rPr>
                <w:rFonts w:ascii="Times New Roman" w:hAnsi="Times New Roman"/>
                <w:color w:val="auto"/>
                <w:sz w:val="24"/>
                <w:highlight w:val="none"/>
              </w:rPr>
              <w:t>一级保护区</w:t>
            </w:r>
            <w:r>
              <w:rPr>
                <w:rFonts w:hint="eastAsia" w:ascii="Times New Roman" w:hAnsi="Times New Roman"/>
                <w:color w:val="auto"/>
                <w:sz w:val="24"/>
                <w:highlight w:val="none"/>
                <w:lang w:eastAsia="zh-CN"/>
              </w:rPr>
              <w:t>，其中</w:t>
            </w:r>
            <w:r>
              <w:rPr>
                <w:rFonts w:hint="eastAsia" w:ascii="Times New Roman" w:hAnsi="Times New Roman"/>
                <w:color w:val="auto"/>
                <w:sz w:val="24"/>
                <w:highlight w:val="none"/>
                <w:lang w:val="en-US" w:eastAsia="zh-CN"/>
              </w:rPr>
              <w:t>1#、3#水井的保护区范围为：分别以1#、3#水源井为圆心，30m半径圆的外切线为边界线围成的多边形区域；2#水井的保护区范围为：以2#水源井为圆心，30m半径圆的外切线围成的多边形区域。</w:t>
            </w:r>
            <w:r>
              <w:rPr>
                <w:rFonts w:ascii="Times New Roman" w:hAnsi="Times New Roman"/>
                <w:color w:val="auto"/>
                <w:sz w:val="24"/>
                <w:highlight w:val="none"/>
              </w:rPr>
              <w:t>因此</w:t>
            </w:r>
            <w:r>
              <w:rPr>
                <w:rFonts w:hint="eastAsia" w:ascii="Times New Roman" w:hAnsi="Times New Roman"/>
                <w:color w:val="auto"/>
                <w:sz w:val="24"/>
                <w:highlight w:val="none"/>
                <w:lang w:val="en-US" w:eastAsia="zh-CN"/>
              </w:rPr>
              <w:t>本</w:t>
            </w:r>
            <w:r>
              <w:rPr>
                <w:rFonts w:ascii="Times New Roman" w:hAnsi="Times New Roman"/>
                <w:color w:val="auto"/>
                <w:sz w:val="24"/>
                <w:highlight w:val="none"/>
              </w:rPr>
              <w:t>项目</w:t>
            </w:r>
            <w:r>
              <w:rPr>
                <w:rFonts w:hint="eastAsia" w:ascii="Times New Roman" w:hAnsi="Times New Roman"/>
                <w:color w:val="auto"/>
                <w:sz w:val="24"/>
                <w:highlight w:val="none"/>
                <w:lang w:val="en-US" w:eastAsia="zh-CN"/>
              </w:rPr>
              <w:t>不</w:t>
            </w:r>
            <w:r>
              <w:rPr>
                <w:rFonts w:ascii="Times New Roman" w:hAnsi="Times New Roman"/>
                <w:color w:val="auto"/>
                <w:sz w:val="24"/>
                <w:highlight w:val="none"/>
              </w:rPr>
              <w:t>在水源保护地范围内，选址符合要求</w:t>
            </w:r>
            <w:r>
              <w:rPr>
                <w:rFonts w:hint="eastAsia" w:ascii="Times New Roman" w:hAnsi="Times New Roman"/>
                <w:color w:val="auto"/>
                <w:sz w:val="24"/>
                <w:highlight w:val="none"/>
                <w:lang w:eastAsia="zh-CN"/>
              </w:rPr>
              <w:t>。</w:t>
            </w:r>
          </w:p>
          <w:p w14:paraId="326ACAB9">
            <w:pPr>
              <w:pStyle w:val="51"/>
              <w:tabs>
                <w:tab w:val="left" w:pos="5600"/>
              </w:tabs>
              <w:adjustRightInd/>
              <w:ind w:firstLine="480"/>
              <w:rPr>
                <w:rFonts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auto"/>
              </w:rPr>
              <w:t>经调查，厂址周围无自然保护区、风景名胜区和其它特别需要保护的敏感目标</w:t>
            </w:r>
            <w:r>
              <w:rPr>
                <w:rFonts w:hint="eastAsia" w:ascii="Times New Roman" w:hAnsi="Times New Roman" w:cs="Times New Roman"/>
                <w:color w:val="auto"/>
                <w:lang w:eastAsia="zh-CN"/>
              </w:rPr>
              <w:t>。</w:t>
            </w:r>
            <w:r>
              <w:rPr>
                <w:rFonts w:hint="default" w:ascii="Times New Roman" w:hAnsi="Times New Roman" w:cs="Times New Roman"/>
                <w:color w:val="auto"/>
              </w:rPr>
              <w:t>运营期各污染工序采取相应</w:t>
            </w:r>
            <w:r>
              <w:rPr>
                <w:rFonts w:hint="default" w:ascii="Times New Roman" w:hAnsi="Times New Roman" w:cs="Times New Roman"/>
                <w:color w:val="000000" w:themeColor="text1"/>
                <w14:textFill>
                  <w14:solidFill>
                    <w14:schemeClr w14:val="tx1"/>
                  </w14:solidFill>
                </w14:textFill>
              </w:rPr>
              <w:t>的污染控制措施后，均可实现达标排放，不会对区域环境产生明显影响，因此，本项目选址合理</w:t>
            </w:r>
            <w:r>
              <w:rPr>
                <w:rFonts w:ascii="Times New Roman" w:hAnsi="Times New Roman" w:cs="Times New Roman"/>
                <w:color w:val="000000" w:themeColor="text1"/>
                <w14:textFill>
                  <w14:solidFill>
                    <w14:schemeClr w14:val="tx1"/>
                  </w14:solidFill>
                </w14:textFill>
              </w:rPr>
              <w:t>。</w:t>
            </w:r>
          </w:p>
          <w:p w14:paraId="3367ED3E">
            <w:pPr>
              <w:pStyle w:val="27"/>
              <w:spacing w:beforeAutospacing="0" w:afterAutospacing="0" w:line="360" w:lineRule="auto"/>
              <w:ind w:left="105" w:leftChars="50" w:right="105" w:rightChars="50" w:firstLine="482" w:firstLineChars="200"/>
              <w:rPr>
                <w:rFonts w:hint="default" w:ascii="Times New Roman" w:hAnsi="Times New Roman"/>
                <w:b/>
                <w:color w:val="auto"/>
                <w:highlight w:val="none"/>
              </w:rPr>
            </w:pPr>
            <w:r>
              <w:rPr>
                <w:rFonts w:ascii="Times New Roman" w:hAnsi="Times New Roman"/>
                <w:b/>
                <w:color w:val="auto"/>
                <w:highlight w:val="none"/>
              </w:rPr>
              <w:t>2、与</w:t>
            </w:r>
            <w:r>
              <w:rPr>
                <w:rFonts w:hint="default" w:ascii="Times New Roman" w:hAnsi="Times New Roman"/>
                <w:b/>
                <w:color w:val="auto"/>
                <w:highlight w:val="none"/>
              </w:rPr>
              <w:t>产业政策</w:t>
            </w:r>
            <w:r>
              <w:rPr>
                <w:rFonts w:ascii="Times New Roman" w:hAnsi="Times New Roman"/>
                <w:b/>
                <w:color w:val="auto"/>
                <w:highlight w:val="none"/>
              </w:rPr>
              <w:t>符合性</w:t>
            </w:r>
            <w:r>
              <w:rPr>
                <w:rFonts w:hint="default" w:ascii="Times New Roman" w:hAnsi="Times New Roman"/>
                <w:b/>
                <w:color w:val="auto"/>
                <w:highlight w:val="none"/>
              </w:rPr>
              <w:t>分析</w:t>
            </w:r>
          </w:p>
          <w:p w14:paraId="48781F66">
            <w:pPr>
              <w:pStyle w:val="80"/>
              <w:ind w:left="105" w:leftChars="50" w:right="105" w:rightChars="50"/>
              <w:rPr>
                <w:rFonts w:hint="eastAsia" w:ascii="Times New Roman" w:hAnsi="Times New Roman" w:cs="Times New Roman"/>
                <w:color w:val="auto"/>
                <w:lang w:eastAsia="zh-CN"/>
              </w:rPr>
            </w:pPr>
            <w:r>
              <w:rPr>
                <w:rFonts w:ascii="Times New Roman" w:hAnsi="Times New Roman" w:eastAsia="宋体" w:cs="Times New Roman"/>
                <w:color w:val="auto"/>
              </w:rPr>
              <w:t>①</w:t>
            </w:r>
            <w:r>
              <w:rPr>
                <w:rFonts w:hint="default" w:ascii="Times New Roman" w:hAnsi="Times New Roman" w:cs="Times New Roman"/>
                <w:color w:val="auto"/>
              </w:rPr>
              <w:t>根据国家发展和改革委员会发布的《产业结构调整指导目录</w:t>
            </w:r>
            <w:r>
              <w:rPr>
                <w:rFonts w:hint="eastAsia" w:ascii="Times New Roman" w:hAnsi="Times New Roman" w:cs="Times New Roman"/>
                <w:color w:val="auto"/>
                <w:lang w:eastAsia="zh-CN"/>
              </w:rPr>
              <w:t>（</w:t>
            </w:r>
            <w:r>
              <w:rPr>
                <w:rFonts w:hint="default" w:ascii="Times New Roman" w:hAnsi="Times New Roman" w:cs="Times New Roman"/>
                <w:color w:val="auto"/>
              </w:rPr>
              <w:t>20</w:t>
            </w:r>
            <w:r>
              <w:rPr>
                <w:rFonts w:hint="eastAsia" w:ascii="Times New Roman" w:hAnsi="Times New Roman" w:cs="Times New Roman"/>
                <w:color w:val="auto"/>
                <w:lang w:val="en-US" w:eastAsia="zh-CN"/>
              </w:rPr>
              <w:t>24</w:t>
            </w:r>
            <w:r>
              <w:rPr>
                <w:rFonts w:hint="default" w:ascii="Times New Roman" w:hAnsi="Times New Roman" w:cs="Times New Roman"/>
                <w:color w:val="auto"/>
              </w:rPr>
              <w:t>年本</w:t>
            </w:r>
            <w:r>
              <w:rPr>
                <w:rFonts w:hint="eastAsia" w:ascii="Times New Roman" w:hAnsi="Times New Roman" w:cs="Times New Roman"/>
                <w:color w:val="auto"/>
                <w:lang w:eastAsia="zh-CN"/>
              </w:rPr>
              <w:t>）</w:t>
            </w:r>
            <w:r>
              <w:rPr>
                <w:rFonts w:hint="default" w:ascii="Times New Roman" w:hAnsi="Times New Roman" w:cs="Times New Roman"/>
                <w:color w:val="auto"/>
              </w:rPr>
              <w:t>》，本项目不属于限制类和淘汰类项目，属于允许类项目</w:t>
            </w:r>
            <w:r>
              <w:rPr>
                <w:rFonts w:hint="eastAsia" w:ascii="Times New Roman" w:hAnsi="Times New Roman" w:cs="Times New Roman"/>
                <w:color w:val="auto"/>
                <w:lang w:val="en-US" w:eastAsia="zh-CN"/>
              </w:rPr>
              <w:t>。</w:t>
            </w:r>
            <w:r>
              <w:rPr>
                <w:rFonts w:hint="default" w:ascii="Times New Roman" w:hAnsi="Times New Roman" w:cs="Times New Roman"/>
                <w:color w:val="auto"/>
              </w:rPr>
              <w:t>因此，项目的建设符合国家产业政策</w:t>
            </w:r>
            <w:r>
              <w:rPr>
                <w:rFonts w:hint="eastAsia" w:ascii="Times New Roman" w:hAnsi="Times New Roman" w:cs="Times New Roman"/>
                <w:color w:val="auto"/>
                <w:lang w:eastAsia="zh-CN"/>
              </w:rPr>
              <w:t>。</w:t>
            </w:r>
          </w:p>
          <w:p w14:paraId="78E1B9A7">
            <w:pPr>
              <w:pStyle w:val="80"/>
              <w:ind w:left="105" w:leftChars="50" w:right="105" w:rightChars="50"/>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eastAsia="宋体" w:cs="Times New Roman"/>
                <w:color w:val="000000" w:themeColor="text1"/>
                <w:lang w:eastAsia="zh-CN"/>
                <w14:textFill>
                  <w14:solidFill>
                    <w14:schemeClr w14:val="tx1"/>
                  </w14:solidFill>
                </w14:textFill>
              </w:rPr>
              <w:t>根据</w:t>
            </w:r>
            <w:r>
              <w:rPr>
                <w:rFonts w:hint="eastAsia" w:ascii="Times New Roman" w:hAnsi="Times New Roman" w:cs="Times New Roman"/>
                <w:color w:val="000000" w:themeColor="text1"/>
                <w:lang w:val="en-US" w:eastAsia="zh-CN"/>
                <w14:textFill>
                  <w14:solidFill>
                    <w14:schemeClr w14:val="tx1"/>
                  </w14:solidFill>
                </w14:textFill>
              </w:rPr>
              <w:t>河北省人民政府关于印发《廊坊市广阳区、永清县、固安县和涿州市新增产业的禁止和限制目录》的通知（冀政字〔2024〕43号），</w:t>
            </w:r>
            <w:r>
              <w:rPr>
                <w:rFonts w:hint="eastAsia" w:ascii="Times New Roman" w:hAnsi="Times New Roman" w:eastAsia="宋体" w:cs="Times New Roman"/>
                <w:color w:val="000000" w:themeColor="text1"/>
                <w:lang w:eastAsia="zh-CN"/>
                <w14:textFill>
                  <w14:solidFill>
                    <w14:schemeClr w14:val="tx1"/>
                  </w14:solidFill>
                </w14:textFill>
              </w:rPr>
              <w:t>“禁止新建和扩建[(2922)塑料板、管型材制造除外；(2926)旁塑料包装箱及容器制造除外；(2927)日用塑料制品制造除外；(2929)塑料零件及其他塑料制品制造除外；涉及国家和省市鼓励发展的新材料产品制造除外；为航空航天、军工、国家重大专项和工程等、本地特色产业配套制造除外；生物可降解塑料及其系列产品开发、生产与应用除外；布基粘性胶带生产除外]，本项目属于日用塑料制品制造</w:t>
            </w:r>
            <w:r>
              <w:rPr>
                <w:rFonts w:hint="eastAsia" w:ascii="Times New Roman" w:hAnsi="Times New Roman" w:eastAsia="宋体" w:cs="Times New Roman"/>
                <w:color w:val="000000" w:themeColor="text1"/>
                <w:lang w:val="en-US" w:eastAsia="zh-CN"/>
                <w14:textFill>
                  <w14:solidFill>
                    <w14:schemeClr w14:val="tx1"/>
                  </w14:solidFill>
                </w14:textFill>
              </w:rPr>
              <w:t>，且符合相关环保要求，</w:t>
            </w:r>
            <w:r>
              <w:rPr>
                <w:rFonts w:hint="eastAsia" w:ascii="Times New Roman" w:hAnsi="Times New Roman" w:eastAsia="宋体" w:cs="Times New Roman"/>
                <w:color w:val="000000" w:themeColor="text1"/>
                <w:lang w:eastAsia="zh-CN"/>
                <w14:textFill>
                  <w14:solidFill>
                    <w14:schemeClr w14:val="tx1"/>
                  </w14:solidFill>
                </w14:textFill>
              </w:rPr>
              <w:t>故本项目不属于</w:t>
            </w:r>
            <w:r>
              <w:rPr>
                <w:rFonts w:hint="eastAsia" w:ascii="Times New Roman" w:hAnsi="Times New Roman" w:cs="Times New Roman"/>
                <w:color w:val="000000" w:themeColor="text1"/>
                <w:szCs w:val="21"/>
                <w:highlight w:val="none"/>
                <w14:textFill>
                  <w14:solidFill>
                    <w14:schemeClr w14:val="tx1"/>
                  </w14:solidFill>
                </w14:textFill>
              </w:rPr>
              <w:t>禁止</w:t>
            </w:r>
            <w:r>
              <w:rPr>
                <w:rFonts w:hint="eastAsia" w:ascii="Times New Roman" w:hAnsi="Times New Roman" w:cs="Times New Roman"/>
                <w:color w:val="000000" w:themeColor="text1"/>
                <w:szCs w:val="21"/>
                <w:highlight w:val="none"/>
                <w:lang w:eastAsia="zh-CN"/>
                <w14:textFill>
                  <w14:solidFill>
                    <w14:schemeClr w14:val="tx1"/>
                  </w14:solidFill>
                </w14:textFill>
              </w:rPr>
              <w:t>和限制类</w:t>
            </w:r>
            <w:r>
              <w:rPr>
                <w:rFonts w:hint="eastAsia" w:ascii="Times New Roman" w:hAnsi="Times New Roman" w:cs="Times New Roman"/>
                <w:color w:val="000000" w:themeColor="text1"/>
                <w:szCs w:val="21"/>
                <w:highlight w:val="none"/>
                <w14:textFill>
                  <w14:solidFill>
                    <w14:schemeClr w14:val="tx1"/>
                  </w14:solidFill>
                </w14:textFill>
              </w:rPr>
              <w:t>项目</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eastAsia="zh-CN"/>
                <w14:textFill>
                  <w14:solidFill>
                    <w14:schemeClr w14:val="tx1"/>
                  </w14:solidFill>
                </w14:textFill>
              </w:rPr>
              <w:t>因此，</w:t>
            </w:r>
            <w:r>
              <w:rPr>
                <w:rFonts w:ascii="Times New Roman" w:hAnsi="Times New Roman" w:eastAsia="宋体" w:cs="Times New Roman"/>
                <w:color w:val="000000" w:themeColor="text1"/>
                <w14:textFill>
                  <w14:solidFill>
                    <w14:schemeClr w14:val="tx1"/>
                  </w14:solidFill>
                </w14:textFill>
              </w:rPr>
              <w:t>项目</w:t>
            </w:r>
            <w:r>
              <w:rPr>
                <w:rFonts w:hint="default" w:ascii="Times New Roman" w:hAnsi="Times New Roman" w:cs="Times New Roman"/>
                <w:color w:val="000000" w:themeColor="text1"/>
                <w14:textFill>
                  <w14:solidFill>
                    <w14:schemeClr w14:val="tx1"/>
                  </w14:solidFill>
                </w14:textFill>
              </w:rPr>
              <w:t>的建设符合</w:t>
            </w:r>
            <w:r>
              <w:rPr>
                <w:rFonts w:ascii="Times New Roman" w:hAnsi="Times New Roman" w:eastAsia="宋体" w:cs="Times New Roman"/>
                <w:color w:val="000000" w:themeColor="text1"/>
                <w14:textFill>
                  <w14:solidFill>
                    <w14:schemeClr w14:val="tx1"/>
                  </w14:solidFill>
                </w14:textFill>
              </w:rPr>
              <w:t>符合河北省</w:t>
            </w:r>
            <w:r>
              <w:rPr>
                <w:rFonts w:hint="eastAsia" w:ascii="Times New Roman" w:hAnsi="Times New Roman" w:eastAsia="宋体" w:cs="Times New Roman"/>
                <w:color w:val="000000" w:themeColor="text1"/>
                <w:lang w:eastAsia="zh-CN"/>
                <w14:textFill>
                  <w14:solidFill>
                    <w14:schemeClr w14:val="tx1"/>
                  </w14:solidFill>
                </w14:textFill>
              </w:rPr>
              <w:t>及廊坊市</w:t>
            </w:r>
            <w:r>
              <w:rPr>
                <w:rFonts w:ascii="Times New Roman" w:hAnsi="Times New Roman" w:eastAsia="宋体" w:cs="Times New Roman"/>
                <w:color w:val="000000" w:themeColor="text1"/>
                <w14:textFill>
                  <w14:solidFill>
                    <w14:schemeClr w14:val="tx1"/>
                  </w14:solidFill>
                </w14:textFill>
              </w:rPr>
              <w:t>相关政策要求。</w:t>
            </w:r>
          </w:p>
          <w:p w14:paraId="6C6EDB09">
            <w:pPr>
              <w:pStyle w:val="80"/>
              <w:ind w:left="105" w:leftChars="50" w:right="105" w:rightChars="5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auto"/>
              </w:rPr>
              <w:t>②</w:t>
            </w:r>
            <w:r>
              <w:rPr>
                <w:rFonts w:ascii="Times New Roman" w:hAnsi="Times New Roman" w:eastAsia="宋体" w:cs="Times New Roman"/>
                <w:color w:val="000000" w:themeColor="text1"/>
                <w14:textFill>
                  <w14:solidFill>
                    <w14:schemeClr w14:val="tx1"/>
                  </w14:solidFill>
                </w14:textFill>
              </w:rPr>
              <w:t>根据国家发展改革委、商务部发布的《市场准入负面清单（202</w:t>
            </w:r>
            <w:r>
              <w:rPr>
                <w:rFonts w:hint="eastAsia" w:ascii="Times New Roman" w:hAnsi="Times New Roman" w:eastAsia="宋体" w:cs="Times New Roman"/>
                <w:color w:val="000000" w:themeColor="text1"/>
                <w:lang w:val="en-US" w:eastAsia="zh-CN"/>
                <w14:textFill>
                  <w14:solidFill>
                    <w14:schemeClr w14:val="tx1"/>
                  </w14:solidFill>
                </w14:textFill>
              </w:rPr>
              <w:t>5</w:t>
            </w:r>
            <w:r>
              <w:rPr>
                <w:rFonts w:ascii="Times New Roman" w:hAnsi="Times New Roman" w:eastAsia="宋体" w:cs="Times New Roman"/>
                <w:color w:val="000000" w:themeColor="text1"/>
                <w14:textFill>
                  <w14:solidFill>
                    <w14:schemeClr w14:val="tx1"/>
                  </w14:solidFill>
                </w14:textFill>
              </w:rPr>
              <w:t>年版）》的通知（发改体改规[202</w:t>
            </w:r>
            <w:r>
              <w:rPr>
                <w:rFonts w:hint="eastAsia" w:ascii="Times New Roman" w:hAnsi="Times New Roman" w:eastAsia="宋体" w:cs="Times New Roman"/>
                <w:color w:val="000000" w:themeColor="text1"/>
                <w:lang w:val="en-US" w:eastAsia="zh-CN"/>
                <w14:textFill>
                  <w14:solidFill>
                    <w14:schemeClr w14:val="tx1"/>
                  </w14:solidFill>
                </w14:textFill>
              </w:rPr>
              <w:t>5</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466</w:t>
            </w:r>
            <w:r>
              <w:rPr>
                <w:rFonts w:ascii="Times New Roman" w:hAnsi="Times New Roman" w:eastAsia="宋体" w:cs="Times New Roman"/>
                <w:color w:val="000000" w:themeColor="text1"/>
                <w14:textFill>
                  <w14:solidFill>
                    <w14:schemeClr w14:val="tx1"/>
                  </w14:solidFill>
                </w14:textFill>
              </w:rPr>
              <w:t>号）</w:t>
            </w:r>
            <w:r>
              <w:rPr>
                <w:rFonts w:ascii="Times New Roman" w:hAnsi="Times New Roman" w:cs="Times New Roman"/>
                <w:color w:val="auto"/>
              </w:rPr>
              <w:t>，</w:t>
            </w:r>
            <w:r>
              <w:rPr>
                <w:rFonts w:ascii="Times New Roman" w:hAnsi="Times New Roman" w:cs="Times New Roman"/>
                <w:color w:val="000000" w:themeColor="text1"/>
                <w14:textFill>
                  <w14:solidFill>
                    <w14:schemeClr w14:val="tx1"/>
                  </w14:solidFill>
                </w14:textFill>
              </w:rPr>
              <w:t>项目不属于市场准入负面清单中的禁止准入类项目，属于许可准入类。</w:t>
            </w:r>
          </w:p>
          <w:p w14:paraId="70539E69">
            <w:pPr>
              <w:pStyle w:val="80"/>
              <w:ind w:left="105" w:leftChars="50" w:right="105" w:rightChars="50"/>
              <w:rPr>
                <w:rFonts w:ascii="Times New Roman" w:hAnsi="Times New Roman" w:eastAsia="宋体" w:cs="Times New Roman"/>
                <w:color w:val="auto"/>
                <w:highlight w:val="none"/>
              </w:rPr>
            </w:pPr>
            <w:r>
              <w:rPr>
                <w:rFonts w:ascii="Times New Roman" w:hAnsi="Times New Roman" w:eastAsia="宋体" w:cs="Times New Roman"/>
                <w:color w:val="auto"/>
              </w:rPr>
              <w:t>③</w:t>
            </w:r>
            <w:r>
              <w:rPr>
                <w:rFonts w:ascii="Times New Roman" w:hAnsi="Times New Roman" w:eastAsia="宋体" w:cs="Times New Roman"/>
                <w:color w:val="auto"/>
                <w:highlight w:val="none"/>
              </w:rPr>
              <w:t>本项目于202</w:t>
            </w:r>
            <w:r>
              <w:rPr>
                <w:rFonts w:hint="eastAsia" w:ascii="Times New Roman" w:hAnsi="Times New Roman" w:eastAsia="宋体" w:cs="Times New Roman"/>
                <w:color w:val="auto"/>
                <w:highlight w:val="none"/>
                <w:lang w:val="en-US" w:eastAsia="zh-CN"/>
              </w:rPr>
              <w:t>5</w:t>
            </w:r>
            <w:r>
              <w:rPr>
                <w:rFonts w:ascii="Times New Roman" w:hAnsi="Times New Roman" w:eastAsia="宋体" w:cs="Times New Roman"/>
                <w:color w:val="auto"/>
                <w:highlight w:val="none"/>
              </w:rPr>
              <w:t>年</w:t>
            </w:r>
            <w:r>
              <w:rPr>
                <w:rFonts w:hint="eastAsia" w:ascii="Times New Roman" w:hAnsi="Times New Roman" w:eastAsia="宋体" w:cs="Times New Roman"/>
                <w:color w:val="auto"/>
                <w:highlight w:val="none"/>
                <w:lang w:val="en-US" w:eastAsia="zh-CN"/>
              </w:rPr>
              <w:t>9</w:t>
            </w:r>
            <w:r>
              <w:rPr>
                <w:rFonts w:ascii="Times New Roman" w:hAnsi="Times New Roman" w:eastAsia="宋体" w:cs="Times New Roman"/>
                <w:color w:val="auto"/>
                <w:highlight w:val="none"/>
              </w:rPr>
              <w:t>月</w:t>
            </w:r>
            <w:r>
              <w:rPr>
                <w:rFonts w:hint="eastAsia" w:ascii="Times New Roman" w:hAnsi="Times New Roman" w:eastAsia="宋体" w:cs="Times New Roman"/>
                <w:color w:val="auto"/>
                <w:highlight w:val="none"/>
                <w:lang w:val="en-US" w:eastAsia="zh-CN"/>
              </w:rPr>
              <w:t>29</w:t>
            </w:r>
            <w:r>
              <w:rPr>
                <w:rFonts w:ascii="Times New Roman" w:hAnsi="Times New Roman" w:eastAsia="宋体" w:cs="Times New Roman"/>
                <w:color w:val="auto"/>
                <w:highlight w:val="none"/>
              </w:rPr>
              <w:t>日在</w:t>
            </w:r>
            <w:r>
              <w:rPr>
                <w:rFonts w:hint="eastAsia" w:ascii="Times New Roman" w:hAnsi="Times New Roman" w:eastAsia="宋体" w:cs="Times New Roman"/>
                <w:color w:val="auto"/>
                <w:highlight w:val="none"/>
                <w:lang w:eastAsia="zh-CN"/>
              </w:rPr>
              <w:t>永清县发展和改革局</w:t>
            </w:r>
            <w:r>
              <w:rPr>
                <w:rFonts w:ascii="Times New Roman" w:hAnsi="Times New Roman" w:eastAsia="宋体" w:cs="Times New Roman"/>
                <w:color w:val="auto"/>
                <w:highlight w:val="none"/>
              </w:rPr>
              <w:t>取得备案文件，备</w:t>
            </w:r>
            <w:r>
              <w:rPr>
                <w:rFonts w:ascii="Times New Roman" w:hAnsi="Times New Roman" w:eastAsia="宋体" w:cs="Times New Roman"/>
                <w:color w:val="auto"/>
                <w:spacing w:val="-11"/>
                <w:highlight w:val="none"/>
              </w:rPr>
              <w:t>案编号：</w:t>
            </w:r>
            <w:r>
              <w:rPr>
                <w:rFonts w:hint="eastAsia" w:ascii="Times New Roman" w:hAnsi="Times New Roman" w:eastAsia="宋体" w:cs="Times New Roman"/>
                <w:color w:val="auto"/>
                <w:spacing w:val="-11"/>
                <w:highlight w:val="none"/>
                <w:lang w:eastAsia="zh-CN"/>
              </w:rPr>
              <w:t>永发改项目备〔2025〕253号</w:t>
            </w:r>
            <w:r>
              <w:rPr>
                <w:rFonts w:ascii="Times New Roman" w:hAnsi="Times New Roman" w:eastAsia="宋体" w:cs="Times New Roman"/>
                <w:color w:val="auto"/>
                <w:spacing w:val="-11"/>
                <w:highlight w:val="none"/>
              </w:rPr>
              <w:t>，项目代码</w:t>
            </w:r>
            <w:r>
              <w:rPr>
                <w:rFonts w:ascii="Times New Roman" w:hAnsi="Times New Roman" w:eastAsia="宋体" w:cs="Times New Roman"/>
                <w:color w:val="auto"/>
                <w:spacing w:val="-11"/>
                <w:szCs w:val="21"/>
                <w:highlight w:val="none"/>
              </w:rPr>
              <w:t>：</w:t>
            </w:r>
            <w:r>
              <w:rPr>
                <w:rFonts w:hint="eastAsia" w:ascii="Times New Roman" w:hAnsi="Times New Roman" w:eastAsia="宋体" w:cs="Times New Roman"/>
                <w:color w:val="auto"/>
                <w:spacing w:val="-11"/>
                <w:szCs w:val="21"/>
                <w:highlight w:val="none"/>
                <w:lang w:eastAsia="zh-CN"/>
              </w:rPr>
              <w:t>2509-131023-04-01-806941</w:t>
            </w:r>
            <w:r>
              <w:rPr>
                <w:rFonts w:ascii="Times New Roman" w:hAnsi="Times New Roman" w:eastAsia="宋体" w:cs="Times New Roman"/>
                <w:color w:val="auto"/>
                <w:highlight w:val="none"/>
              </w:rPr>
              <w:t>。</w:t>
            </w:r>
          </w:p>
          <w:p w14:paraId="2EE59366">
            <w:pPr>
              <w:pStyle w:val="80"/>
              <w:ind w:left="105" w:leftChars="50" w:right="105" w:rightChars="50"/>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color w:val="000000" w:themeColor="text1"/>
                <w:highlight w:val="none"/>
                <w14:textFill>
                  <w14:solidFill>
                    <w14:schemeClr w14:val="tx1"/>
                  </w14:solidFill>
                </w14:textFill>
              </w:rPr>
              <w:t>因此，本项目符合国家及地方产业政策。</w:t>
            </w:r>
          </w:p>
          <w:p w14:paraId="780577C9">
            <w:pPr>
              <w:spacing w:line="360" w:lineRule="auto"/>
              <w:ind w:left="105" w:leftChars="50" w:right="105" w:rightChars="50" w:firstLine="482" w:firstLineChars="200"/>
              <w:rPr>
                <w:rFonts w:ascii="Times New Roman" w:hAnsi="Times New Roman" w:eastAsia="宋体" w:cs="Times New Roman"/>
                <w:b/>
                <w:bCs/>
                <w:snapToGrid w:val="0"/>
                <w:color w:val="000000" w:themeColor="text1"/>
                <w:kern w:val="0"/>
                <w:sz w:val="24"/>
                <w14:textFill>
                  <w14:solidFill>
                    <w14:schemeClr w14:val="tx1"/>
                  </w14:solidFill>
                </w14:textFill>
              </w:rPr>
            </w:pPr>
            <w:r>
              <w:rPr>
                <w:rFonts w:hint="eastAsia" w:ascii="Times New Roman" w:hAnsi="Times New Roman" w:eastAsia="宋体" w:cs="Times New Roman"/>
                <w:b/>
                <w:bCs/>
                <w:snapToGrid w:val="0"/>
                <w:color w:val="000000" w:themeColor="text1"/>
                <w:kern w:val="0"/>
                <w:sz w:val="24"/>
                <w:lang w:val="en-US" w:eastAsia="zh-CN"/>
                <w14:textFill>
                  <w14:solidFill>
                    <w14:schemeClr w14:val="tx1"/>
                  </w14:solidFill>
                </w14:textFill>
              </w:rPr>
              <w:t>3</w:t>
            </w:r>
            <w:r>
              <w:rPr>
                <w:rFonts w:hint="eastAsia" w:ascii="Times New Roman" w:hAnsi="Times New Roman" w:eastAsia="宋体" w:cs="Times New Roman"/>
                <w:b/>
                <w:bCs/>
                <w:snapToGrid w:val="0"/>
                <w:color w:val="000000" w:themeColor="text1"/>
                <w:kern w:val="0"/>
                <w:sz w:val="24"/>
                <w14:textFill>
                  <w14:solidFill>
                    <w14:schemeClr w14:val="tx1"/>
                  </w14:solidFill>
                </w14:textFill>
              </w:rPr>
              <w:t>、</w:t>
            </w:r>
            <w:r>
              <w:rPr>
                <w:rFonts w:ascii="Times New Roman" w:hAnsi="Times New Roman" w:eastAsia="宋体" w:cs="Times New Roman"/>
                <w:b/>
                <w:bCs/>
                <w:snapToGrid w:val="0"/>
                <w:color w:val="000000" w:themeColor="text1"/>
                <w:kern w:val="0"/>
                <w:sz w:val="24"/>
                <w14:textFill>
                  <w14:solidFill>
                    <w14:schemeClr w14:val="tx1"/>
                  </w14:solidFill>
                </w14:textFill>
              </w:rPr>
              <w:t>“三线一单”符合性分析</w:t>
            </w:r>
          </w:p>
          <w:p w14:paraId="1A1E103F">
            <w:pPr>
              <w:pStyle w:val="80"/>
              <w:ind w:left="105" w:leftChars="50" w:right="105" w:rightChars="50" w:firstLine="482"/>
              <w:rPr>
                <w:color w:val="000000" w:themeColor="text1"/>
                <w14:textFill>
                  <w14:solidFill>
                    <w14:schemeClr w14:val="tx1"/>
                  </w14:solidFill>
                </w14:textFill>
              </w:rPr>
            </w:pPr>
            <w:r>
              <w:rPr>
                <w:rFonts w:hint="eastAsia"/>
                <w:b/>
                <w:bCs/>
                <w:color w:val="000000" w:themeColor="text1"/>
                <w14:textFill>
                  <w14:solidFill>
                    <w14:schemeClr w14:val="tx1"/>
                  </w14:solidFill>
                </w14:textFill>
              </w:rPr>
              <w:t>生态保护红线</w:t>
            </w:r>
          </w:p>
          <w:p w14:paraId="6AC8FEBF">
            <w:pPr>
              <w:pStyle w:val="80"/>
              <w:ind w:left="105" w:leftChars="50" w:right="105" w:rightChars="50"/>
              <w:rPr>
                <w:rFonts w:hint="eastAsia"/>
                <w:color w:val="auto"/>
              </w:rPr>
            </w:pPr>
            <w:r>
              <w:rPr>
                <w:rFonts w:hint="default" w:ascii="Times New Roman" w:hAnsi="Times New Roman" w:cs="Times New Roman"/>
                <w:color w:val="auto"/>
                <w:lang w:eastAsia="zh-CN"/>
              </w:rPr>
              <w:t>根据《永清县国土空间总体规划（2021-2035年）》，</w:t>
            </w:r>
            <w:r>
              <w:rPr>
                <w:rFonts w:hint="default" w:ascii="Times New Roman" w:hAnsi="Times New Roman" w:cs="Times New Roman"/>
                <w:color w:val="auto"/>
              </w:rPr>
              <w:t>全县划定生态保护红线面积1.19平方千米，主要分布在永定河河道内。本项目</w:t>
            </w:r>
            <w:r>
              <w:rPr>
                <w:rFonts w:hint="eastAsia" w:ascii="Times New Roman" w:hAnsi="Times New Roman" w:cs="Times New Roman"/>
                <w:color w:val="auto"/>
                <w:lang w:eastAsia="zh-CN"/>
              </w:rPr>
              <w:t>距离最近</w:t>
            </w:r>
            <w:r>
              <w:rPr>
                <w:rFonts w:hint="default" w:ascii="Times New Roman" w:hAnsi="Times New Roman" w:cs="Times New Roman"/>
                <w:snapToGrid w:val="0"/>
                <w:color w:val="auto"/>
                <w:kern w:val="0"/>
                <w:sz w:val="24"/>
                <w:lang w:eastAsia="zh-CN"/>
              </w:rPr>
              <w:t>永清</w:t>
            </w:r>
            <w:r>
              <w:rPr>
                <w:rFonts w:hint="default" w:ascii="Times New Roman" w:hAnsi="Times New Roman" w:cs="Times New Roman"/>
                <w:snapToGrid w:val="0"/>
                <w:color w:val="auto"/>
                <w:kern w:val="0"/>
                <w:sz w:val="24"/>
              </w:rPr>
              <w:t>县生态保护红线</w:t>
            </w:r>
            <w:r>
              <w:rPr>
                <w:rFonts w:hint="eastAsia" w:ascii="Times New Roman" w:hAnsi="Times New Roman" w:cs="Times New Roman"/>
                <w:snapToGrid w:val="0"/>
                <w:color w:val="auto"/>
                <w:kern w:val="0"/>
                <w:sz w:val="24"/>
                <w:lang w:eastAsia="zh-CN"/>
              </w:rPr>
              <w:t>为</w:t>
            </w:r>
            <w:r>
              <w:rPr>
                <w:rFonts w:hint="eastAsia" w:ascii="Times New Roman" w:hAnsi="Times New Roman" w:cs="Times New Roman"/>
                <w:snapToGrid w:val="0"/>
                <w:color w:val="auto"/>
                <w:kern w:val="0"/>
                <w:sz w:val="24"/>
                <w:lang w:val="en-US" w:eastAsia="zh-CN"/>
              </w:rPr>
              <w:t>5km，</w:t>
            </w:r>
            <w:r>
              <w:rPr>
                <w:rFonts w:hint="default" w:ascii="Times New Roman" w:hAnsi="Times New Roman" w:cs="Times New Roman"/>
                <w:color w:val="auto"/>
              </w:rPr>
              <w:t>未处于生态保护红线内。</w:t>
            </w:r>
          </w:p>
          <w:p w14:paraId="43C730A3">
            <w:pPr>
              <w:pStyle w:val="80"/>
              <w:ind w:left="105" w:leftChars="50" w:right="105" w:rightChars="50" w:firstLine="482"/>
              <w:jc w:val="both"/>
              <w:rPr>
                <w:color w:val="auto"/>
              </w:rPr>
            </w:pPr>
            <w:r>
              <w:rPr>
                <w:rFonts w:ascii="Times New Roman" w:hAnsi="Times New Roman" w:cs="Times New Roman"/>
                <w:color w:val="auto"/>
              </w:rPr>
              <mc:AlternateContent>
                <mc:Choice Requires="wps">
                  <w:drawing>
                    <wp:anchor distT="0" distB="0" distL="114300" distR="114300" simplePos="0" relativeHeight="251662336" behindDoc="0" locked="0" layoutInCell="1" allowOverlap="1">
                      <wp:simplePos x="0" y="0"/>
                      <wp:positionH relativeFrom="column">
                        <wp:posOffset>3208655</wp:posOffset>
                      </wp:positionH>
                      <wp:positionV relativeFrom="paragraph">
                        <wp:posOffset>1567180</wp:posOffset>
                      </wp:positionV>
                      <wp:extent cx="95250" cy="97155"/>
                      <wp:effectExtent l="19050" t="38100" r="38100" b="36195"/>
                      <wp:wrapNone/>
                      <wp:docPr id="1" name="五角星 1"/>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52.65pt;margin-top:123.4pt;height:7.65pt;width:7.5pt;z-index:251662336;v-text-anchor:middle;mso-width-relative:page;mso-height-relative:page;" fillcolor="#FF0000" filled="t" stroked="t" coordsize="95250,97155" o:gfxdata="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77a94dcAAAALAQAADwAAAAAAAAABACAAAAAiAAAAZHJzL2Rvd25yZXYu&#10;eG1sUEsBAhQAFAAAAAgAh07iQDUi58BuAgAA9QQAAA4AAAAAAAAAAQAgAAAAJgEAAGRycy9lMm9E&#10;b2MueG1sUEsFBgAAAAAGAAYAWQEAAAYGAAAAAA==&#10;" path="m0,37109l36382,37110,47625,0,58867,37110,95249,37109,65815,60044,77058,97154,47625,74219,18191,97154,29434,60044xe">
                      <v:path o:connectlocs="47625,0;0,37109;18191,97154;77058,97154;95249,37109" o:connectangles="247,164,82,82,0"/>
                      <v:fill on="t" focussize="0,0"/>
                      <v:stroke weight="1pt" color="#FF0000 [3204]" miterlimit="8" joinstyle="miter"/>
                      <v:imagedata o:title=""/>
                      <o:lock v:ext="edit" aspectratio="f"/>
                    </v:shape>
                  </w:pict>
                </mc:Fallback>
              </mc:AlternateContent>
            </w:r>
            <w:r>
              <w:rPr>
                <w:rFonts w:ascii="Times New Roman" w:hAnsi="Times New Roman" w:cs="Times New Roman"/>
                <w:color w:val="auto"/>
              </w:rPr>
              <mc:AlternateContent>
                <mc:Choice Requires="wps">
                  <w:drawing>
                    <wp:anchor distT="0" distB="0" distL="114300" distR="114300" simplePos="0" relativeHeight="251664384" behindDoc="0" locked="0" layoutInCell="1" allowOverlap="1">
                      <wp:simplePos x="0" y="0"/>
                      <wp:positionH relativeFrom="column">
                        <wp:posOffset>3578225</wp:posOffset>
                      </wp:positionH>
                      <wp:positionV relativeFrom="paragraph">
                        <wp:posOffset>2056130</wp:posOffset>
                      </wp:positionV>
                      <wp:extent cx="1049655" cy="361950"/>
                      <wp:effectExtent l="318770" t="424815" r="22225" b="13335"/>
                      <wp:wrapNone/>
                      <wp:docPr id="2" name="圆角矩形标注 2"/>
                      <wp:cNvGraphicFramePr/>
                      <a:graphic xmlns:a="http://schemas.openxmlformats.org/drawingml/2006/main">
                        <a:graphicData uri="http://schemas.microsoft.com/office/word/2010/wordprocessingShape">
                          <wps:wsp>
                            <wps:cNvSpPr/>
                            <wps:spPr>
                              <a:xfrm>
                                <a:off x="0" y="0"/>
                                <a:ext cx="1049655" cy="361950"/>
                              </a:xfrm>
                              <a:prstGeom prst="wedgeRoundRectCallout">
                                <a:avLst>
                                  <a:gd name="adj1" fmla="val -76376"/>
                                  <a:gd name="adj2" fmla="val -159122"/>
                                  <a:gd name="adj3" fmla="val 16667"/>
                                </a:avLst>
                              </a:prstGeom>
                            </wps:spPr>
                            <wps:style>
                              <a:lnRef idx="2">
                                <a:schemeClr val="dk1"/>
                              </a:lnRef>
                              <a:fillRef idx="1">
                                <a:schemeClr val="lt1"/>
                              </a:fillRef>
                              <a:effectRef idx="0">
                                <a:schemeClr val="dk1"/>
                              </a:effectRef>
                              <a:fontRef idx="minor">
                                <a:schemeClr val="dk1"/>
                              </a:fontRef>
                            </wps:style>
                            <wps:txbx>
                              <w:txbxContent>
                                <w:p w14:paraId="6E6D8D17">
                                  <w:pPr>
                                    <w:jc w:val="center"/>
                                  </w:pPr>
                                  <w:r>
                                    <w:rPr>
                                      <w:rFonts w:hint="eastAsia"/>
                                    </w:rPr>
                                    <w:t>本项目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81.75pt;margin-top:161.9pt;height:28.5pt;width:82.65pt;z-index:251664384;v-text-anchor:middle;mso-width-relative:page;mso-height-relative:page;" fillcolor="#FFFFFF [3201]" filled="t" stroked="t" coordsize="21600,21600" o:gfxdata="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AgQHEf1wAA&#10;AAsBAAAPAAAAAAAAAAEAIAAAACIAAABkcnMvZG93bnJldi54bWxQSwECFAAUAAAACACHTuJAiUhg&#10;y8oCAACUBQAADgAAAAAAAAABACAAAAAmAQAAZHJzL2Uyb0RvYy54bWxQSwUGAAAAAAYABgBZAQAA&#10;YgYAAAAA&#10;" adj="-5697,-23570,14400">
                      <v:fill on="t" focussize="0,0"/>
                      <v:stroke weight="1pt" color="#000000 [3200]" miterlimit="8" joinstyle="miter"/>
                      <v:imagedata o:title=""/>
                      <o:lock v:ext="edit" aspectratio="f"/>
                      <v:textbox>
                        <w:txbxContent>
                          <w:p w14:paraId="6E6D8D17">
                            <w:pPr>
                              <w:jc w:val="center"/>
                            </w:pPr>
                            <w:r>
                              <w:rPr>
                                <w:rFonts w:hint="eastAsia"/>
                              </w:rPr>
                              <w:t>本项目</w:t>
                            </w:r>
                            <w:r>
                              <w:t>所在地</w:t>
                            </w:r>
                          </w:p>
                        </w:txbxContent>
                      </v:textbox>
                    </v:shape>
                  </w:pict>
                </mc:Fallback>
              </mc:AlternateContent>
            </w:r>
            <w:r>
              <w:rPr>
                <w:rFonts w:hint="eastAsia"/>
                <w:color w:val="auto"/>
                <w:highlight w:val="none"/>
                <w:lang w:val="en-US" w:eastAsia="zh-CN"/>
              </w:rPr>
              <w:t xml:space="preserve">     </w:t>
            </w:r>
            <w:r>
              <w:rPr>
                <w:color w:val="auto"/>
                <w:highlight w:val="none"/>
              </w:rPr>
              <w:drawing>
                <wp:inline distT="0" distB="0" distL="114300" distR="114300">
                  <wp:extent cx="3355340" cy="4313555"/>
                  <wp:effectExtent l="0" t="0" r="16510" b="1079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6"/>
                          <a:stretch>
                            <a:fillRect/>
                          </a:stretch>
                        </pic:blipFill>
                        <pic:spPr>
                          <a:xfrm>
                            <a:off x="0" y="0"/>
                            <a:ext cx="3355340" cy="4313555"/>
                          </a:xfrm>
                          <a:prstGeom prst="rect">
                            <a:avLst/>
                          </a:prstGeom>
                          <a:noFill/>
                          <a:ln>
                            <a:noFill/>
                          </a:ln>
                        </pic:spPr>
                      </pic:pic>
                    </a:graphicData>
                  </a:graphic>
                </wp:inline>
              </w:drawing>
            </w:r>
          </w:p>
          <w:p w14:paraId="25F95285">
            <w:pPr>
              <w:pStyle w:val="80"/>
              <w:ind w:right="105" w:rightChars="50" w:firstLine="2168" w:firstLineChars="900"/>
              <w:rPr>
                <w:rFonts w:ascii="Times New Roman" w:hAnsi="Times New Roman" w:cs="Times New Roman"/>
                <w:color w:val="auto"/>
              </w:rPr>
            </w:pPr>
            <w:r>
              <w:rPr>
                <w:rFonts w:ascii="Times New Roman" w:hAnsi="Times New Roman" w:cs="Times New Roman" w:eastAsiaTheme="minorEastAsia"/>
                <w:b/>
                <w:color w:val="auto"/>
                <w:kern w:val="2"/>
                <w:sz w:val="24"/>
                <w:szCs w:val="24"/>
                <w:lang w:val="en-US" w:eastAsia="zh-CN" w:bidi="ar-SA"/>
              </w:rPr>
              <w:t>图1</w:t>
            </w:r>
            <w:r>
              <w:rPr>
                <w:rFonts w:hint="eastAsia" w:ascii="Times New Roman" w:hAnsi="Times New Roman" w:cs="Times New Roman"/>
                <w:b/>
                <w:color w:val="auto"/>
                <w:kern w:val="2"/>
                <w:sz w:val="24"/>
                <w:szCs w:val="24"/>
                <w:lang w:val="en-US" w:eastAsia="zh-CN" w:bidi="ar-SA"/>
              </w:rPr>
              <w:t>-1</w:t>
            </w:r>
            <w:r>
              <w:rPr>
                <w:rFonts w:ascii="Times New Roman" w:hAnsi="Times New Roman" w:cs="Times New Roman" w:eastAsiaTheme="minorEastAsia"/>
                <w:b/>
                <w:color w:val="auto"/>
                <w:kern w:val="2"/>
                <w:sz w:val="24"/>
                <w:szCs w:val="24"/>
                <w:lang w:val="en-US" w:eastAsia="zh-CN" w:bidi="ar-SA"/>
              </w:rPr>
              <w:t xml:space="preserve">  </w:t>
            </w:r>
            <w:r>
              <w:rPr>
                <w:rFonts w:hint="eastAsia" w:ascii="Times New Roman" w:hAnsi="Times New Roman" w:cs="Times New Roman"/>
                <w:b/>
                <w:color w:val="auto"/>
                <w:kern w:val="2"/>
                <w:sz w:val="24"/>
                <w:szCs w:val="24"/>
                <w:lang w:val="en-US" w:eastAsia="zh-CN" w:bidi="ar-SA"/>
              </w:rPr>
              <w:t>永清县</w:t>
            </w:r>
            <w:r>
              <w:rPr>
                <w:rFonts w:ascii="Times New Roman" w:hAnsi="Times New Roman" w:cs="Times New Roman" w:eastAsiaTheme="minorEastAsia"/>
                <w:b/>
                <w:color w:val="auto"/>
                <w:kern w:val="2"/>
                <w:sz w:val="24"/>
                <w:szCs w:val="24"/>
                <w:lang w:val="en-US" w:eastAsia="zh-CN" w:bidi="ar-SA"/>
              </w:rPr>
              <w:t>生态红线图</w:t>
            </w:r>
          </w:p>
          <w:p w14:paraId="695C8B35">
            <w:pPr>
              <w:adjustRightInd w:val="0"/>
              <w:snapToGrid w:val="0"/>
              <w:spacing w:line="360" w:lineRule="auto"/>
              <w:ind w:left="105" w:leftChars="50" w:right="105" w:rightChars="50"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rPr>
              <w:t>环境质量底线</w:t>
            </w:r>
          </w:p>
          <w:p w14:paraId="13F5C2C6">
            <w:pPr>
              <w:adjustRightInd w:val="0"/>
              <w:snapToGrid w:val="0"/>
              <w:spacing w:line="360" w:lineRule="auto"/>
              <w:ind w:left="105" w:leftChars="50" w:right="105" w:rightChars="50" w:firstLine="480" w:firstLineChars="200"/>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项目所在地大气环境质量目标为《环境空气质量标准》（GB3095-2012）中二级</w:t>
            </w:r>
            <w:r>
              <w:rPr>
                <w:rFonts w:ascii="Times New Roman" w:hAnsi="Times New Roman" w:eastAsia="宋体" w:cs="Times New Roman"/>
                <w:color w:val="auto"/>
                <w:sz w:val="24"/>
                <w:highlight w:val="none"/>
              </w:rPr>
              <w:t>标准要求；</w:t>
            </w:r>
            <w:r>
              <w:rPr>
                <w:rFonts w:hint="eastAsia" w:ascii="Times New Roman" w:hAnsi="Times New Roman" w:eastAsia="宋体" w:cs="Times New Roman"/>
                <w:color w:val="auto"/>
                <w:sz w:val="24"/>
                <w:highlight w:val="none"/>
              </w:rPr>
              <w:t>根据</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《廊坊市</w:t>
            </w:r>
            <w:r>
              <w:rPr>
                <w:rFonts w:hint="eastAsia" w:ascii="Times New Roman" w:hAnsi="Times New Roman" w:eastAsia="宋体" w:cs="Times New Roman"/>
                <w:color w:val="auto"/>
                <w:sz w:val="24"/>
                <w:highlight w:val="none"/>
                <w:lang w:eastAsia="zh-CN"/>
              </w:rPr>
              <w:t>生态</w:t>
            </w:r>
            <w:r>
              <w:rPr>
                <w:rFonts w:hint="eastAsia" w:ascii="Times New Roman" w:hAnsi="Times New Roman" w:eastAsia="宋体" w:cs="Times New Roman"/>
                <w:color w:val="auto"/>
                <w:sz w:val="24"/>
                <w:highlight w:val="none"/>
              </w:rPr>
              <w:t>环境质量</w:t>
            </w:r>
            <w:r>
              <w:rPr>
                <w:rFonts w:hint="eastAsia" w:ascii="Times New Roman" w:hAnsi="Times New Roman" w:eastAsia="宋体" w:cs="Times New Roman"/>
                <w:color w:val="auto"/>
                <w:sz w:val="24"/>
                <w:highlight w:val="none"/>
                <w:lang w:eastAsia="zh-CN"/>
              </w:rPr>
              <w:t>报告书</w:t>
            </w:r>
            <w:r>
              <w:rPr>
                <w:rFonts w:hint="eastAsia"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rPr>
              <w:t>年）》中的</w:t>
            </w:r>
            <w:r>
              <w:rPr>
                <w:rFonts w:hint="eastAsia" w:ascii="Times New Roman" w:hAnsi="Times New Roman" w:eastAsia="宋体" w:cs="Times New Roman"/>
                <w:color w:val="auto"/>
                <w:sz w:val="24"/>
                <w:highlight w:val="none"/>
                <w:lang w:eastAsia="zh-CN"/>
              </w:rPr>
              <w:t>永清</w:t>
            </w:r>
            <w:r>
              <w:rPr>
                <w:rFonts w:hint="eastAsia" w:ascii="Times New Roman" w:hAnsi="Times New Roman" w:eastAsia="宋体" w:cs="Times New Roman"/>
                <w:color w:val="auto"/>
                <w:sz w:val="24"/>
                <w:highlight w:val="none"/>
              </w:rPr>
              <w:t>县环境空气质量数据和结论，SO</w:t>
            </w:r>
            <w:r>
              <w:rPr>
                <w:rFonts w:hint="eastAsia"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、CO、NO</w:t>
            </w:r>
            <w:r>
              <w:rPr>
                <w:rFonts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浓度均达到《环境空气质量标准》（GB3095-2012）</w:t>
            </w:r>
            <w:r>
              <w:rPr>
                <w:rFonts w:ascii="Times New Roman" w:hAnsi="Times New Roman" w:eastAsia="宋体" w:cs="Times New Roman"/>
                <w:color w:val="auto"/>
                <w:sz w:val="24"/>
                <w:highlight w:val="none"/>
              </w:rPr>
              <w:t>中二级标准</w:t>
            </w:r>
            <w:r>
              <w:rPr>
                <w:rFonts w:hint="eastAsia" w:ascii="Times New Roman" w:hAnsi="Times New Roman" w:eastAsia="宋体" w:cs="Times New Roman"/>
                <w:color w:val="auto"/>
                <w:sz w:val="24"/>
                <w:highlight w:val="none"/>
              </w:rPr>
              <w:t>及修改单要求；PM</w:t>
            </w:r>
            <w:r>
              <w:rPr>
                <w:rFonts w:hint="eastAsia" w:ascii="Times New Roman" w:hAnsi="Times New Roman" w:eastAsia="宋体" w:cs="Times New Roman"/>
                <w:color w:val="auto"/>
                <w:sz w:val="24"/>
                <w:highlight w:val="none"/>
                <w:vertAlign w:val="subscript"/>
              </w:rPr>
              <w:t>10</w:t>
            </w:r>
            <w:r>
              <w:rPr>
                <w:rFonts w:hint="eastAsia" w:ascii="Times New Roman" w:hAnsi="Times New Roman" w:eastAsia="宋体" w:cs="Times New Roman"/>
                <w:color w:val="auto"/>
                <w:sz w:val="24"/>
                <w:highlight w:val="none"/>
              </w:rPr>
              <w:t>、PM</w:t>
            </w:r>
            <w:r>
              <w:rPr>
                <w:rFonts w:hint="eastAsia" w:ascii="Times New Roman" w:hAnsi="Times New Roman" w:eastAsia="宋体" w:cs="Times New Roman"/>
                <w:color w:val="auto"/>
                <w:sz w:val="24"/>
                <w:highlight w:val="none"/>
                <w:vertAlign w:val="subscript"/>
              </w:rPr>
              <w:t>2.5</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O</w:t>
            </w:r>
            <w:r>
              <w:rPr>
                <w:rFonts w:hint="eastAsia" w:ascii="Times New Roman" w:hAnsi="Times New Roman" w:eastAsia="宋体" w:cs="Times New Roman"/>
                <w:color w:val="auto"/>
                <w:sz w:val="24"/>
                <w:highlight w:val="none"/>
                <w:vertAlign w:val="subscript"/>
              </w:rPr>
              <w:t>3</w:t>
            </w:r>
            <w:r>
              <w:rPr>
                <w:rFonts w:hint="eastAsia" w:ascii="Times New Roman" w:hAnsi="Times New Roman" w:eastAsia="宋体" w:cs="Times New Roman"/>
                <w:color w:val="auto"/>
                <w:sz w:val="24"/>
                <w:highlight w:val="none"/>
              </w:rPr>
              <w:t>浓度超标</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项目所在区为不达标区；</w:t>
            </w:r>
            <w:r>
              <w:rPr>
                <w:rFonts w:ascii="Times New Roman" w:hAnsi="Times New Roman" w:eastAsia="宋体" w:cs="Times New Roman"/>
                <w:color w:val="auto"/>
                <w:kern w:val="24"/>
                <w:sz w:val="24"/>
                <w:highlight w:val="none"/>
              </w:rPr>
              <w:t>本项目废气污染物达标排放，不会对环境空气造成明显不利影响</w:t>
            </w:r>
            <w:r>
              <w:rPr>
                <w:rFonts w:ascii="Times New Roman" w:hAnsi="Times New Roman" w:eastAsia="宋体" w:cs="Times New Roman"/>
                <w:color w:val="auto"/>
                <w:sz w:val="24"/>
                <w:highlight w:val="none"/>
              </w:rPr>
              <w:t>；声环境满足《声环境质量标准》(GB3096-2008</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中</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类区标准要求</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000000" w:themeColor="text1"/>
                <w:sz w:val="24"/>
                <w:highlight w:val="none"/>
                <w14:textFill>
                  <w14:solidFill>
                    <w14:schemeClr w14:val="tx1"/>
                  </w14:solidFill>
                </w14:textFill>
              </w:rPr>
              <w:t>本项目废水、噪声、固废均得到合理处置，对周边影响较小。因此，本项目建设后区域环境质量能够</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基本</w:t>
            </w:r>
            <w:r>
              <w:rPr>
                <w:rFonts w:ascii="Times New Roman" w:hAnsi="Times New Roman" w:eastAsia="宋体" w:cs="Times New Roman"/>
                <w:color w:val="000000" w:themeColor="text1"/>
                <w:sz w:val="24"/>
                <w:highlight w:val="none"/>
                <w14:textFill>
                  <w14:solidFill>
                    <w14:schemeClr w14:val="tx1"/>
                  </w14:solidFill>
                </w14:textFill>
              </w:rPr>
              <w:t>维持环境质量现状水平，符合环境质量底线。</w:t>
            </w:r>
          </w:p>
          <w:p w14:paraId="622C4CC5">
            <w:pPr>
              <w:adjustRightInd w:val="0"/>
              <w:snapToGrid w:val="0"/>
              <w:spacing w:line="360" w:lineRule="auto"/>
              <w:ind w:left="105" w:leftChars="50" w:right="105" w:rightChars="50" w:firstLine="482" w:firstLineChars="200"/>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资源利用上线：</w:t>
            </w:r>
          </w:p>
          <w:p w14:paraId="1C99A2E7">
            <w:pPr>
              <w:adjustRightInd w:val="0"/>
              <w:snapToGrid w:val="0"/>
              <w:spacing w:line="360" w:lineRule="auto"/>
              <w:ind w:left="105" w:leftChars="50" w:right="105" w:rightChars="50" w:firstLine="480" w:firstLineChars="200"/>
              <w:rPr>
                <w:rFonts w:hint="eastAsia" w:ascii="Times New Roman" w:hAnsi="Times New Roman" w:eastAsia="宋体" w:cs="Times New Roman"/>
                <w:color w:val="FF0000"/>
                <w:sz w:val="24"/>
                <w:lang w:eastAsia="zh-CN"/>
              </w:rPr>
            </w:pPr>
            <w:r>
              <w:rPr>
                <w:rFonts w:hint="eastAsia" w:ascii="Times New Roman" w:hAnsi="Times New Roman" w:eastAsia="宋体" w:cs="Times New Roman"/>
                <w:color w:val="auto"/>
                <w:sz w:val="24"/>
              </w:rPr>
              <w:t>项目生产过程中所需的水电均由当地供水、电管网提供，所需资源量</w:t>
            </w:r>
            <w:r>
              <w:rPr>
                <w:rFonts w:ascii="Times New Roman" w:hAnsi="Times New Roman" w:eastAsia="宋体" w:cs="Times New Roman"/>
                <w:color w:val="auto"/>
                <w:sz w:val="24"/>
              </w:rPr>
              <w:t>相对于区域资源利用总量较少</w:t>
            </w:r>
            <w:r>
              <w:rPr>
                <w:rFonts w:hint="eastAsia" w:ascii="Times New Roman" w:hAnsi="Times New Roman" w:eastAsia="宋体" w:cs="Times New Roman"/>
                <w:color w:val="auto"/>
                <w:sz w:val="24"/>
              </w:rPr>
              <w:t>，不会达到资源利用上线；</w:t>
            </w:r>
            <w:r>
              <w:rPr>
                <w:rFonts w:hint="eastAsia" w:ascii="Times New Roman" w:hAnsi="Times New Roman" w:eastAsia="宋体" w:cs="Times New Roman"/>
                <w:color w:val="auto"/>
                <w:sz w:val="24"/>
                <w:highlight w:val="none"/>
              </w:rPr>
              <w:t>项目占地</w:t>
            </w:r>
            <w:r>
              <w:rPr>
                <w:rFonts w:hint="eastAsia" w:ascii="Times New Roman" w:hAnsi="Times New Roman" w:eastAsia="宋体" w:cs="Times New Roman"/>
                <w:color w:val="auto"/>
                <w:sz w:val="24"/>
                <w:highlight w:val="none"/>
                <w:lang w:val="en-US" w:eastAsia="zh-CN"/>
              </w:rPr>
              <w:t>为工业用地，</w:t>
            </w:r>
            <w:r>
              <w:rPr>
                <w:rFonts w:hint="eastAsia" w:ascii="Times New Roman" w:hAnsi="Times New Roman" w:eastAsia="宋体" w:cs="Times New Roman"/>
                <w:color w:val="auto"/>
                <w:sz w:val="24"/>
                <w:highlight w:val="none"/>
              </w:rPr>
              <w:t>结合</w:t>
            </w:r>
            <w:r>
              <w:rPr>
                <w:rFonts w:hint="eastAsia" w:ascii="Times New Roman" w:hAnsi="Times New Roman" w:eastAsia="宋体" w:cs="Times New Roman"/>
                <w:color w:val="auto"/>
                <w:sz w:val="24"/>
                <w:highlight w:val="none"/>
                <w:lang w:val="en-US" w:eastAsia="zh-CN"/>
              </w:rPr>
              <w:t>永清县别古庄镇人民政府</w:t>
            </w:r>
            <w:r>
              <w:rPr>
                <w:rFonts w:hint="eastAsia" w:ascii="Times New Roman" w:hAnsi="Times New Roman" w:eastAsia="宋体" w:cs="Times New Roman"/>
                <w:color w:val="auto"/>
                <w:sz w:val="24"/>
                <w:highlight w:val="none"/>
              </w:rPr>
              <w:t>出具</w:t>
            </w:r>
            <w:r>
              <w:rPr>
                <w:rFonts w:hint="eastAsia" w:ascii="Times New Roman" w:hAnsi="Times New Roman" w:eastAsia="宋体" w:cs="Times New Roman"/>
                <w:color w:val="auto"/>
                <w:sz w:val="24"/>
                <w:highlight w:val="none"/>
                <w:lang w:val="en-US" w:eastAsia="zh-CN"/>
              </w:rPr>
              <w:t>的</w:t>
            </w:r>
            <w:r>
              <w:rPr>
                <w:rFonts w:hint="eastAsia" w:ascii="Times New Roman" w:hAnsi="Times New Roman" w:eastAsia="宋体" w:cs="Times New Roman"/>
                <w:color w:val="auto"/>
                <w:sz w:val="24"/>
                <w:highlight w:val="none"/>
              </w:rPr>
              <w:t>证明，</w:t>
            </w:r>
            <w:r>
              <w:rPr>
                <w:rFonts w:hint="eastAsia" w:ascii="Times New Roman" w:hAnsi="Times New Roman" w:eastAsia="宋体" w:cs="Times New Roman"/>
                <w:color w:val="auto"/>
                <w:sz w:val="24"/>
              </w:rPr>
              <w:t>符合当地土地规划要求，亦不会突破土地资源上线</w:t>
            </w:r>
            <w:r>
              <w:rPr>
                <w:rFonts w:hint="eastAsia" w:ascii="Times New Roman" w:hAnsi="Times New Roman" w:eastAsia="宋体" w:cs="Times New Roman"/>
                <w:color w:val="auto"/>
                <w:sz w:val="24"/>
                <w:lang w:eastAsia="zh-CN"/>
              </w:rPr>
              <w:t>。</w:t>
            </w:r>
          </w:p>
          <w:p w14:paraId="4617B587">
            <w:pPr>
              <w:pStyle w:val="90"/>
              <w:spacing w:line="360" w:lineRule="auto"/>
              <w:ind w:left="105" w:leftChars="50" w:right="105" w:rightChars="50" w:firstLine="482"/>
              <w:rPr>
                <w:b/>
                <w:bCs/>
                <w:color w:val="auto"/>
                <w:sz w:val="24"/>
                <w:highlight w:val="none"/>
              </w:rPr>
            </w:pPr>
            <w:r>
              <w:rPr>
                <w:b/>
                <w:bCs/>
                <w:color w:val="auto"/>
                <w:sz w:val="24"/>
                <w:highlight w:val="none"/>
              </w:rPr>
              <w:t>生态环境准入清单</w:t>
            </w:r>
          </w:p>
          <w:p w14:paraId="52F6333C">
            <w:pPr>
              <w:pStyle w:val="80"/>
              <w:ind w:left="105" w:leftChars="50" w:right="105" w:rightChars="50"/>
              <w:rPr>
                <w:rFonts w:ascii="Times New Roman" w:hAnsi="Times New Roman" w:eastAsia="宋体" w:cs="Times New Roman"/>
                <w:color w:val="auto"/>
                <w:highlight w:val="none"/>
              </w:rPr>
            </w:pPr>
            <w:r>
              <w:rPr>
                <w:rFonts w:ascii="Times New Roman" w:hAnsi="Times New Roman" w:eastAsia="宋体" w:cs="Times New Roman"/>
                <w:color w:val="auto"/>
                <w:highlight w:val="none"/>
              </w:rPr>
              <w:t>根据</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廊坊市区域空间生态环境评价暨“三线一单” 生态环境准入清单（2024版）</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，本项目所在地行政区划为</w:t>
            </w:r>
            <w:r>
              <w:rPr>
                <w:rFonts w:hint="eastAsia" w:ascii="Times New Roman" w:hAnsi="Times New Roman" w:cs="Times New Roman"/>
                <w:color w:val="auto"/>
                <w:highlight w:val="none"/>
              </w:rPr>
              <w:t>河北省廊坊市</w:t>
            </w:r>
            <w:r>
              <w:rPr>
                <w:rFonts w:hint="eastAsia" w:ascii="Times New Roman" w:hAnsi="Times New Roman" w:cs="Times New Roman"/>
                <w:color w:val="auto"/>
                <w:highlight w:val="none"/>
                <w:lang w:eastAsia="zh-CN"/>
              </w:rPr>
              <w:t>永清县</w:t>
            </w:r>
            <w:r>
              <w:rPr>
                <w:rFonts w:hint="eastAsia" w:ascii="Times New Roman" w:hAnsi="Times New Roman" w:eastAsia="宋体" w:cs="Times New Roman"/>
                <w:color w:val="auto"/>
                <w:sz w:val="24"/>
                <w:highlight w:val="none"/>
                <w:lang w:eastAsia="zh-CN"/>
              </w:rPr>
              <w:t>别古庄镇</w:t>
            </w:r>
            <w:r>
              <w:rPr>
                <w:rFonts w:ascii="Times New Roman" w:hAnsi="Times New Roman" w:eastAsia="宋体" w:cs="Times New Roman"/>
                <w:color w:val="auto"/>
                <w:highlight w:val="none"/>
              </w:rPr>
              <w:t>，属于</w:t>
            </w:r>
            <w:r>
              <w:rPr>
                <w:rFonts w:hint="eastAsia" w:ascii="Times New Roman" w:hAnsi="Times New Roman" w:eastAsia="宋体" w:cs="Times New Roman"/>
                <w:color w:val="auto"/>
                <w:highlight w:val="none"/>
                <w:lang w:eastAsia="zh-CN"/>
              </w:rPr>
              <w:t>重点</w:t>
            </w:r>
            <w:r>
              <w:rPr>
                <w:rFonts w:ascii="Times New Roman" w:hAnsi="Times New Roman" w:eastAsia="宋体" w:cs="Times New Roman"/>
                <w:color w:val="auto"/>
                <w:highlight w:val="none"/>
              </w:rPr>
              <w:t>管控单元，符合区域分区管控要求，其符合性分析如下：</w:t>
            </w:r>
          </w:p>
          <w:p w14:paraId="5010B2CF">
            <w:pPr>
              <w:pStyle w:val="80"/>
              <w:ind w:left="0" w:leftChars="0" w:right="105" w:rightChars="50" w:firstLine="0" w:firstLineChars="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mc:AlternateContent>
                <mc:Choice Requires="wps">
                  <w:drawing>
                    <wp:anchor distT="0" distB="0" distL="114300" distR="114300" simplePos="0" relativeHeight="251665408" behindDoc="0" locked="0" layoutInCell="1" allowOverlap="1">
                      <wp:simplePos x="0" y="0"/>
                      <wp:positionH relativeFrom="column">
                        <wp:posOffset>2051050</wp:posOffset>
                      </wp:positionH>
                      <wp:positionV relativeFrom="paragraph">
                        <wp:posOffset>2143125</wp:posOffset>
                      </wp:positionV>
                      <wp:extent cx="95250" cy="97155"/>
                      <wp:effectExtent l="19050" t="38100" r="38100" b="36195"/>
                      <wp:wrapNone/>
                      <wp:docPr id="14" name="五角星 14"/>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17E7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61.5pt;margin-top:168.75pt;height:7.65pt;width:7.5pt;z-index:251665408;v-text-anchor:middle;mso-width-relative:page;mso-height-relative:page;" fillcolor="#00B050" filled="t" stroked="t" coordsize="95250,97155" o:gfxdata="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hjvjOtkAAAALAQAADwAAAAAAAAABACAAAAAiAAAA&#10;ZHJzL2Rvd25yZXYueG1sUEsBAhQAFAAAAAgAh07iQPgs7Rt4AgAAAgUAAA4AAAAAAAAAAQAgAAAA&#10;KAEAAGRycy9lMm9Eb2MueG1sUEsFBgAAAAAGAAYAWQEAABIGAAAAAA==&#10;" path="m0,37109l36382,37110,47625,0,58867,37110,95249,37109,65815,60044,77058,97154,47625,74219,18191,97154,29434,60044xe">
                      <v:path textboxrect="0,0,95250,97155" o:connectlocs="47625,0;0,37109;18191,97154;77058,97154;95249,37109" o:connectangles="247,164,82,82,0"/>
                      <v:fill on="t" focussize="0,0"/>
                      <v:stroke weight="1pt" color="#00B050 [3204]" miterlimit="8" joinstyle="miter"/>
                      <v:imagedata o:title=""/>
                      <o:lock v:ext="edit" aspectratio="f"/>
                      <v:textbox>
                        <w:txbxContent>
                          <w:p w14:paraId="6D17E7DA">
                            <w:pPr>
                              <w:jc w:val="center"/>
                            </w:pPr>
                          </w:p>
                        </w:txbxContent>
                      </v:textbox>
                    </v:shape>
                  </w:pict>
                </mc:Fallback>
              </mc:AlternateContent>
            </w:r>
            <w:r>
              <w:rPr>
                <w:rFonts w:hint="default" w:ascii="Times New Roman" w:hAnsi="Times New Roman" w:cs="Times New Roman"/>
                <w:b/>
                <w:bCs/>
                <w:color w:val="auto"/>
                <w:sz w:val="24"/>
                <w:szCs w:val="24"/>
              </w:rPr>
              <mc:AlternateContent>
                <mc:Choice Requires="wps">
                  <w:drawing>
                    <wp:anchor distT="0" distB="0" distL="114300" distR="114300" simplePos="0" relativeHeight="251663360" behindDoc="0" locked="0" layoutInCell="1" allowOverlap="1">
                      <wp:simplePos x="0" y="0"/>
                      <wp:positionH relativeFrom="column">
                        <wp:posOffset>2233295</wp:posOffset>
                      </wp:positionH>
                      <wp:positionV relativeFrom="paragraph">
                        <wp:posOffset>1578610</wp:posOffset>
                      </wp:positionV>
                      <wp:extent cx="1247140" cy="304800"/>
                      <wp:effectExtent l="93980" t="6350" r="11430" b="355600"/>
                      <wp:wrapNone/>
                      <wp:docPr id="5" name="圆角矩形标注 5"/>
                      <wp:cNvGraphicFramePr/>
                      <a:graphic xmlns:a="http://schemas.openxmlformats.org/drawingml/2006/main">
                        <a:graphicData uri="http://schemas.microsoft.com/office/word/2010/wordprocessingShape">
                          <wps:wsp>
                            <wps:cNvSpPr/>
                            <wps:spPr>
                              <a:xfrm>
                                <a:off x="0" y="0"/>
                                <a:ext cx="1247140" cy="304800"/>
                              </a:xfrm>
                              <a:prstGeom prst="wedgeRoundRectCallout">
                                <a:avLst>
                                  <a:gd name="adj1" fmla="val -55346"/>
                                  <a:gd name="adj2" fmla="val 157708"/>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49DB99B0">
                                  <w:pPr>
                                    <w:jc w:val="center"/>
                                    <w:rPr>
                                      <w:sz w:val="24"/>
                                    </w:rPr>
                                  </w:pPr>
                                  <w:r>
                                    <w:rPr>
                                      <w:rFonts w:hint="eastAsia"/>
                                      <w:sz w:val="24"/>
                                    </w:rPr>
                                    <w:t>本项目所在地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75.85pt;margin-top:124.3pt;height:24pt;width:98.2pt;z-index:251663360;v-text-anchor:middle;mso-width-relative:page;mso-height-relative:page;" fillcolor="#FFFFFF [3201]" filled="t" stroked="t" coordsize="21600,21600" o:gfxdata="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87ZFldkA&#10;AAALAQAADwAAAAAAAAABACAAAAAiAAAAZHJzL2Rvd25yZXYueG1sUEsBAhQAFAAAAAgAh07iQNVG&#10;AUnJAgAAkwUAAA4AAAAAAAAAAQAgAAAAKAEAAGRycy9lMm9Eb2MueG1sUEsFBgAAAAAGAAYAWQEA&#10;AGMGAAAAAA==&#10;" adj="-1155,44865,14400">
                      <v:fill on="t" focussize="0,0"/>
                      <v:stroke weight="1pt" color="#70AD47 [3209]" miterlimit="8" joinstyle="miter"/>
                      <v:imagedata o:title=""/>
                      <o:lock v:ext="edit" aspectratio="f"/>
                      <v:textbox>
                        <w:txbxContent>
                          <w:p w14:paraId="49DB99B0">
                            <w:pPr>
                              <w:jc w:val="center"/>
                              <w:rPr>
                                <w:sz w:val="24"/>
                              </w:rPr>
                            </w:pPr>
                            <w:r>
                              <w:rPr>
                                <w:rFonts w:hint="eastAsia"/>
                                <w:sz w:val="24"/>
                              </w:rPr>
                              <w:t>本项目所在地</w:t>
                            </w:r>
                          </w:p>
                        </w:txbxContent>
                      </v:textbox>
                    </v:shape>
                  </w:pict>
                </mc:Fallback>
              </mc:AlternateContent>
            </w:r>
            <w:r>
              <w:rPr>
                <w:rFonts w:hint="default" w:ascii="Times New Roman" w:hAnsi="Times New Roman" w:cs="Times New Roman"/>
                <w:b/>
                <w:bCs/>
                <w:color w:val="auto"/>
                <w:sz w:val="24"/>
                <w:szCs w:val="24"/>
              </w:rPr>
              <w:drawing>
                <wp:anchor distT="0" distB="0" distL="114300" distR="114300" simplePos="0" relativeHeight="251660288" behindDoc="0" locked="0" layoutInCell="1" allowOverlap="1">
                  <wp:simplePos x="0" y="0"/>
                  <wp:positionH relativeFrom="column">
                    <wp:posOffset>0</wp:posOffset>
                  </wp:positionH>
                  <wp:positionV relativeFrom="paragraph">
                    <wp:posOffset>15240</wp:posOffset>
                  </wp:positionV>
                  <wp:extent cx="4323715" cy="5342890"/>
                  <wp:effectExtent l="0" t="0" r="635" b="10160"/>
                  <wp:wrapTopAndBottom/>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7"/>
                          <a:stretch>
                            <a:fillRect/>
                          </a:stretch>
                        </pic:blipFill>
                        <pic:spPr>
                          <a:xfrm>
                            <a:off x="0" y="0"/>
                            <a:ext cx="4323715" cy="5342890"/>
                          </a:xfrm>
                          <a:prstGeom prst="rect">
                            <a:avLst/>
                          </a:prstGeom>
                          <a:noFill/>
                          <a:ln>
                            <a:noFill/>
                          </a:ln>
                        </pic:spPr>
                      </pic:pic>
                    </a:graphicData>
                  </a:graphic>
                </wp:anchor>
              </w:drawing>
            </w:r>
            <w:r>
              <w:rPr>
                <w:rFonts w:hint="default" w:ascii="Times New Roman" w:hAnsi="Times New Roman" w:cs="Times New Roman"/>
                <w:b/>
                <w:bCs/>
                <w:color w:val="auto"/>
                <w:sz w:val="24"/>
                <w:szCs w:val="24"/>
              </w:rPr>
              <w:t>图1-2  廊坊市</w:t>
            </w:r>
            <w:r>
              <w:rPr>
                <w:rFonts w:hint="eastAsia" w:ascii="Times New Roman" w:hAnsi="Times New Roman" w:cs="Times New Roman"/>
                <w:b/>
                <w:bCs/>
                <w:color w:val="auto"/>
                <w:sz w:val="24"/>
                <w:szCs w:val="24"/>
                <w:lang w:eastAsia="zh-CN"/>
              </w:rPr>
              <w:t>环境</w:t>
            </w:r>
            <w:r>
              <w:rPr>
                <w:rFonts w:hint="default" w:ascii="Times New Roman" w:hAnsi="Times New Roman" w:cs="Times New Roman"/>
                <w:b/>
                <w:bCs/>
                <w:color w:val="auto"/>
                <w:sz w:val="24"/>
                <w:szCs w:val="24"/>
              </w:rPr>
              <w:t>管控</w:t>
            </w:r>
            <w:r>
              <w:rPr>
                <w:rFonts w:hint="eastAsia" w:ascii="Times New Roman" w:hAnsi="Times New Roman" w:cs="Times New Roman"/>
                <w:b/>
                <w:bCs/>
                <w:color w:val="auto"/>
                <w:sz w:val="24"/>
                <w:szCs w:val="24"/>
                <w:lang w:eastAsia="zh-CN"/>
              </w:rPr>
              <w:t>单元</w:t>
            </w:r>
            <w:r>
              <w:rPr>
                <w:rFonts w:hint="default" w:ascii="Times New Roman" w:hAnsi="Times New Roman" w:cs="Times New Roman"/>
                <w:b/>
                <w:bCs/>
                <w:color w:val="auto"/>
                <w:sz w:val="24"/>
                <w:szCs w:val="24"/>
              </w:rPr>
              <w:t>图</w:t>
            </w:r>
          </w:p>
          <w:p w14:paraId="0918C563">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1</w:t>
            </w:r>
            <w:r>
              <w:rPr>
                <w:color w:val="auto"/>
              </w:rPr>
              <w:t xml:space="preserve"> </w:t>
            </w:r>
            <w:r>
              <w:rPr>
                <w:rFonts w:hint="eastAsia"/>
                <w:color w:val="auto"/>
              </w:rPr>
              <w:t xml:space="preserve"> </w:t>
            </w:r>
            <w:r>
              <w:rPr>
                <w:color w:val="auto"/>
              </w:rPr>
              <w:t>项目分区管控要求符合性分析表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81"/>
              <w:gridCol w:w="4665"/>
              <w:gridCol w:w="1171"/>
              <w:gridCol w:w="450"/>
            </w:tblGrid>
            <w:tr w14:paraId="4403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4A2824D3">
                  <w:pPr>
                    <w:adjustRightInd w:val="0"/>
                    <w:snapToGrid w:val="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属性</w:t>
                  </w:r>
                </w:p>
              </w:tc>
              <w:tc>
                <w:tcPr>
                  <w:tcW w:w="331" w:type="pct"/>
                  <w:noWrap w:val="0"/>
                  <w:vAlign w:val="center"/>
                </w:tcPr>
                <w:p w14:paraId="7B16A28A">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管控类别</w:t>
                  </w:r>
                </w:p>
              </w:tc>
              <w:tc>
                <w:tcPr>
                  <w:tcW w:w="3210" w:type="pct"/>
                  <w:noWrap w:val="0"/>
                  <w:vAlign w:val="center"/>
                </w:tcPr>
                <w:p w14:paraId="5BD5DFEB">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管控要求</w:t>
                  </w:r>
                </w:p>
              </w:tc>
              <w:tc>
                <w:tcPr>
                  <w:tcW w:w="805" w:type="pct"/>
                  <w:noWrap w:val="0"/>
                  <w:vAlign w:val="center"/>
                </w:tcPr>
                <w:p w14:paraId="766BFC2D">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本项目情况</w:t>
                  </w:r>
                </w:p>
              </w:tc>
              <w:tc>
                <w:tcPr>
                  <w:tcW w:w="309" w:type="pct"/>
                  <w:noWrap w:val="0"/>
                  <w:vAlign w:val="center"/>
                </w:tcPr>
                <w:p w14:paraId="7B08F74F">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符合情况</w:t>
                  </w:r>
                </w:p>
              </w:tc>
            </w:tr>
            <w:tr w14:paraId="0BD7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20C5B28">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生态保护红线总体管控要求</w:t>
                  </w:r>
                </w:p>
              </w:tc>
            </w:tr>
            <w:tr w14:paraId="53ED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2FCBEE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生态保护红线总体管控要求</w:t>
                  </w:r>
                </w:p>
              </w:tc>
              <w:tc>
                <w:tcPr>
                  <w:tcW w:w="331" w:type="pct"/>
                  <w:noWrap w:val="0"/>
                  <w:vAlign w:val="center"/>
                </w:tcPr>
                <w:p w14:paraId="5E14CB0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禁止建设开发活动</w:t>
                  </w:r>
                </w:p>
              </w:tc>
              <w:tc>
                <w:tcPr>
                  <w:tcW w:w="3210" w:type="pct"/>
                  <w:noWrap w:val="0"/>
                  <w:vAlign w:val="center"/>
                </w:tcPr>
                <w:p w14:paraId="40676EA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13"/>
                      <w:sz w:val="21"/>
                      <w:szCs w:val="21"/>
                    </w:rPr>
                    <w:t>生态保护红线内核心保护区原则上禁止人</w:t>
                  </w:r>
                  <w:r>
                    <w:rPr>
                      <w:rFonts w:hint="default" w:ascii="Times New Roman" w:hAnsi="Times New Roman" w:eastAsia="宋体" w:cs="Times New Roman"/>
                      <w:spacing w:val="10"/>
                      <w:sz w:val="21"/>
                      <w:szCs w:val="21"/>
                    </w:rPr>
                    <w:t>为活动，自然保护地核心保护区外，禁止</w:t>
                  </w:r>
                  <w:r>
                    <w:rPr>
                      <w:rFonts w:hint="default" w:ascii="Times New Roman" w:hAnsi="Times New Roman" w:eastAsia="宋体" w:cs="Times New Roman"/>
                      <w:spacing w:val="13"/>
                      <w:sz w:val="21"/>
                      <w:szCs w:val="21"/>
                    </w:rPr>
                    <w:t>开发性、生产性建设活动，在符合法律法规的前提下，仅允许以下对生态功能不造</w:t>
                  </w:r>
                  <w:r>
                    <w:rPr>
                      <w:rFonts w:hint="default" w:ascii="Times New Roman" w:hAnsi="Times New Roman" w:eastAsia="宋体" w:cs="Times New Roman"/>
                      <w:spacing w:val="9"/>
                      <w:sz w:val="21"/>
                      <w:szCs w:val="21"/>
                    </w:rPr>
                    <w:t>成破坏的有限人为活动。生态保护红线内</w:t>
                  </w:r>
                  <w:r>
                    <w:rPr>
                      <w:rFonts w:hint="default" w:ascii="Times New Roman" w:hAnsi="Times New Roman" w:eastAsia="宋体" w:cs="Times New Roman"/>
                      <w:spacing w:val="13"/>
                      <w:sz w:val="21"/>
                      <w:szCs w:val="21"/>
                    </w:rPr>
                    <w:t>自然保护区、风景名胜区、饮用水水源保</w:t>
                  </w:r>
                  <w:r>
                    <w:rPr>
                      <w:rFonts w:hint="default" w:ascii="Times New Roman" w:hAnsi="Times New Roman" w:eastAsia="宋体" w:cs="Times New Roman"/>
                      <w:spacing w:val="8"/>
                      <w:sz w:val="21"/>
                      <w:szCs w:val="21"/>
                    </w:rPr>
                    <w:t>护区等区域，依照法律法规执行。</w:t>
                  </w:r>
                </w:p>
              </w:tc>
              <w:tc>
                <w:tcPr>
                  <w:tcW w:w="805" w:type="pct"/>
                  <w:noWrap w:val="0"/>
                  <w:vAlign w:val="center"/>
                </w:tcPr>
                <w:p w14:paraId="488C5E0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lang w:eastAsia="zh-CN"/>
                    </w:rPr>
                    <w:t>本项目</w:t>
                  </w:r>
                  <w:r>
                    <w:rPr>
                      <w:rFonts w:hint="default" w:ascii="Times New Roman" w:hAnsi="Times New Roman" w:eastAsia="宋体" w:cs="Times New Roman"/>
                      <w:color w:val="auto"/>
                      <w:spacing w:val="8"/>
                      <w:sz w:val="21"/>
                      <w:szCs w:val="21"/>
                    </w:rPr>
                    <w:t>位于河北省廊坊市</w:t>
                  </w:r>
                  <w:r>
                    <w:rPr>
                      <w:rFonts w:hint="default" w:ascii="Times New Roman" w:hAnsi="Times New Roman" w:eastAsia="宋体" w:cs="Times New Roman"/>
                      <w:color w:val="auto"/>
                      <w:spacing w:val="8"/>
                      <w:sz w:val="21"/>
                      <w:szCs w:val="21"/>
                      <w:lang w:eastAsia="zh-CN"/>
                    </w:rPr>
                    <w:t>永清县</w:t>
                  </w:r>
                  <w:r>
                    <w:rPr>
                      <w:rFonts w:hint="eastAsia" w:ascii="Times New Roman" w:hAnsi="Times New Roman" w:eastAsia="宋体" w:cs="Times New Roman"/>
                      <w:color w:val="auto"/>
                      <w:spacing w:val="8"/>
                      <w:sz w:val="21"/>
                      <w:szCs w:val="21"/>
                      <w:lang w:eastAsia="zh-CN"/>
                    </w:rPr>
                    <w:t>别古庄镇北堼上村28号</w:t>
                  </w:r>
                  <w:r>
                    <w:rPr>
                      <w:rFonts w:hint="default" w:ascii="Times New Roman" w:hAnsi="Times New Roman" w:eastAsia="宋体" w:cs="Times New Roman"/>
                      <w:color w:val="auto"/>
                      <w:spacing w:val="8"/>
                      <w:sz w:val="21"/>
                      <w:szCs w:val="21"/>
                    </w:rPr>
                    <w:t>，</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9"/>
                      <w:sz w:val="21"/>
                      <w:szCs w:val="21"/>
                    </w:rPr>
                    <w:t>周边无自然</w:t>
                  </w:r>
                  <w:r>
                    <w:rPr>
                      <w:rFonts w:hint="default" w:ascii="Times New Roman" w:hAnsi="Times New Roman" w:eastAsia="宋体" w:cs="Times New Roman"/>
                      <w:color w:val="auto"/>
                      <w:spacing w:val="8"/>
                      <w:sz w:val="21"/>
                      <w:szCs w:val="21"/>
                    </w:rPr>
                    <w:t>保护区、饮用水源保护</w:t>
                  </w:r>
                  <w:r>
                    <w:rPr>
                      <w:rFonts w:hint="default" w:ascii="Times New Roman" w:hAnsi="Times New Roman" w:eastAsia="宋体" w:cs="Times New Roman"/>
                      <w:color w:val="auto"/>
                      <w:spacing w:val="7"/>
                      <w:sz w:val="21"/>
                      <w:szCs w:val="21"/>
                    </w:rPr>
                    <w:t>区等生态保护目标，不</w:t>
                  </w:r>
                  <w:r>
                    <w:rPr>
                      <w:rFonts w:hint="default" w:ascii="Times New Roman" w:hAnsi="Times New Roman" w:eastAsia="宋体" w:cs="Times New Roman"/>
                      <w:color w:val="auto"/>
                      <w:spacing w:val="8"/>
                      <w:sz w:val="21"/>
                      <w:szCs w:val="21"/>
                    </w:rPr>
                    <w:t>属于生态保护红线区</w:t>
                  </w:r>
                  <w:r>
                    <w:rPr>
                      <w:rFonts w:hint="default" w:ascii="Times New Roman" w:hAnsi="Times New Roman" w:eastAsia="宋体" w:cs="Times New Roman"/>
                      <w:color w:val="auto"/>
                      <w:sz w:val="21"/>
                      <w:szCs w:val="21"/>
                    </w:rPr>
                    <w:t>域。</w:t>
                  </w:r>
                </w:p>
              </w:tc>
              <w:tc>
                <w:tcPr>
                  <w:tcW w:w="309" w:type="pct"/>
                  <w:noWrap w:val="0"/>
                  <w:vAlign w:val="center"/>
                </w:tcPr>
                <w:p w14:paraId="7072855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268CD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724769D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一般生态空间总体管控要求</w:t>
                  </w:r>
                </w:p>
              </w:tc>
            </w:tr>
            <w:tr w14:paraId="711C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75A8AC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总体要求</w:t>
                  </w:r>
                </w:p>
              </w:tc>
              <w:tc>
                <w:tcPr>
                  <w:tcW w:w="331" w:type="pct"/>
                  <w:noWrap w:val="0"/>
                  <w:vAlign w:val="center"/>
                </w:tcPr>
                <w:p w14:paraId="127F723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禁止开发建设活动的要求</w:t>
                  </w:r>
                </w:p>
              </w:tc>
              <w:tc>
                <w:tcPr>
                  <w:tcW w:w="3210" w:type="pct"/>
                  <w:noWrap w:val="0"/>
                  <w:vAlign w:val="center"/>
                </w:tcPr>
                <w:p w14:paraId="0ED48892">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1.应当按照限制性开发管理要求，形成点状</w:t>
                  </w:r>
                  <w:r>
                    <w:rPr>
                      <w:rFonts w:hint="default" w:ascii="Times New Roman" w:hAnsi="Times New Roman" w:eastAsia="宋体" w:cs="Times New Roman"/>
                      <w:spacing w:val="5"/>
                      <w:sz w:val="21"/>
                      <w:szCs w:val="21"/>
                    </w:rPr>
                    <w:t>开发、面上保护的空间结构，开发强度得</w:t>
                  </w:r>
                  <w:r>
                    <w:rPr>
                      <w:rFonts w:hint="default" w:ascii="Times New Roman" w:hAnsi="Times New Roman" w:eastAsia="宋体" w:cs="Times New Roman"/>
                      <w:spacing w:val="4"/>
                      <w:sz w:val="21"/>
                      <w:szCs w:val="21"/>
                    </w:rPr>
                    <w:t>到有效控制，限制进行大规模高强度工业</w:t>
                  </w:r>
                  <w:r>
                    <w:rPr>
                      <w:rFonts w:hint="default" w:ascii="Times New Roman" w:hAnsi="Times New Roman" w:eastAsia="宋体" w:cs="Times New Roman"/>
                      <w:spacing w:val="5"/>
                      <w:sz w:val="21"/>
                      <w:szCs w:val="21"/>
                    </w:rPr>
                    <w:t>化城镇化开发，保持并提高生态产品供给能力，保有大片开敞生态空间，水面、湿地、林地、草地等绿色生态空间扩大，人</w:t>
                  </w:r>
                  <w:r>
                    <w:rPr>
                      <w:rFonts w:hint="default" w:ascii="Times New Roman" w:hAnsi="Times New Roman" w:eastAsia="宋体" w:cs="Times New Roman"/>
                      <w:spacing w:val="2"/>
                      <w:sz w:val="21"/>
                      <w:szCs w:val="21"/>
                    </w:rPr>
                    <w:t>类活动占用的空间控制在目前水平。2、根据生态功能保护区的资源禀赋、环境容量，合理确定区域产业发展方向，限制高污染、</w:t>
                  </w:r>
                  <w:r>
                    <w:rPr>
                      <w:rFonts w:hint="default" w:ascii="Times New Roman" w:hAnsi="Times New Roman" w:eastAsia="宋体" w:cs="Times New Roman"/>
                      <w:spacing w:val="5"/>
                      <w:sz w:val="21"/>
                      <w:szCs w:val="21"/>
                    </w:rPr>
                    <w:t>高能耗、高物耗产业的发展。要依法淘汰严重污染环境、严重破坏区域生态、严重</w:t>
                  </w:r>
                  <w:r>
                    <w:rPr>
                      <w:rFonts w:hint="default" w:ascii="Times New Roman" w:hAnsi="Times New Roman" w:eastAsia="宋体" w:cs="Times New Roman"/>
                      <w:spacing w:val="4"/>
                      <w:sz w:val="21"/>
                      <w:szCs w:val="21"/>
                    </w:rPr>
                    <w:t>浪费资源能源的产业，要依法关闭破坏资</w:t>
                  </w:r>
                  <w:r>
                    <w:rPr>
                      <w:rFonts w:hint="default" w:ascii="Times New Roman" w:hAnsi="Times New Roman" w:eastAsia="宋体" w:cs="Times New Roman"/>
                      <w:spacing w:val="2"/>
                      <w:sz w:val="21"/>
                      <w:szCs w:val="21"/>
                    </w:rPr>
                    <w:t>源、污染环境和损害生态系统功能的企业。3、区域内要严格开发区管理，原则上不再</w:t>
                  </w:r>
                  <w:r>
                    <w:rPr>
                      <w:rFonts w:hint="default" w:ascii="Times New Roman" w:hAnsi="Times New Roman" w:eastAsia="宋体" w:cs="Times New Roman"/>
                      <w:spacing w:val="5"/>
                      <w:sz w:val="21"/>
                      <w:szCs w:val="21"/>
                    </w:rPr>
                    <w:t>新建各类开发区和扩大现有工业开发区的</w:t>
                  </w:r>
                  <w:r>
                    <w:rPr>
                      <w:rFonts w:hint="default" w:ascii="Times New Roman" w:hAnsi="Times New Roman" w:eastAsia="宋体" w:cs="Times New Roman"/>
                      <w:spacing w:val="1"/>
                      <w:sz w:val="21"/>
                      <w:szCs w:val="21"/>
                    </w:rPr>
                    <w:t>面积。</w:t>
                  </w:r>
                </w:p>
              </w:tc>
              <w:tc>
                <w:tcPr>
                  <w:tcW w:w="805" w:type="pct"/>
                  <w:noWrap w:val="0"/>
                  <w:vAlign w:val="center"/>
                </w:tcPr>
                <w:p w14:paraId="3956E1C3">
                  <w:pPr>
                    <w:adjustRightInd w:val="0"/>
                    <w:snapToGrid w:val="0"/>
                    <w:jc w:val="center"/>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本项目不属于“高污染、高能耗、高物耗”的项目；</w:t>
                  </w:r>
                  <w:r>
                    <w:rPr>
                      <w:rFonts w:hint="eastAsia" w:ascii="Times New Roman" w:hAnsi="Times New Roman" w:eastAsia="宋体" w:cs="Times New Roman"/>
                      <w:spacing w:val="5"/>
                      <w:sz w:val="21"/>
                      <w:szCs w:val="21"/>
                      <w:lang w:eastAsia="zh-CN"/>
                    </w:rPr>
                    <w:t>本项目</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8"/>
                      <w:sz w:val="21"/>
                      <w:szCs w:val="21"/>
                      <w:lang w:eastAsia="zh-CN"/>
                    </w:rPr>
                    <w:t>。</w:t>
                  </w:r>
                  <w:r>
                    <w:rPr>
                      <w:rFonts w:hint="default" w:ascii="Times New Roman" w:hAnsi="Times New Roman" w:eastAsia="宋体" w:cs="Times New Roman"/>
                      <w:spacing w:val="5"/>
                      <w:sz w:val="21"/>
                      <w:szCs w:val="21"/>
                    </w:rPr>
                    <w:t>不涉及扩大现有工业开发区面积。</w:t>
                  </w:r>
                </w:p>
              </w:tc>
              <w:tc>
                <w:tcPr>
                  <w:tcW w:w="309" w:type="pct"/>
                  <w:noWrap w:val="0"/>
                  <w:vAlign w:val="center"/>
                </w:tcPr>
                <w:p w14:paraId="2EC28E9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52C5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3E7A0CE">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地表水环境总体管控要求</w:t>
                  </w:r>
                </w:p>
              </w:tc>
            </w:tr>
            <w:tr w14:paraId="28995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66396CF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空间布局约</w:t>
                  </w:r>
                  <w:r>
                    <w:rPr>
                      <w:rFonts w:hint="default" w:ascii="Times New Roman" w:hAnsi="Times New Roman" w:eastAsia="宋体" w:cs="Times New Roman"/>
                      <w:sz w:val="21"/>
                      <w:szCs w:val="21"/>
                    </w:rPr>
                    <w:t>束</w:t>
                  </w:r>
                </w:p>
              </w:tc>
              <w:tc>
                <w:tcPr>
                  <w:tcW w:w="3210" w:type="pct"/>
                  <w:noWrap w:val="0"/>
                  <w:vAlign w:val="center"/>
                </w:tcPr>
                <w:p w14:paraId="3598922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1.禁止侵占自然湿地等水源涵养生态空</w:t>
                  </w:r>
                  <w:r>
                    <w:rPr>
                      <w:rFonts w:hint="default" w:ascii="Times New Roman" w:hAnsi="Times New Roman" w:eastAsia="宋体" w:cs="Times New Roman"/>
                      <w:color w:val="auto"/>
                      <w:spacing w:val="9"/>
                      <w:sz w:val="21"/>
                      <w:szCs w:val="21"/>
                    </w:rPr>
                    <w:t>间，已侵占的全部予以恢复。强化生态保</w:t>
                  </w:r>
                  <w:r>
                    <w:rPr>
                      <w:rFonts w:hint="default" w:ascii="Times New Roman" w:hAnsi="Times New Roman" w:eastAsia="宋体" w:cs="Times New Roman"/>
                      <w:color w:val="auto"/>
                      <w:spacing w:val="6"/>
                      <w:sz w:val="21"/>
                      <w:szCs w:val="21"/>
                    </w:rPr>
                    <w:t>护红线刚性约束，生态保护红线内，自然</w:t>
                  </w:r>
                  <w:r>
                    <w:rPr>
                      <w:rFonts w:hint="default" w:ascii="Times New Roman" w:hAnsi="Times New Roman" w:eastAsia="宋体" w:cs="Times New Roman"/>
                      <w:color w:val="auto"/>
                      <w:spacing w:val="8"/>
                      <w:sz w:val="21"/>
                      <w:szCs w:val="21"/>
                    </w:rPr>
                    <w:t>保护地核心保护区原则上禁止人为活动，</w:t>
                  </w:r>
                  <w:r>
                    <w:rPr>
                      <w:rFonts w:hint="default" w:ascii="Times New Roman" w:hAnsi="Times New Roman" w:eastAsia="宋体" w:cs="Times New Roman"/>
                      <w:color w:val="auto"/>
                      <w:spacing w:val="5"/>
                      <w:sz w:val="21"/>
                      <w:szCs w:val="21"/>
                    </w:rPr>
                    <w:t>其他区域严格禁止开发性、生产性建设活动，在符合现行法律法规前提下，除国家重大战略项目外，仅允许对生态功能不造</w:t>
                  </w:r>
                  <w:r>
                    <w:rPr>
                      <w:rFonts w:hint="default" w:ascii="Times New Roman" w:hAnsi="Times New Roman" w:eastAsia="宋体" w:cs="Times New Roman"/>
                      <w:color w:val="auto"/>
                      <w:spacing w:val="2"/>
                      <w:sz w:val="21"/>
                      <w:szCs w:val="21"/>
                    </w:rPr>
                    <w:t>成破坏的有限人为活动。优先划定潮白河、</w:t>
                  </w:r>
                  <w:r>
                    <w:rPr>
                      <w:rFonts w:hint="default" w:ascii="Times New Roman" w:hAnsi="Times New Roman" w:eastAsia="宋体" w:cs="Times New Roman"/>
                      <w:color w:val="auto"/>
                      <w:spacing w:val="5"/>
                      <w:sz w:val="21"/>
                      <w:szCs w:val="21"/>
                    </w:rPr>
                    <w:t>大清河、北运河等重要水体生态缓冲带。</w:t>
                  </w:r>
                </w:p>
                <w:p w14:paraId="0D172A6D">
                  <w:pPr>
                    <w:pStyle w:val="164"/>
                    <w:jc w:val="center"/>
                    <w:rPr>
                      <w:rFonts w:hint="default" w:ascii="Times New Roman" w:hAnsi="Times New Roman" w:eastAsia="宋体" w:cs="Times New Roman"/>
                      <w:color w:val="auto"/>
                      <w:spacing w:val="9"/>
                      <w:sz w:val="21"/>
                      <w:szCs w:val="21"/>
                      <w:lang w:eastAsia="zh-CN"/>
                    </w:rPr>
                  </w:pPr>
                  <w:r>
                    <w:rPr>
                      <w:rFonts w:hint="default" w:ascii="Times New Roman" w:hAnsi="Times New Roman" w:eastAsia="宋体" w:cs="Times New Roman"/>
                      <w:color w:val="auto"/>
                      <w:spacing w:val="4"/>
                      <w:sz w:val="21"/>
                      <w:szCs w:val="21"/>
                    </w:rPr>
                    <w:t>2.实行湿地面积总量管控，禁止侵占自然</w:t>
                  </w:r>
                  <w:r>
                    <w:rPr>
                      <w:rFonts w:hint="default" w:ascii="Times New Roman" w:hAnsi="Times New Roman" w:eastAsia="宋体" w:cs="Times New Roman"/>
                      <w:color w:val="auto"/>
                      <w:spacing w:val="6"/>
                      <w:sz w:val="21"/>
                      <w:szCs w:val="21"/>
                    </w:rPr>
                    <w:t>湿地等水源涵养生态空间，对开发活动侵</w:t>
                  </w:r>
                  <w:r>
                    <w:rPr>
                      <w:rFonts w:hint="default" w:ascii="Times New Roman" w:hAnsi="Times New Roman" w:eastAsia="宋体" w:cs="Times New Roman"/>
                      <w:color w:val="auto"/>
                      <w:spacing w:val="3"/>
                      <w:sz w:val="21"/>
                      <w:szCs w:val="21"/>
                    </w:rPr>
                    <w:t>占湿地面积</w:t>
                  </w:r>
                  <w:r>
                    <w:rPr>
                      <w:rFonts w:hint="default" w:ascii="Times New Roman" w:hAnsi="Times New Roman" w:eastAsia="宋体" w:cs="Times New Roman"/>
                      <w:color w:val="auto"/>
                      <w:spacing w:val="9"/>
                      <w:sz w:val="21"/>
                      <w:szCs w:val="21"/>
                    </w:rPr>
                    <w:t>的，严格按照“占补平衡”原则</w:t>
                  </w:r>
                  <w:r>
                    <w:rPr>
                      <w:rFonts w:hint="default" w:ascii="Times New Roman" w:hAnsi="Times New Roman" w:eastAsia="宋体" w:cs="Times New Roman"/>
                      <w:color w:val="auto"/>
                      <w:spacing w:val="9"/>
                      <w:sz w:val="21"/>
                      <w:szCs w:val="21"/>
                      <w:lang w:eastAsia="zh-CN"/>
                    </w:rPr>
                    <w:t>。</w:t>
                  </w:r>
                </w:p>
                <w:p w14:paraId="63155049">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9"/>
                      <w:sz w:val="21"/>
                      <w:szCs w:val="21"/>
                    </w:rPr>
                    <w:t>确保湿地面积不减少。</w:t>
                  </w:r>
                  <w:r>
                    <w:rPr>
                      <w:rFonts w:hint="default" w:ascii="Times New Roman" w:hAnsi="Times New Roman" w:eastAsia="宋体" w:cs="Times New Roman"/>
                      <w:color w:val="auto"/>
                      <w:spacing w:val="9"/>
                      <w:sz w:val="21"/>
                      <w:szCs w:val="21"/>
                      <w:lang w:val="en-US" w:eastAsia="zh-CN"/>
                    </w:rPr>
                    <w:t>3.</w:t>
                  </w:r>
                  <w:r>
                    <w:rPr>
                      <w:rFonts w:hint="default" w:ascii="Times New Roman" w:hAnsi="Times New Roman" w:eastAsia="宋体" w:cs="Times New Roman"/>
                      <w:color w:val="auto"/>
                      <w:spacing w:val="9"/>
                      <w:sz w:val="21"/>
                      <w:szCs w:val="21"/>
                    </w:rPr>
                    <w:t>泃河、鲍邱河、潮白河、北运河、龙河、永定河、大清河、子牙河等重点河流和市区水系沿岸严格控制化学原料和化学制品制造、医药制造、制革、造纸、化学纤维制造、石油加工、纺织印染等项目环境风险。根据重要水体环境承载能力，实施差别化环境准入政策，因地制宜制定禁止和限制发展产业目录，强化准入管理和底线约束。大清河、子牙河流域地下水超采区限制高耗水行业准入。严格落实《关于加快河北省环首都经济圈产业发展的实施意见》，重大项目原则上布局在优化开发区和重点开发区。</w:t>
                  </w:r>
                  <w:r>
                    <w:rPr>
                      <w:rFonts w:hint="default" w:ascii="Times New Roman" w:hAnsi="Times New Roman" w:eastAsia="宋体" w:cs="Times New Roman"/>
                      <w:color w:val="auto"/>
                      <w:spacing w:val="9"/>
                      <w:sz w:val="21"/>
                      <w:szCs w:val="21"/>
                      <w:lang w:val="en-US" w:eastAsia="zh-CN"/>
                    </w:rPr>
                    <w:t>4.</w:t>
                  </w:r>
                  <w:r>
                    <w:rPr>
                      <w:rFonts w:hint="default" w:ascii="Times New Roman" w:hAnsi="Times New Roman" w:eastAsia="宋体" w:cs="Times New Roman"/>
                      <w:color w:val="auto"/>
                      <w:spacing w:val="9"/>
                      <w:sz w:val="21"/>
                      <w:szCs w:val="21"/>
                    </w:rPr>
                    <w:t>大运河岸线1000米滨河生态空间内，严格落实管控要求，严禁不符合主体功能定位的各类开发活动，严禁任意改变用途。大运河岸线2000米核心监控区范围内严禁占用生态空间新建高风险、高污染、高耗水产业和不利于生态环境保护的工矿企业，核心监控区纳入国土空间规划及相关规划，有效控制不符合规划要求的建设项目。</w:t>
                  </w:r>
                  <w:r>
                    <w:rPr>
                      <w:rFonts w:hint="default" w:ascii="Times New Roman" w:hAnsi="Times New Roman" w:eastAsia="宋体" w:cs="Times New Roman"/>
                      <w:color w:val="auto"/>
                      <w:spacing w:val="9"/>
                      <w:sz w:val="21"/>
                      <w:szCs w:val="21"/>
                      <w:lang w:val="en-US" w:eastAsia="zh-CN"/>
                    </w:rPr>
                    <w:t>5</w:t>
                  </w:r>
                  <w:r>
                    <w:rPr>
                      <w:rFonts w:hint="default" w:ascii="Times New Roman" w:hAnsi="Times New Roman" w:eastAsia="宋体" w:cs="Times New Roman"/>
                      <w:color w:val="auto"/>
                      <w:spacing w:val="9"/>
                      <w:sz w:val="21"/>
                      <w:szCs w:val="21"/>
                    </w:rPr>
                    <w:t>.北运河、大清河两侧宜绿化地段各建设宽100米以上的廊道景观林带，科学绿化，打造生态景观长廊</w:t>
                  </w:r>
                  <w:r>
                    <w:rPr>
                      <w:rFonts w:hint="default" w:ascii="Times New Roman" w:hAnsi="Times New Roman" w:eastAsia="宋体" w:cs="Times New Roman"/>
                      <w:color w:val="auto"/>
                      <w:spacing w:val="7"/>
                      <w:sz w:val="21"/>
                      <w:szCs w:val="21"/>
                    </w:rPr>
                    <w:t>。</w:t>
                  </w:r>
                </w:p>
              </w:tc>
              <w:tc>
                <w:tcPr>
                  <w:tcW w:w="805" w:type="pct"/>
                  <w:noWrap w:val="0"/>
                  <w:vAlign w:val="center"/>
                </w:tcPr>
                <w:p w14:paraId="7319D03D">
                  <w:pPr>
                    <w:pStyle w:val="164"/>
                    <w:jc w:val="center"/>
                    <w:rPr>
                      <w:rFonts w:hint="default" w:ascii="Times New Roman" w:hAnsi="Times New Roman" w:eastAsia="宋体" w:cs="Times New Roman"/>
                      <w:color w:val="auto"/>
                      <w:sz w:val="21"/>
                      <w:szCs w:val="21"/>
                    </w:rPr>
                  </w:pPr>
                  <w:r>
                    <w:rPr>
                      <w:rFonts w:ascii="Times New Roman" w:hAnsi="Times New Roman" w:cs="Times New Roman"/>
                      <w:color w:val="auto"/>
                      <w:spacing w:val="8"/>
                      <w:sz w:val="21"/>
                      <w:szCs w:val="21"/>
                    </w:rPr>
                    <w:t>本项目利用厂区现有厂房进行建设，</w:t>
                  </w:r>
                  <w:r>
                    <w:rPr>
                      <w:rFonts w:hint="default" w:ascii="Times New Roman" w:hAnsi="Times New Roman" w:eastAsia="宋体" w:cs="Times New Roman"/>
                      <w:color w:val="auto"/>
                      <w:sz w:val="21"/>
                      <w:szCs w:val="21"/>
                    </w:rPr>
                    <w:t>不</w:t>
                  </w:r>
                  <w:r>
                    <w:rPr>
                      <w:rFonts w:hint="default" w:ascii="Times New Roman" w:hAnsi="Times New Roman" w:eastAsia="宋体" w:cs="Times New Roman"/>
                      <w:color w:val="auto"/>
                      <w:sz w:val="21"/>
                      <w:szCs w:val="21"/>
                      <w:lang w:val="en-US" w:eastAsia="zh-CN"/>
                    </w:rPr>
                    <w:t>侵占自然湿地等水源涵养生态空间，本项目行业为</w:t>
                  </w:r>
                  <w:r>
                    <w:rPr>
                      <w:rFonts w:hint="eastAsia" w:ascii="Times New Roman" w:hAnsi="Times New Roman" w:eastAsia="宋体" w:cs="Times New Roman"/>
                      <w:color w:val="auto"/>
                      <w:sz w:val="21"/>
                      <w:szCs w:val="21"/>
                      <w:lang w:val="en-US" w:eastAsia="zh-CN"/>
                    </w:rPr>
                    <w:t>日用塑料制品制造</w:t>
                  </w:r>
                  <w:r>
                    <w:rPr>
                      <w:rFonts w:hint="default" w:ascii="Times New Roman" w:hAnsi="Times New Roman" w:eastAsia="宋体" w:cs="Times New Roman"/>
                      <w:color w:val="auto"/>
                      <w:sz w:val="21"/>
                      <w:szCs w:val="21"/>
                      <w:lang w:val="en-US" w:eastAsia="zh-CN"/>
                    </w:rPr>
                    <w:t>，不属于高风险、高污染、高耗水产业和不利于生态环境保护的工矿企业</w:t>
                  </w:r>
                  <w:r>
                    <w:rPr>
                      <w:rFonts w:hint="default" w:ascii="Times New Roman" w:hAnsi="Times New Roman" w:eastAsia="宋体" w:cs="Times New Roman"/>
                      <w:color w:val="auto"/>
                      <w:sz w:val="21"/>
                      <w:szCs w:val="21"/>
                    </w:rPr>
                    <w:t>。</w:t>
                  </w:r>
                </w:p>
              </w:tc>
              <w:tc>
                <w:tcPr>
                  <w:tcW w:w="309" w:type="pct"/>
                  <w:noWrap w:val="0"/>
                  <w:vAlign w:val="center"/>
                </w:tcPr>
                <w:p w14:paraId="0B8D8DB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57DF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2A8AD089">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污染物排放管控</w:t>
                  </w:r>
                </w:p>
              </w:tc>
              <w:tc>
                <w:tcPr>
                  <w:tcW w:w="331" w:type="pct"/>
                  <w:noWrap w:val="0"/>
                  <w:vAlign w:val="center"/>
                </w:tcPr>
                <w:p w14:paraId="4D6DDC7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工业源</w:t>
                  </w:r>
                </w:p>
              </w:tc>
              <w:tc>
                <w:tcPr>
                  <w:tcW w:w="3210" w:type="pct"/>
                  <w:noWrap w:val="0"/>
                  <w:vAlign w:val="center"/>
                </w:tcPr>
                <w:p w14:paraId="12DAA2C4">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3"/>
                      <w:sz w:val="21"/>
                      <w:szCs w:val="21"/>
                    </w:rPr>
                    <w:t>1.新建、改建、扩建重点行业建设项目实行</w:t>
                  </w:r>
                  <w:r>
                    <w:rPr>
                      <w:rFonts w:hint="default" w:ascii="Times New Roman" w:hAnsi="Times New Roman" w:eastAsia="宋体" w:cs="Times New Roman"/>
                      <w:color w:val="auto"/>
                      <w:spacing w:val="4"/>
                      <w:sz w:val="21"/>
                      <w:szCs w:val="21"/>
                    </w:rPr>
                    <w:t>主要污染物排放等量或倍量置换。2.全面推</w:t>
                  </w:r>
                  <w:r>
                    <w:rPr>
                      <w:rFonts w:hint="default" w:ascii="Times New Roman" w:hAnsi="Times New Roman" w:eastAsia="宋体" w:cs="Times New Roman"/>
                      <w:color w:val="auto"/>
                      <w:spacing w:val="9"/>
                      <w:sz w:val="21"/>
                      <w:szCs w:val="21"/>
                    </w:rPr>
                    <w:t>行清洁生产审核，对超标、超总量排污和</w:t>
                  </w:r>
                  <w:r>
                    <w:rPr>
                      <w:rFonts w:hint="default" w:ascii="Times New Roman" w:hAnsi="Times New Roman" w:eastAsia="宋体" w:cs="Times New Roman"/>
                      <w:color w:val="auto"/>
                      <w:spacing w:val="-4"/>
                      <w:sz w:val="21"/>
                      <w:szCs w:val="21"/>
                    </w:rPr>
                    <w:t>使用、排放有毒有害物质、高能耗企业（即</w:t>
                  </w:r>
                  <w:r>
                    <w:rPr>
                      <w:rFonts w:hint="default" w:ascii="Times New Roman" w:hAnsi="Times New Roman" w:eastAsia="宋体" w:cs="Times New Roman"/>
                      <w:color w:val="auto"/>
                      <w:spacing w:val="5"/>
                      <w:sz w:val="21"/>
                      <w:szCs w:val="21"/>
                    </w:rPr>
                    <w:t>“双超双有高耗能”）的企业实施强制性清</w:t>
                  </w:r>
                  <w:r>
                    <w:rPr>
                      <w:rFonts w:hint="default" w:ascii="Times New Roman" w:hAnsi="Times New Roman" w:eastAsia="宋体" w:cs="Times New Roman"/>
                      <w:color w:val="auto"/>
                      <w:spacing w:val="1"/>
                      <w:sz w:val="21"/>
                      <w:szCs w:val="21"/>
                    </w:rPr>
                    <w:t>洁生产审核。3.严格限制高风险化学品生产</w:t>
                  </w:r>
                  <w:r>
                    <w:rPr>
                      <w:rFonts w:hint="default" w:ascii="Times New Roman" w:hAnsi="Times New Roman" w:eastAsia="宋体" w:cs="Times New Roman"/>
                      <w:color w:val="auto"/>
                      <w:spacing w:val="5"/>
                      <w:sz w:val="21"/>
                      <w:szCs w:val="21"/>
                    </w:rPr>
                    <w:t>使用，并逐步淘汰或替代。4.严格执行子</w:t>
                  </w:r>
                  <w:r>
                    <w:rPr>
                      <w:rFonts w:hint="default" w:ascii="Times New Roman" w:hAnsi="Times New Roman" w:eastAsia="宋体" w:cs="Times New Roman"/>
                      <w:color w:val="auto"/>
                      <w:spacing w:val="2"/>
                      <w:sz w:val="21"/>
                      <w:szCs w:val="21"/>
                    </w:rPr>
                    <w:t>牙河、大清河流域水污染物特别排放限值。</w:t>
                  </w:r>
                  <w:r>
                    <w:rPr>
                      <w:rFonts w:hint="default" w:ascii="Times New Roman" w:hAnsi="Times New Roman" w:eastAsia="宋体" w:cs="Times New Roman"/>
                      <w:color w:val="auto"/>
                      <w:spacing w:val="6"/>
                      <w:sz w:val="21"/>
                      <w:szCs w:val="21"/>
                    </w:rPr>
                    <w:t>所有废水直排企业一律执行行业排放标准</w:t>
                  </w:r>
                  <w:r>
                    <w:rPr>
                      <w:rFonts w:hint="default" w:ascii="Times New Roman" w:hAnsi="Times New Roman" w:eastAsia="宋体" w:cs="Times New Roman"/>
                      <w:color w:val="auto"/>
                      <w:spacing w:val="4"/>
                      <w:sz w:val="21"/>
                      <w:szCs w:val="21"/>
                    </w:rPr>
                    <w:t>水污染物特别排放限值；没有行业标准或</w:t>
                  </w:r>
                  <w:r>
                    <w:rPr>
                      <w:rFonts w:hint="default" w:ascii="Times New Roman" w:hAnsi="Times New Roman" w:eastAsia="宋体" w:cs="Times New Roman"/>
                      <w:color w:val="auto"/>
                      <w:spacing w:val="6"/>
                      <w:sz w:val="21"/>
                      <w:szCs w:val="21"/>
                    </w:rPr>
                    <w:t>行业标准中没有水污染物排放特别限值</w:t>
                  </w:r>
                  <w:r>
                    <w:rPr>
                      <w:rFonts w:hint="default" w:ascii="Times New Roman" w:hAnsi="Times New Roman" w:eastAsia="宋体" w:cs="Times New Roman"/>
                      <w:color w:val="auto"/>
                      <w:spacing w:val="8"/>
                      <w:sz w:val="21"/>
                      <w:szCs w:val="21"/>
                    </w:rPr>
                    <w:t>的，一律执行《城镇污水处理厂污染物排</w:t>
                  </w:r>
                  <w:r>
                    <w:rPr>
                      <w:rFonts w:hint="default" w:ascii="Times New Roman" w:hAnsi="Times New Roman" w:eastAsia="宋体" w:cs="Times New Roman"/>
                      <w:color w:val="auto"/>
                      <w:spacing w:val="5"/>
                      <w:sz w:val="21"/>
                      <w:szCs w:val="21"/>
                    </w:rPr>
                    <w:t>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5"/>
                      <w:sz w:val="21"/>
                      <w:szCs w:val="21"/>
                    </w:rPr>
                    <w:t>18918）一级A标准；行业</w:t>
                  </w:r>
                  <w:r>
                    <w:rPr>
                      <w:rFonts w:hint="default" w:ascii="Times New Roman" w:hAnsi="Times New Roman" w:eastAsia="宋体" w:cs="Times New Roman"/>
                      <w:color w:val="auto"/>
                      <w:spacing w:val="9"/>
                      <w:sz w:val="21"/>
                      <w:szCs w:val="21"/>
                    </w:rPr>
                    <w:t>标准中水污染物特别排放限值比《城镇污</w:t>
                  </w:r>
                  <w:r>
                    <w:rPr>
                      <w:rFonts w:hint="default" w:ascii="Times New Roman" w:hAnsi="Times New Roman" w:eastAsia="宋体" w:cs="Times New Roman"/>
                      <w:color w:val="auto"/>
                      <w:spacing w:val="8"/>
                      <w:sz w:val="21"/>
                      <w:szCs w:val="21"/>
                    </w:rPr>
                    <w:t>水处理厂污染物排放标准》（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8"/>
                      <w:sz w:val="21"/>
                      <w:szCs w:val="21"/>
                    </w:rPr>
                    <w:t>18918）一级A标准中相应控制因子宽松的，执行《城镇污水处理厂污染物排放标准》</w:t>
                  </w:r>
                  <w:r>
                    <w:rPr>
                      <w:rFonts w:hint="default" w:ascii="Times New Roman" w:hAnsi="Times New Roman" w:eastAsia="宋体" w:cs="Times New Roman"/>
                      <w:color w:val="auto"/>
                      <w:spacing w:val="7"/>
                      <w:sz w:val="21"/>
                      <w:szCs w:val="21"/>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7"/>
                      <w:sz w:val="21"/>
                      <w:szCs w:val="21"/>
                    </w:rPr>
                    <w:t>18918）一级A标准。5.推进园区外</w:t>
                  </w:r>
                  <w:r>
                    <w:rPr>
                      <w:rFonts w:hint="default" w:ascii="Times New Roman" w:hAnsi="Times New Roman" w:eastAsia="宋体" w:cs="Times New Roman"/>
                      <w:color w:val="auto"/>
                      <w:spacing w:val="9"/>
                      <w:sz w:val="21"/>
                      <w:szCs w:val="21"/>
                    </w:rPr>
                    <w:t>涉水工业企业向工业集聚区集中，对不具备入园条件需要原地保留的涉水工业企</w:t>
                  </w:r>
                  <w:r>
                    <w:rPr>
                      <w:rFonts w:hint="default" w:ascii="Times New Roman" w:hAnsi="Times New Roman" w:eastAsia="宋体" w:cs="Times New Roman"/>
                      <w:color w:val="auto"/>
                      <w:spacing w:val="7"/>
                      <w:sz w:val="21"/>
                      <w:szCs w:val="21"/>
                    </w:rPr>
                    <w:t>业，实施深度治理，执行最严格的排放标</w:t>
                  </w:r>
                  <w:r>
                    <w:rPr>
                      <w:rFonts w:hint="default" w:ascii="Times New Roman" w:hAnsi="Times New Roman" w:eastAsia="宋体" w:cs="Times New Roman"/>
                      <w:color w:val="auto"/>
                      <w:spacing w:val="8"/>
                      <w:sz w:val="21"/>
                      <w:szCs w:val="21"/>
                    </w:rPr>
                    <w:t>准，否则一律予以关停。6.加强重点行业项目建设审批管理，对园区外新建造纸、</w:t>
                  </w:r>
                  <w:r>
                    <w:rPr>
                      <w:rFonts w:hint="default" w:ascii="Times New Roman" w:hAnsi="Times New Roman" w:eastAsia="宋体" w:cs="Times New Roman"/>
                      <w:color w:val="auto"/>
                      <w:spacing w:val="9"/>
                      <w:sz w:val="21"/>
                      <w:szCs w:val="21"/>
                    </w:rPr>
                    <w:t>金属制品、食品、危废、化工及涉及重金属等行业涉水工业项目原则上不予审批。</w:t>
                  </w:r>
                  <w:r>
                    <w:rPr>
                      <w:rFonts w:hint="default" w:ascii="Times New Roman" w:hAnsi="Times New Roman" w:eastAsia="宋体" w:cs="Times New Roman"/>
                      <w:color w:val="auto"/>
                      <w:spacing w:val="8"/>
                      <w:sz w:val="21"/>
                      <w:szCs w:val="21"/>
                    </w:rPr>
                    <w:t>7.全面推行企业排污许可“一证式”管理和</w:t>
                  </w:r>
                  <w:r>
                    <w:rPr>
                      <w:rFonts w:hint="default" w:ascii="Times New Roman" w:hAnsi="Times New Roman" w:eastAsia="宋体" w:cs="Times New Roman"/>
                      <w:color w:val="auto"/>
                      <w:spacing w:val="9"/>
                      <w:sz w:val="21"/>
                      <w:szCs w:val="21"/>
                    </w:rPr>
                    <w:t>证后执法监管，实行排污总量和浓度双达标控制，落实排污单位主体责任。强化重点企业水污染排放监管，确保工业废水达标排放。实施差别化限期治理和工业废水深度处理工程，对电镀、化工、造纸、原料药制造等涉水企业进行清洁化改造，加强对排放重金属、产生危废企业的废水排放监管和在线监测。加大现有工业园区整治力度，组织开展园区环境问题排查。严格控制依托城镇生活污水处理厂处理工业废水的入水标准，确保污水厂出水稳定达</w:t>
                  </w:r>
                  <w:r>
                    <w:rPr>
                      <w:rFonts w:hint="default" w:ascii="Times New Roman" w:hAnsi="Times New Roman" w:eastAsia="宋体" w:cs="Times New Roman"/>
                      <w:color w:val="auto"/>
                      <w:sz w:val="21"/>
                      <w:szCs w:val="21"/>
                    </w:rPr>
                    <w:t>标。</w:t>
                  </w:r>
                </w:p>
              </w:tc>
              <w:tc>
                <w:tcPr>
                  <w:tcW w:w="805" w:type="pct"/>
                  <w:noWrap w:val="0"/>
                  <w:vAlign w:val="center"/>
                </w:tcPr>
                <w:p w14:paraId="509F60C7">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本项目</w:t>
                  </w:r>
                  <w:r>
                    <w:rPr>
                      <w:rFonts w:hint="eastAsia" w:ascii="Times New Roman" w:hAnsi="Times New Roman" w:eastAsia="宋体" w:cs="Times New Roman"/>
                      <w:color w:val="auto"/>
                      <w:sz w:val="21"/>
                      <w:szCs w:val="21"/>
                      <w:lang w:eastAsia="zh-CN"/>
                    </w:rPr>
                    <w:t>不</w:t>
                  </w:r>
                  <w:r>
                    <w:rPr>
                      <w:rFonts w:hint="default" w:ascii="Times New Roman" w:hAnsi="Times New Roman" w:eastAsia="宋体" w:cs="Times New Roman"/>
                      <w:color w:val="auto"/>
                      <w:sz w:val="21"/>
                      <w:szCs w:val="21"/>
                      <w:lang w:eastAsia="zh-CN"/>
                    </w:rPr>
                    <w:t>新增主要污染物排放。本项目不属于</w:t>
                  </w:r>
                  <w:r>
                    <w:rPr>
                      <w:rFonts w:hint="default" w:ascii="Times New Roman" w:hAnsi="Times New Roman" w:eastAsia="宋体" w:cs="Times New Roman"/>
                      <w:color w:val="auto"/>
                      <w:sz w:val="21"/>
                      <w:szCs w:val="21"/>
                      <w:lang w:val="en-US" w:eastAsia="zh-CN"/>
                    </w:rPr>
                    <w:t>双超双有高耗能企业。本项目行业为</w:t>
                  </w:r>
                  <w:r>
                    <w:rPr>
                      <w:rFonts w:hint="eastAsia" w:ascii="Times New Roman" w:hAnsi="Times New Roman" w:eastAsia="宋体" w:cs="Times New Roman"/>
                      <w:color w:val="auto"/>
                      <w:sz w:val="21"/>
                      <w:szCs w:val="21"/>
                      <w:lang w:val="en-US" w:eastAsia="zh-CN"/>
                    </w:rPr>
                    <w:t>日用塑料制品制造</w:t>
                  </w:r>
                  <w:r>
                    <w:rPr>
                      <w:rFonts w:hint="default" w:ascii="Times New Roman" w:hAnsi="Times New Roman" w:eastAsia="宋体" w:cs="Times New Roman"/>
                      <w:color w:val="auto"/>
                      <w:sz w:val="21"/>
                      <w:szCs w:val="21"/>
                      <w:lang w:val="en-US" w:eastAsia="zh-CN"/>
                    </w:rPr>
                    <w:t>，生活污水经厂区化粪池处理</w:t>
                  </w:r>
                  <w:r>
                    <w:rPr>
                      <w:rFonts w:hint="eastAsia" w:ascii="Times New Roman" w:hAnsi="Times New Roman" w:eastAsia="宋体" w:cs="Times New Roman"/>
                      <w:color w:val="auto"/>
                      <w:sz w:val="21"/>
                      <w:szCs w:val="21"/>
                      <w:lang w:val="en-US" w:eastAsia="zh-CN"/>
                    </w:rPr>
                    <w:t>，化粪池定期清掏，不外排。</w:t>
                  </w:r>
                </w:p>
              </w:tc>
              <w:tc>
                <w:tcPr>
                  <w:tcW w:w="309" w:type="pct"/>
                  <w:noWrap w:val="0"/>
                  <w:vAlign w:val="center"/>
                </w:tcPr>
                <w:p w14:paraId="03B77218">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170A6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4C8AB1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大气环境总体管控要求</w:t>
                  </w:r>
                </w:p>
              </w:tc>
            </w:tr>
            <w:tr w14:paraId="2C39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0BEAAC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空间布局约</w:t>
                  </w:r>
                  <w:r>
                    <w:rPr>
                      <w:rFonts w:hint="default" w:ascii="Times New Roman" w:hAnsi="Times New Roman" w:eastAsia="宋体" w:cs="Times New Roman"/>
                      <w:sz w:val="21"/>
                      <w:szCs w:val="21"/>
                    </w:rPr>
                    <w:t>束</w:t>
                  </w:r>
                </w:p>
              </w:tc>
              <w:tc>
                <w:tcPr>
                  <w:tcW w:w="3210" w:type="pct"/>
                  <w:noWrap w:val="0"/>
                  <w:vAlign w:val="center"/>
                </w:tcPr>
                <w:p w14:paraId="7B343CC3">
                  <w:pPr>
                    <w:pStyle w:val="94"/>
                    <w:ind w:left="105" w:leftChars="50" w:right="105" w:rightChars="50"/>
                    <w:jc w:val="both"/>
                    <w:rPr>
                      <w:color w:val="000000"/>
                    </w:rPr>
                  </w:pPr>
                  <w:r>
                    <w:rPr>
                      <w:rFonts w:hint="default"/>
                      <w:color w:val="000000"/>
                      <w:lang w:val="en-US" w:eastAsia="zh-CN"/>
                    </w:rPr>
                    <w:t>1.</w:t>
                  </w:r>
                  <w:r>
                    <w:rPr>
                      <w:rFonts w:hint="eastAsia"/>
                      <w:color w:val="000000"/>
                      <w:lang w:val="en-US" w:eastAsia="zh-CN"/>
                    </w:rPr>
                    <w:t>在高污染燃料的禁燃区内，禁止销售、燃用煤炭、重油、渣油等高污染燃料；禁止新建、扩建燃用高污染燃料的设施，已建成的，应当限期改用清洁能源或者采取措施控制二氧化硫、氮氧化物和烟尘等排放；仍未达到大气污染物排放标准的，应当停止使用。</w:t>
                  </w:r>
                </w:p>
                <w:p w14:paraId="197D45E9">
                  <w:pPr>
                    <w:pStyle w:val="94"/>
                    <w:ind w:left="105" w:leftChars="50" w:right="105" w:rightChars="50"/>
                    <w:jc w:val="both"/>
                    <w:rPr>
                      <w:color w:val="000000"/>
                    </w:rPr>
                  </w:pPr>
                  <w:r>
                    <w:rPr>
                      <w:rFonts w:hint="default"/>
                      <w:color w:val="000000"/>
                      <w:lang w:val="en-US" w:eastAsia="zh-CN"/>
                    </w:rPr>
                    <w:t>2.</w:t>
                  </w:r>
                  <w:r>
                    <w:rPr>
                      <w:rFonts w:hint="eastAsia"/>
                      <w:color w:val="000000"/>
                      <w:lang w:val="en-US" w:eastAsia="zh-CN"/>
                    </w:rPr>
                    <w:t xml:space="preserve">严格控制新增煤电装机规模，严禁新增化工园区，审慎发展石油化工等项目。 </w:t>
                  </w:r>
                </w:p>
                <w:p w14:paraId="3288C457">
                  <w:pPr>
                    <w:pStyle w:val="94"/>
                    <w:ind w:left="105" w:leftChars="50" w:right="105" w:rightChars="50"/>
                    <w:jc w:val="both"/>
                    <w:rPr>
                      <w:color w:val="000000"/>
                    </w:rPr>
                  </w:pPr>
                  <w:r>
                    <w:rPr>
                      <w:rFonts w:hint="default"/>
                      <w:color w:val="000000"/>
                      <w:lang w:val="en-US" w:eastAsia="zh-CN"/>
                    </w:rPr>
                    <w:t>3.</w:t>
                  </w:r>
                  <w:r>
                    <w:rPr>
                      <w:rFonts w:hint="eastAsia"/>
                      <w:color w:val="000000"/>
                      <w:lang w:val="en-US" w:eastAsia="zh-CN"/>
                    </w:rPr>
                    <w:t xml:space="preserve">加快推进城市建成区重点污染企业搬迁改造或关停退出。 </w:t>
                  </w:r>
                </w:p>
                <w:p w14:paraId="447974D1">
                  <w:pPr>
                    <w:pStyle w:val="94"/>
                    <w:ind w:left="105" w:leftChars="50" w:right="105" w:rightChars="50"/>
                    <w:jc w:val="both"/>
                    <w:rPr>
                      <w:color w:val="000000"/>
                    </w:rPr>
                  </w:pPr>
                  <w:r>
                    <w:rPr>
                      <w:rFonts w:hint="default"/>
                      <w:color w:val="000000"/>
                      <w:lang w:val="en-US" w:eastAsia="zh-CN"/>
                    </w:rPr>
                    <w:t>4.</w:t>
                  </w:r>
                  <w:r>
                    <w:rPr>
                      <w:rFonts w:hint="eastAsia"/>
                      <w:color w:val="000000"/>
                      <w:lang w:val="en-US" w:eastAsia="zh-CN"/>
                    </w:rPr>
                    <w:t>禁止新建</w:t>
                  </w:r>
                  <w:r>
                    <w:rPr>
                      <w:rFonts w:hint="default"/>
                      <w:color w:val="000000"/>
                      <w:lang w:val="en-US" w:eastAsia="zh-CN"/>
                    </w:rPr>
                    <w:t xml:space="preserve">35 </w:t>
                  </w:r>
                  <w:r>
                    <w:rPr>
                      <w:rFonts w:hint="eastAsia"/>
                      <w:color w:val="000000"/>
                      <w:lang w:val="en-US" w:eastAsia="zh-CN"/>
                    </w:rPr>
                    <w:t>蒸吨</w:t>
                  </w:r>
                  <w:r>
                    <w:rPr>
                      <w:rFonts w:hint="default"/>
                      <w:color w:val="000000"/>
                      <w:lang w:val="en-US" w:eastAsia="zh-CN"/>
                    </w:rPr>
                    <w:t>/</w:t>
                  </w:r>
                  <w:r>
                    <w:rPr>
                      <w:rFonts w:hint="eastAsia"/>
                      <w:color w:val="000000"/>
                      <w:lang w:val="en-US" w:eastAsia="zh-CN"/>
                    </w:rPr>
                    <w:t>小时及以下燃煤锅炉，城市和县城建成区禁止新建</w:t>
                  </w:r>
                  <w:r>
                    <w:rPr>
                      <w:rFonts w:hint="default"/>
                      <w:color w:val="000000"/>
                      <w:lang w:val="en-US" w:eastAsia="zh-CN"/>
                    </w:rPr>
                    <w:t>35</w:t>
                  </w:r>
                  <w:r>
                    <w:rPr>
                      <w:rFonts w:hint="eastAsia"/>
                      <w:color w:val="000000"/>
                      <w:lang w:val="en-US" w:eastAsia="zh-CN"/>
                    </w:rPr>
                    <w:t>蒸吨</w:t>
                  </w:r>
                  <w:r>
                    <w:rPr>
                      <w:rFonts w:hint="default"/>
                      <w:color w:val="000000"/>
                      <w:lang w:val="en-US" w:eastAsia="zh-CN"/>
                    </w:rPr>
                    <w:t>/</w:t>
                  </w:r>
                  <w:r>
                    <w:rPr>
                      <w:rFonts w:hint="eastAsia"/>
                      <w:color w:val="000000"/>
                      <w:lang w:val="en-US" w:eastAsia="zh-CN"/>
                    </w:rPr>
                    <w:t xml:space="preserve">小时及以下生物质、燃油（醇基燃料）锅炉。 </w:t>
                  </w:r>
                </w:p>
                <w:p w14:paraId="2C7CD19A">
                  <w:pPr>
                    <w:pStyle w:val="94"/>
                    <w:ind w:left="105" w:leftChars="50" w:right="105" w:rightChars="50"/>
                    <w:jc w:val="both"/>
                    <w:rPr>
                      <w:color w:val="000000"/>
                    </w:rPr>
                  </w:pPr>
                  <w:r>
                    <w:rPr>
                      <w:rFonts w:hint="default"/>
                      <w:color w:val="000000"/>
                      <w:lang w:val="en-US" w:eastAsia="zh-CN"/>
                    </w:rPr>
                    <w:t>5.</w:t>
                  </w:r>
                  <w:r>
                    <w:rPr>
                      <w:rFonts w:hint="eastAsia"/>
                      <w:color w:val="000000"/>
                      <w:lang w:val="en-US" w:eastAsia="zh-CN"/>
                    </w:rPr>
                    <w:t>积极推行区域规划环境影响评价，新、改、扩建石化、化工、建材、有色冶炼等项目的环境影响评价，应满足区域、规划环境影响评价要求。</w:t>
                  </w:r>
                </w:p>
                <w:p w14:paraId="340E26E9">
                  <w:pPr>
                    <w:pStyle w:val="94"/>
                    <w:ind w:left="105" w:leftChars="50" w:right="105" w:rightChars="50"/>
                    <w:jc w:val="both"/>
                    <w:rPr>
                      <w:color w:val="000000"/>
                    </w:rPr>
                  </w:pPr>
                  <w:r>
                    <w:rPr>
                      <w:rFonts w:hint="default"/>
                      <w:color w:val="000000"/>
                      <w:lang w:val="en-US" w:eastAsia="zh-CN"/>
                    </w:rPr>
                    <w:t>6.</w:t>
                  </w:r>
                  <w:r>
                    <w:rPr>
                      <w:rFonts w:hint="eastAsia"/>
                      <w:color w:val="000000"/>
                      <w:lang w:val="en-US" w:eastAsia="zh-CN"/>
                    </w:rPr>
                    <w:t>推动建材行业向资源富集地聚集，推动化工生产企业向化工园区转移，提高集约化、集聚化水平。按照“淘汰关停一批、搬迁入园一批、就地改造提升一批”要求，以省级以上经济（技术）开发区、高新技术产业开发区为主要平台，推动涉气产业集群内企业实施搬迁入园，不具备条件的就地改造提升。</w:t>
                  </w:r>
                </w:p>
                <w:p w14:paraId="2179DF15">
                  <w:pPr>
                    <w:pStyle w:val="94"/>
                    <w:ind w:left="105" w:leftChars="50" w:right="105" w:rightChars="50"/>
                    <w:jc w:val="both"/>
                    <w:rPr>
                      <w:color w:val="000000"/>
                    </w:rPr>
                  </w:pPr>
                  <w:r>
                    <w:rPr>
                      <w:rFonts w:hint="default"/>
                      <w:color w:val="000000"/>
                      <w:lang w:val="en-US" w:eastAsia="zh-CN"/>
                    </w:rPr>
                    <w:t>7.</w:t>
                  </w:r>
                  <w:r>
                    <w:rPr>
                      <w:rFonts w:hint="eastAsia"/>
                      <w:color w:val="000000"/>
                      <w:lang w:val="en-US" w:eastAsia="zh-CN"/>
                    </w:rPr>
                    <w:t>调整优化不符合生态环境功能定位的产业布局、规模和结构，严格控制高耗能高污染项目。严禁新增水泥、平板玻璃、铸造（重点地区）等产能和产量。严格执行水泥、平板玻璃等行业产能置换实施办法。</w:t>
                  </w:r>
                </w:p>
                <w:p w14:paraId="71296423">
                  <w:pPr>
                    <w:pStyle w:val="94"/>
                    <w:ind w:left="105" w:leftChars="50" w:right="105" w:rightChars="50"/>
                    <w:jc w:val="both"/>
                    <w:rPr>
                      <w:rFonts w:hint="default" w:ascii="Times New Roman" w:hAnsi="Times New Roman" w:eastAsia="宋体" w:cs="Times New Roman"/>
                      <w:color w:val="auto"/>
                      <w:spacing w:val="3"/>
                      <w:sz w:val="21"/>
                      <w:szCs w:val="21"/>
                    </w:rPr>
                  </w:pPr>
                  <w:r>
                    <w:rPr>
                      <w:rFonts w:hint="default"/>
                      <w:color w:val="000000"/>
                      <w:lang w:val="en-US" w:eastAsia="zh-CN"/>
                    </w:rPr>
                    <w:t>8.</w:t>
                  </w:r>
                  <w:r>
                    <w:rPr>
                      <w:rFonts w:hint="eastAsia"/>
                      <w:color w:val="000000"/>
                      <w:lang w:val="en-US" w:eastAsia="zh-CN"/>
                    </w:rPr>
                    <w:t>禁止在人口集中地区从事露天喷漆、喷涂、喷砂、制作玻璃钢以及其他散发有毒有害气体的作业。</w:t>
                  </w:r>
                </w:p>
              </w:tc>
              <w:tc>
                <w:tcPr>
                  <w:tcW w:w="805" w:type="pct"/>
                  <w:noWrap w:val="0"/>
                  <w:vAlign w:val="center"/>
                </w:tcPr>
                <w:p w14:paraId="0EFD7867">
                  <w:pPr>
                    <w:pStyle w:val="94"/>
                    <w:ind w:left="105" w:leftChars="50" w:right="105" w:rightChars="50"/>
                    <w:jc w:val="both"/>
                    <w:rPr>
                      <w:rFonts w:hint="default" w:ascii="Times New Roman" w:hAnsi="Times New Roman" w:eastAsia="宋体" w:cs="Times New Roman"/>
                      <w:color w:val="auto"/>
                      <w:sz w:val="21"/>
                      <w:szCs w:val="21"/>
                      <w:lang w:eastAsia="zh-CN"/>
                    </w:rPr>
                  </w:pPr>
                  <w:r>
                    <w:rPr>
                      <w:rFonts w:hint="eastAsia"/>
                      <w:color w:val="auto"/>
                      <w:lang w:eastAsia="zh-CN"/>
                    </w:rPr>
                    <w:t>本项目不使用高污染燃料，生产用热采用电加热，本项目</w:t>
                  </w:r>
                  <w:r>
                    <w:rPr>
                      <w:rFonts w:hint="eastAsia"/>
                      <w:color w:val="auto"/>
                      <w:lang w:val="en-US" w:eastAsia="zh-CN"/>
                    </w:rPr>
                    <w:t>行业为日用塑料制品制造，</w:t>
                  </w:r>
                  <w:r>
                    <w:rPr>
                      <w:rFonts w:hint="eastAsia"/>
                      <w:color w:val="auto"/>
                      <w:highlight w:val="none"/>
                      <w:lang w:val="en-US" w:eastAsia="zh-CN"/>
                    </w:rPr>
                    <w:t>本项目用地为工业用地，符合永清县总体规划及产业定位。</w:t>
                  </w:r>
                </w:p>
              </w:tc>
              <w:tc>
                <w:tcPr>
                  <w:tcW w:w="309" w:type="pct"/>
                  <w:noWrap w:val="0"/>
                  <w:vAlign w:val="center"/>
                </w:tcPr>
                <w:p w14:paraId="4AF997F2">
                  <w:pPr>
                    <w:pStyle w:val="94"/>
                    <w:ind w:left="105" w:leftChars="50" w:right="105" w:rightChars="50"/>
                    <w:rPr>
                      <w:rFonts w:hint="default" w:ascii="Times New Roman" w:hAnsi="Times New Roman" w:eastAsia="宋体" w:cs="Times New Roman"/>
                      <w:spacing w:val="4"/>
                      <w:sz w:val="21"/>
                      <w:szCs w:val="21"/>
                    </w:rPr>
                  </w:pPr>
                  <w:r>
                    <w:rPr>
                      <w:color w:val="000000"/>
                    </w:rPr>
                    <w:t>符合</w:t>
                  </w:r>
                </w:p>
              </w:tc>
            </w:tr>
            <w:tr w14:paraId="6AE48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3C152D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污染物排放管控</w:t>
                  </w:r>
                </w:p>
              </w:tc>
              <w:tc>
                <w:tcPr>
                  <w:tcW w:w="331" w:type="pct"/>
                  <w:noWrap w:val="0"/>
                  <w:vAlign w:val="center"/>
                </w:tcPr>
                <w:p w14:paraId="799D2E49">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工业源</w:t>
                  </w:r>
                </w:p>
              </w:tc>
              <w:tc>
                <w:tcPr>
                  <w:tcW w:w="3210" w:type="pct"/>
                  <w:noWrap w:val="0"/>
                  <w:vAlign w:val="center"/>
                </w:tcPr>
                <w:p w14:paraId="33E0D875">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1.以水泥、平板玻璃、陶瓷、煤电等行业</w:t>
                  </w:r>
                  <w:r>
                    <w:rPr>
                      <w:rFonts w:hint="default" w:ascii="Times New Roman" w:hAnsi="Times New Roman" w:eastAsia="宋体" w:cs="Times New Roman"/>
                      <w:color w:val="auto"/>
                      <w:spacing w:val="13"/>
                      <w:sz w:val="21"/>
                      <w:szCs w:val="21"/>
                    </w:rPr>
                    <w:t>企业为重点，大力巩固重点行业超低排放改造成果，完成水泥、平板玻璃、陶瓷、</w:t>
                  </w:r>
                  <w:r>
                    <w:rPr>
                      <w:rFonts w:hint="default" w:ascii="Times New Roman" w:hAnsi="Times New Roman" w:eastAsia="宋体" w:cs="Times New Roman"/>
                      <w:color w:val="auto"/>
                      <w:spacing w:val="8"/>
                      <w:sz w:val="21"/>
                      <w:szCs w:val="21"/>
                    </w:rPr>
                    <w:t>煤电等重点行业强制性清洁生产审核。</w:t>
                  </w:r>
                </w:p>
                <w:p w14:paraId="48E3D3FD">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2.具备条件的玻璃、水泥和陶瓷企业基本</w:t>
                  </w:r>
                  <w:r>
                    <w:rPr>
                      <w:rFonts w:hint="default" w:ascii="Times New Roman" w:hAnsi="Times New Roman" w:eastAsia="宋体" w:cs="Times New Roman"/>
                      <w:color w:val="auto"/>
                      <w:spacing w:val="13"/>
                      <w:sz w:val="21"/>
                      <w:szCs w:val="21"/>
                    </w:rPr>
                    <w:t>完成固定源超低排放改造。传统产业工艺装备严格落实国家《高耗能行业重点领域</w:t>
                  </w:r>
                  <w:r>
                    <w:rPr>
                      <w:rFonts w:hint="default" w:ascii="Times New Roman" w:hAnsi="Times New Roman" w:eastAsia="宋体" w:cs="Times New Roman"/>
                      <w:color w:val="auto"/>
                      <w:spacing w:val="12"/>
                      <w:sz w:val="21"/>
                      <w:szCs w:val="21"/>
                    </w:rPr>
                    <w:t>能效标杆水平和基准水平》要求，推进5</w:t>
                  </w:r>
                  <w:r>
                    <w:rPr>
                      <w:rFonts w:hint="default" w:ascii="Times New Roman" w:hAnsi="Times New Roman" w:eastAsia="宋体" w:cs="Times New Roman"/>
                      <w:color w:val="auto"/>
                      <w:spacing w:val="5"/>
                      <w:sz w:val="21"/>
                      <w:szCs w:val="21"/>
                    </w:rPr>
                    <w:t>大类19个行业改造升级和淘汰。</w:t>
                  </w:r>
                </w:p>
                <w:p w14:paraId="71652D3C">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3.以砖瓦、耐火材料等行业为示范，加快</w:t>
                  </w:r>
                  <w:r>
                    <w:rPr>
                      <w:rFonts w:hint="default" w:ascii="Times New Roman" w:hAnsi="Times New Roman" w:eastAsia="宋体" w:cs="Times New Roman"/>
                      <w:spacing w:val="2"/>
                      <w:sz w:val="21"/>
                      <w:szCs w:val="21"/>
                    </w:rPr>
                    <w:t>推进铸造、炭素、岩棉、无机盐、铁合金、</w:t>
                  </w:r>
                  <w:r>
                    <w:rPr>
                      <w:rFonts w:hint="default" w:ascii="Times New Roman" w:hAnsi="Times New Roman" w:eastAsia="宋体" w:cs="Times New Roman"/>
                      <w:spacing w:val="9"/>
                      <w:sz w:val="21"/>
                      <w:szCs w:val="21"/>
                    </w:rPr>
                    <w:t>铝工业、铜（镍、钴）工业、铅（锌）工业、再生铜（铝、铅、锌）等行业炉窑综</w:t>
                  </w:r>
                  <w:r>
                    <w:rPr>
                      <w:rFonts w:hint="default" w:ascii="Times New Roman" w:hAnsi="Times New Roman" w:eastAsia="宋体" w:cs="Times New Roman"/>
                      <w:spacing w:val="7"/>
                      <w:sz w:val="21"/>
                      <w:szCs w:val="21"/>
                    </w:rPr>
                    <w:t>合整治，确保稳定达标排放，鼓励平板玻</w:t>
                  </w:r>
                  <w:r>
                    <w:rPr>
                      <w:rFonts w:hint="default" w:ascii="Times New Roman" w:hAnsi="Times New Roman" w:eastAsia="宋体" w:cs="Times New Roman"/>
                      <w:spacing w:val="6"/>
                      <w:sz w:val="21"/>
                      <w:szCs w:val="21"/>
                    </w:rPr>
                    <w:t>璃窑炉采用全氧/富氧燃烧技术等清洁生产</w:t>
                  </w:r>
                  <w:r>
                    <w:rPr>
                      <w:rFonts w:hint="default" w:ascii="Times New Roman" w:hAnsi="Times New Roman" w:eastAsia="宋体" w:cs="Times New Roman"/>
                      <w:spacing w:val="10"/>
                      <w:sz w:val="21"/>
                      <w:szCs w:val="21"/>
                    </w:rPr>
                    <w:t>技术。严格新建项目准入管理，工业炉窑全面达到国家和省重点区域特别排放限值</w:t>
                  </w:r>
                  <w:r>
                    <w:rPr>
                      <w:rFonts w:hint="default" w:ascii="Times New Roman" w:hAnsi="Times New Roman" w:eastAsia="宋体" w:cs="Times New Roman"/>
                      <w:spacing w:val="6"/>
                      <w:sz w:val="21"/>
                      <w:szCs w:val="21"/>
                    </w:rPr>
                    <w:t>要求。4.推动高污染企业关停不能稳定达</w:t>
                  </w:r>
                  <w:r>
                    <w:rPr>
                      <w:rFonts w:hint="default" w:ascii="Times New Roman" w:hAnsi="Times New Roman" w:eastAsia="宋体" w:cs="Times New Roman"/>
                      <w:spacing w:val="10"/>
                      <w:sz w:val="21"/>
                      <w:szCs w:val="21"/>
                    </w:rPr>
                    <w:t>标和落后生产设施，逐步推进独立热轧等整合升级。加快推进全市燃煤锅炉替代工作和整治提升工作，推动三河热电厂烟气</w:t>
                  </w:r>
                  <w:r>
                    <w:rPr>
                      <w:rFonts w:hint="default" w:ascii="Times New Roman" w:hAnsi="Times New Roman" w:eastAsia="宋体" w:cs="Times New Roman"/>
                      <w:spacing w:val="2"/>
                      <w:sz w:val="21"/>
                      <w:szCs w:val="21"/>
                    </w:rPr>
                    <w:t>深度治理，加强全市现存32台生物质锅炉</w:t>
                  </w:r>
                  <w:r>
                    <w:rPr>
                      <w:rFonts w:hint="default" w:ascii="Times New Roman" w:hAnsi="Times New Roman" w:eastAsia="宋体" w:cs="Times New Roman"/>
                      <w:spacing w:val="6"/>
                      <w:sz w:val="21"/>
                      <w:szCs w:val="21"/>
                    </w:rPr>
                    <w:t>高效除尘和脱硝设施监管和改造。5.制定</w:t>
                  </w:r>
                  <w:r>
                    <w:rPr>
                      <w:rFonts w:hint="default" w:ascii="Times New Roman" w:hAnsi="Times New Roman" w:eastAsia="宋体" w:cs="Times New Roman"/>
                      <w:spacing w:val="9"/>
                      <w:sz w:val="21"/>
                      <w:szCs w:val="21"/>
                    </w:rPr>
                    <w:t>“一厂一策”治理方案，开展治理效果后评</w:t>
                  </w:r>
                  <w:r>
                    <w:rPr>
                      <w:rFonts w:hint="default" w:ascii="Times New Roman" w:hAnsi="Times New Roman" w:eastAsia="宋体" w:cs="Times New Roman"/>
                      <w:spacing w:val="4"/>
                      <w:sz w:val="21"/>
                      <w:szCs w:val="21"/>
                    </w:rPr>
                    <w:t>估，不断提高企业</w:t>
                  </w:r>
                  <w:r>
                    <w:rPr>
                      <w:rFonts w:hint="default" w:ascii="Times New Roman" w:hAnsi="Times New Roman" w:eastAsia="宋体" w:cs="Times New Roman"/>
                      <w:sz w:val="21"/>
                      <w:szCs w:val="21"/>
                    </w:rPr>
                    <w:t>VOCs</w:t>
                  </w:r>
                  <w:r>
                    <w:rPr>
                      <w:rFonts w:hint="default" w:ascii="Times New Roman" w:hAnsi="Times New Roman" w:eastAsia="宋体" w:cs="Times New Roman"/>
                      <w:spacing w:val="4"/>
                      <w:sz w:val="21"/>
                      <w:szCs w:val="21"/>
                    </w:rPr>
                    <w:t>治理水平。鼓励涉</w:t>
                  </w:r>
                  <w:r>
                    <w:rPr>
                      <w:rFonts w:hint="default" w:ascii="Times New Roman" w:hAnsi="Times New Roman" w:eastAsia="宋体" w:cs="Times New Roman"/>
                      <w:sz w:val="21"/>
                      <w:szCs w:val="21"/>
                    </w:rPr>
                    <w:t>VOCs</w:t>
                  </w:r>
                  <w:r>
                    <w:rPr>
                      <w:rFonts w:hint="default" w:ascii="Times New Roman" w:hAnsi="Times New Roman" w:eastAsia="宋体" w:cs="Times New Roman"/>
                      <w:spacing w:val="4"/>
                      <w:sz w:val="21"/>
                      <w:szCs w:val="21"/>
                    </w:rPr>
                    <w:t>排放重点行业企业，夏季高温时</w:t>
                  </w:r>
                  <w:r>
                    <w:rPr>
                      <w:rFonts w:hint="default" w:ascii="Times New Roman" w:hAnsi="Times New Roman" w:eastAsia="宋体" w:cs="Times New Roman"/>
                      <w:spacing w:val="10"/>
                      <w:sz w:val="21"/>
                      <w:szCs w:val="21"/>
                    </w:rPr>
                    <w:t>段实行生产调控、错时生产。以化工、包</w:t>
                  </w:r>
                  <w:r>
                    <w:rPr>
                      <w:rFonts w:hint="default" w:ascii="Times New Roman" w:hAnsi="Times New Roman" w:eastAsia="宋体" w:cs="Times New Roman"/>
                      <w:spacing w:val="11"/>
                      <w:sz w:val="21"/>
                      <w:szCs w:val="21"/>
                    </w:rPr>
                    <w:t>装印刷、工业涂装、家具制造、人造板、橡胶塑料制品等行业为重点，强化</w:t>
                  </w:r>
                  <w:r>
                    <w:rPr>
                      <w:rFonts w:hint="default" w:ascii="Times New Roman" w:hAnsi="Times New Roman" w:eastAsia="宋体" w:cs="Times New Roman"/>
                      <w:sz w:val="21"/>
                      <w:szCs w:val="21"/>
                    </w:rPr>
                    <w:t>VOCs</w:t>
                  </w:r>
                  <w:r>
                    <w:rPr>
                      <w:rFonts w:hint="default" w:ascii="Times New Roman" w:hAnsi="Times New Roman" w:eastAsia="宋体" w:cs="Times New Roman"/>
                      <w:spacing w:val="10"/>
                      <w:sz w:val="21"/>
                      <w:szCs w:val="21"/>
                    </w:rPr>
                    <w:t>源头、无组织、末端全流程治理。开展涂料、油墨、胶粘剂、涂层剂（树脂）、清</w:t>
                  </w:r>
                  <w:r>
                    <w:rPr>
                      <w:rFonts w:hint="default" w:ascii="Times New Roman" w:hAnsi="Times New Roman" w:eastAsia="宋体" w:cs="Times New Roman"/>
                      <w:spacing w:val="16"/>
                      <w:sz w:val="21"/>
                      <w:szCs w:val="21"/>
                    </w:rPr>
                    <w:t>洗剂等原辅材料的企业低</w:t>
                  </w:r>
                  <w:r>
                    <w:rPr>
                      <w:rFonts w:hint="default" w:ascii="Times New Roman" w:hAnsi="Times New Roman" w:eastAsia="宋体" w:cs="Times New Roman"/>
                      <w:sz w:val="21"/>
                      <w:szCs w:val="21"/>
                    </w:rPr>
                    <w:t>VOCs</w:t>
                  </w:r>
                  <w:r>
                    <w:rPr>
                      <w:rFonts w:hint="default" w:ascii="Times New Roman" w:hAnsi="Times New Roman" w:eastAsia="宋体" w:cs="Times New Roman"/>
                      <w:spacing w:val="16"/>
                      <w:sz w:val="21"/>
                      <w:szCs w:val="21"/>
                    </w:rPr>
                    <w:t>替代计</w:t>
                  </w:r>
                  <w:r>
                    <w:rPr>
                      <w:rFonts w:hint="default" w:ascii="Times New Roman" w:hAnsi="Times New Roman" w:eastAsia="宋体" w:cs="Times New Roman"/>
                      <w:sz w:val="21"/>
                      <w:szCs w:val="21"/>
                    </w:rPr>
                    <w:t>划和实施。6.在岩矿棉、玻璃棉、人造板、</w:t>
                  </w:r>
                  <w:r>
                    <w:rPr>
                      <w:rFonts w:hint="default" w:ascii="Times New Roman" w:hAnsi="Times New Roman" w:eastAsia="宋体" w:cs="Times New Roman"/>
                      <w:spacing w:val="10"/>
                      <w:sz w:val="21"/>
                      <w:szCs w:val="21"/>
                    </w:rPr>
                    <w:t>化工等产业集聚和用热用能需求大的产业集群和工业园区，推进建设集中供汽供热或清洁低碳能源中心。推动供热管网覆盖范围内燃煤加热、烘干炉（窑）替代。不具备替代条件的产业集群，推动实施锅炉“拆小并大”。7.在确保人民群众“温暖过</w:t>
                  </w:r>
                  <w:r>
                    <w:rPr>
                      <w:rFonts w:hint="default" w:ascii="Times New Roman" w:hAnsi="Times New Roman" w:eastAsia="宋体" w:cs="Times New Roman"/>
                      <w:spacing w:val="4"/>
                      <w:sz w:val="21"/>
                      <w:szCs w:val="21"/>
                    </w:rPr>
                    <w:t>冬”的基础上，加快推进全市现存35蒸吨</w:t>
                  </w:r>
                  <w:r>
                    <w:rPr>
                      <w:rFonts w:hint="default" w:ascii="Times New Roman" w:hAnsi="Times New Roman" w:eastAsia="宋体" w:cs="Times New Roman"/>
                      <w:spacing w:val="6"/>
                      <w:sz w:val="21"/>
                      <w:szCs w:val="21"/>
                    </w:rPr>
                    <w:t>/小时及以上燃煤锅炉替代工作，在保证供</w:t>
                  </w:r>
                  <w:r>
                    <w:rPr>
                      <w:rFonts w:hint="default" w:ascii="Times New Roman" w:hAnsi="Times New Roman" w:eastAsia="宋体" w:cs="Times New Roman"/>
                      <w:spacing w:val="10"/>
                      <w:sz w:val="21"/>
                      <w:szCs w:val="21"/>
                    </w:rPr>
                    <w:t>热供电的前提下，逐步完成热电联产机组供热范围内燃煤设施关停整合，推进燃煤</w:t>
                  </w:r>
                  <w:r>
                    <w:rPr>
                      <w:rFonts w:hint="default" w:ascii="Times New Roman" w:hAnsi="Times New Roman" w:eastAsia="宋体" w:cs="Times New Roman"/>
                      <w:spacing w:val="2"/>
                      <w:sz w:val="21"/>
                      <w:szCs w:val="21"/>
                    </w:rPr>
                    <w:t>锅炉替代。8.</w:t>
                  </w:r>
                  <w:r>
                    <w:rPr>
                      <w:rFonts w:hint="default" w:ascii="Times New Roman" w:hAnsi="Times New Roman" w:eastAsia="宋体" w:cs="Times New Roman"/>
                      <w:sz w:val="21"/>
                      <w:szCs w:val="21"/>
                    </w:rPr>
                    <w:t>PM</w:t>
                  </w:r>
                  <w:r>
                    <w:rPr>
                      <w:rFonts w:hint="default" w:ascii="Times New Roman" w:hAnsi="Times New Roman" w:eastAsia="宋体" w:cs="Times New Roman"/>
                      <w:spacing w:val="2"/>
                      <w:sz w:val="21"/>
                      <w:szCs w:val="21"/>
                      <w:vertAlign w:val="subscript"/>
                    </w:rPr>
                    <w:t>2.5</w:t>
                  </w:r>
                  <w:r>
                    <w:rPr>
                      <w:rFonts w:hint="default" w:ascii="Times New Roman" w:hAnsi="Times New Roman" w:eastAsia="宋体" w:cs="Times New Roman"/>
                      <w:spacing w:val="2"/>
                      <w:sz w:val="21"/>
                      <w:szCs w:val="21"/>
                    </w:rPr>
                    <w:t>年均浓度达标之前，二</w:t>
                  </w:r>
                  <w:r>
                    <w:rPr>
                      <w:rFonts w:hint="default" w:ascii="Times New Roman" w:hAnsi="Times New Roman" w:eastAsia="宋体" w:cs="Times New Roman"/>
                      <w:spacing w:val="10"/>
                      <w:sz w:val="21"/>
                      <w:szCs w:val="21"/>
                    </w:rPr>
                    <w:t>氧化硫、氮氧化物、烟粉尘、挥发性有机物四项污染物均需进行倍量削减替代（燃煤发电机组大气污染物排放浓度基本达到</w:t>
                  </w:r>
                  <w:r>
                    <w:rPr>
                      <w:rFonts w:hint="default" w:ascii="Times New Roman" w:hAnsi="Times New Roman" w:eastAsia="宋体" w:cs="Times New Roman"/>
                      <w:spacing w:val="1"/>
                      <w:sz w:val="21"/>
                      <w:szCs w:val="21"/>
                    </w:rPr>
                    <w:t>燃气轮机组排放限值的除外）。9.大力开展</w:t>
                  </w:r>
                  <w:r>
                    <w:rPr>
                      <w:rFonts w:hint="default" w:ascii="Times New Roman" w:hAnsi="Times New Roman" w:eastAsia="宋体" w:cs="Times New Roman"/>
                      <w:spacing w:val="10"/>
                      <w:sz w:val="21"/>
                      <w:szCs w:val="21"/>
                    </w:rPr>
                    <w:t>工业企业全流程清洁化、循环化、低碳化改造，在电力、建材、化工等行业，开展</w:t>
                  </w:r>
                  <w:r>
                    <w:rPr>
                      <w:rFonts w:hint="default" w:ascii="Times New Roman" w:hAnsi="Times New Roman" w:eastAsia="宋体" w:cs="Times New Roman"/>
                      <w:spacing w:val="11"/>
                      <w:sz w:val="21"/>
                      <w:szCs w:val="21"/>
                    </w:rPr>
                    <w:t>减污降碳协同治理。重点针对耐火材料、</w:t>
                  </w:r>
                  <w:r>
                    <w:rPr>
                      <w:rFonts w:hint="default" w:ascii="Times New Roman" w:hAnsi="Times New Roman" w:eastAsia="宋体" w:cs="Times New Roman"/>
                      <w:spacing w:val="2"/>
                      <w:sz w:val="21"/>
                      <w:szCs w:val="21"/>
                    </w:rPr>
                    <w:t>矿物棉、有色、化工、包装印刷、彩涂板、</w:t>
                  </w:r>
                  <w:r>
                    <w:rPr>
                      <w:rFonts w:hint="default" w:ascii="Times New Roman" w:hAnsi="Times New Roman" w:eastAsia="宋体" w:cs="Times New Roman"/>
                      <w:spacing w:val="10"/>
                      <w:sz w:val="21"/>
                      <w:szCs w:val="21"/>
                    </w:rPr>
                    <w:t>人造板等行业，开展传统产业集群升级改造，实行工业园区绿色准入，执行强制性污染物排放标准。持续推动常态化水泥错</w:t>
                  </w:r>
                  <w:r>
                    <w:rPr>
                      <w:rFonts w:hint="default" w:ascii="Times New Roman" w:hAnsi="Times New Roman" w:eastAsia="宋体" w:cs="Times New Roman"/>
                      <w:spacing w:val="11"/>
                      <w:sz w:val="21"/>
                      <w:szCs w:val="21"/>
                    </w:rPr>
                    <w:t>峰生产。</w:t>
                  </w:r>
                </w:p>
              </w:tc>
              <w:tc>
                <w:tcPr>
                  <w:tcW w:w="805" w:type="pct"/>
                  <w:noWrap w:val="0"/>
                  <w:vAlign w:val="center"/>
                </w:tcPr>
                <w:p w14:paraId="61849421">
                  <w:pPr>
                    <w:pStyle w:val="164"/>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5"/>
                      <w:sz w:val="21"/>
                      <w:szCs w:val="21"/>
                      <w:lang w:eastAsia="zh-CN"/>
                    </w:rPr>
                    <w:t>本项目不使用高污染燃料，生产用热</w:t>
                  </w:r>
                  <w:r>
                    <w:rPr>
                      <w:rFonts w:hint="eastAsia" w:ascii="Times New Roman" w:hAnsi="Times New Roman" w:eastAsia="宋体" w:cs="Times New Roman"/>
                      <w:color w:val="auto"/>
                      <w:spacing w:val="5"/>
                      <w:sz w:val="21"/>
                      <w:szCs w:val="21"/>
                      <w:lang w:eastAsia="zh-CN"/>
                    </w:rPr>
                    <w:t>采用电加热</w:t>
                  </w:r>
                  <w:r>
                    <w:rPr>
                      <w:rFonts w:hint="default" w:ascii="Times New Roman" w:hAnsi="Times New Roman" w:eastAsia="宋体" w:cs="Times New Roman"/>
                      <w:color w:val="auto"/>
                      <w:spacing w:val="5"/>
                      <w:sz w:val="21"/>
                      <w:szCs w:val="21"/>
                      <w:lang w:eastAsia="zh-CN"/>
                    </w:rPr>
                    <w:t>，本项目</w:t>
                  </w:r>
                  <w:r>
                    <w:rPr>
                      <w:rFonts w:hint="default" w:ascii="Times New Roman" w:hAnsi="Times New Roman" w:eastAsia="宋体" w:cs="Times New Roman"/>
                      <w:color w:val="auto"/>
                      <w:spacing w:val="5"/>
                      <w:sz w:val="21"/>
                      <w:szCs w:val="21"/>
                      <w:lang w:val="en-US" w:eastAsia="zh-CN"/>
                    </w:rPr>
                    <w:t>行业为</w:t>
                  </w:r>
                  <w:r>
                    <w:rPr>
                      <w:rFonts w:hint="eastAsia" w:ascii="Times New Roman" w:hAnsi="Times New Roman" w:eastAsia="宋体" w:cs="Times New Roman"/>
                      <w:color w:val="auto"/>
                      <w:spacing w:val="5"/>
                      <w:sz w:val="21"/>
                      <w:szCs w:val="21"/>
                      <w:lang w:val="en-US" w:eastAsia="zh-CN"/>
                    </w:rPr>
                    <w:t>日用塑料制品制造</w:t>
                  </w:r>
                  <w:r>
                    <w:rPr>
                      <w:rFonts w:hint="default" w:ascii="Times New Roman" w:hAnsi="Times New Roman" w:eastAsia="宋体" w:cs="Times New Roman"/>
                      <w:color w:val="auto"/>
                      <w:spacing w:val="5"/>
                      <w:sz w:val="21"/>
                      <w:szCs w:val="21"/>
                      <w:lang w:val="en-US" w:eastAsia="zh-CN"/>
                    </w:rPr>
                    <w:t>，本项目</w:t>
                  </w:r>
                  <w:r>
                    <w:rPr>
                      <w:rFonts w:hint="eastAsia" w:ascii="Times New Roman" w:hAnsi="Times New Roman" w:eastAsia="宋体" w:cs="Times New Roman"/>
                      <w:color w:val="auto"/>
                      <w:spacing w:val="5"/>
                      <w:sz w:val="21"/>
                      <w:szCs w:val="21"/>
                      <w:lang w:val="en-US" w:eastAsia="zh-CN"/>
                    </w:rPr>
                    <w:t>建成后按照要求制定</w:t>
                  </w:r>
                  <w:r>
                    <w:rPr>
                      <w:rFonts w:hint="default" w:ascii="Times New Roman" w:hAnsi="Times New Roman" w:eastAsia="宋体" w:cs="Times New Roman"/>
                      <w:spacing w:val="9"/>
                      <w:sz w:val="21"/>
                      <w:szCs w:val="21"/>
                    </w:rPr>
                    <w:t>“一厂一策”治理方案</w:t>
                  </w:r>
                  <w:r>
                    <w:rPr>
                      <w:rFonts w:hint="default" w:ascii="Times New Roman" w:hAnsi="Times New Roman" w:eastAsia="宋体" w:cs="Times New Roman"/>
                      <w:color w:val="auto"/>
                      <w:spacing w:val="5"/>
                      <w:sz w:val="21"/>
                      <w:szCs w:val="21"/>
                    </w:rPr>
                    <w:t>。</w:t>
                  </w:r>
                </w:p>
              </w:tc>
              <w:tc>
                <w:tcPr>
                  <w:tcW w:w="309" w:type="pct"/>
                  <w:noWrap w:val="0"/>
                  <w:vAlign w:val="center"/>
                </w:tcPr>
                <w:p w14:paraId="649D4F8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CC5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2B7EB08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土壤风险防控总体管控要求</w:t>
                  </w:r>
                </w:p>
              </w:tc>
            </w:tr>
            <w:tr w14:paraId="0F43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84E74E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建设用地</w:t>
                  </w:r>
                </w:p>
              </w:tc>
              <w:tc>
                <w:tcPr>
                  <w:tcW w:w="3210" w:type="pct"/>
                  <w:noWrap w:val="0"/>
                  <w:vAlign w:val="center"/>
                </w:tcPr>
                <w:p w14:paraId="167C646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1.逐步淘汰铅酸蓄电池、制革等行业落后产</w:t>
                  </w:r>
                  <w:r>
                    <w:rPr>
                      <w:rFonts w:hint="default" w:ascii="Times New Roman" w:hAnsi="Times New Roman" w:eastAsia="宋体" w:cs="Times New Roman"/>
                      <w:spacing w:val="2"/>
                      <w:sz w:val="21"/>
                      <w:szCs w:val="21"/>
                    </w:rPr>
                    <w:t>能。全面清理整顿布局分散、装备水平低、</w:t>
                  </w:r>
                  <w:r>
                    <w:rPr>
                      <w:rFonts w:hint="default" w:ascii="Times New Roman" w:hAnsi="Times New Roman" w:eastAsia="宋体" w:cs="Times New Roman"/>
                      <w:spacing w:val="9"/>
                      <w:sz w:val="21"/>
                      <w:szCs w:val="21"/>
                    </w:rPr>
                    <w:t>环保治污设施差的小型工矿企业，对不符合国家产业政策、没有环评手续、不能稳定达标排放的依法取缔。鼓励过剩产能企</w:t>
                  </w:r>
                  <w:r>
                    <w:rPr>
                      <w:rFonts w:hint="default" w:ascii="Times New Roman" w:hAnsi="Times New Roman" w:eastAsia="宋体" w:cs="Times New Roman"/>
                      <w:spacing w:val="11"/>
                      <w:sz w:val="21"/>
                      <w:szCs w:val="21"/>
                    </w:rPr>
                    <w:t>业主动退出。2.严控涉重金属行业新增产</w:t>
                  </w:r>
                  <w:r>
                    <w:rPr>
                      <w:rFonts w:hint="default" w:ascii="Times New Roman" w:hAnsi="Times New Roman" w:eastAsia="宋体" w:cs="Times New Roman"/>
                      <w:spacing w:val="9"/>
                      <w:sz w:val="21"/>
                      <w:szCs w:val="21"/>
                    </w:rPr>
                    <w:t>能，对排放重点重金属的新增产能和淘汰</w:t>
                  </w:r>
                  <w:r>
                    <w:rPr>
                      <w:rFonts w:hint="default" w:ascii="Times New Roman" w:hAnsi="Times New Roman" w:eastAsia="宋体" w:cs="Times New Roman"/>
                      <w:spacing w:val="7"/>
                      <w:sz w:val="21"/>
                      <w:szCs w:val="21"/>
                    </w:rPr>
                    <w:t>产能实行“等量置换”或“减量置换”。</w:t>
                  </w:r>
                  <w:r>
                    <w:rPr>
                      <w:rFonts w:hint="default" w:ascii="Times New Roman" w:hAnsi="Times New Roman" w:eastAsia="宋体" w:cs="Times New Roman"/>
                      <w:spacing w:val="9"/>
                      <w:sz w:val="21"/>
                      <w:szCs w:val="21"/>
                    </w:rPr>
                    <w:t>对涉重金属行业新建、改（扩）建项目实</w:t>
                  </w:r>
                  <w:r>
                    <w:rPr>
                      <w:rFonts w:hint="default" w:ascii="Times New Roman" w:hAnsi="Times New Roman" w:eastAsia="宋体" w:cs="Times New Roman"/>
                      <w:spacing w:val="22"/>
                      <w:sz w:val="21"/>
                      <w:szCs w:val="21"/>
                    </w:rPr>
                    <w:t>行新增重金属污染物排放等量或倍量替</w:t>
                  </w:r>
                  <w:r>
                    <w:rPr>
                      <w:rFonts w:hint="default" w:ascii="Times New Roman" w:hAnsi="Times New Roman" w:eastAsia="宋体" w:cs="Times New Roman"/>
                      <w:spacing w:val="2"/>
                      <w:sz w:val="21"/>
                      <w:szCs w:val="21"/>
                    </w:rPr>
                    <w:t>代。对区域重金属排放量继续上升的地区，</w:t>
                  </w:r>
                  <w:r>
                    <w:rPr>
                      <w:rFonts w:hint="default" w:ascii="Times New Roman" w:hAnsi="Times New Roman" w:eastAsia="宋体" w:cs="Times New Roman"/>
                      <w:spacing w:val="9"/>
                      <w:sz w:val="21"/>
                      <w:szCs w:val="21"/>
                    </w:rPr>
                    <w:t>停止审批新增重金属污染物排放的建设项</w:t>
                  </w:r>
                  <w:r>
                    <w:rPr>
                      <w:rFonts w:hint="default" w:ascii="Times New Roman" w:hAnsi="Times New Roman" w:eastAsia="宋体" w:cs="Times New Roman"/>
                      <w:spacing w:val="1"/>
                      <w:sz w:val="21"/>
                      <w:szCs w:val="21"/>
                    </w:rPr>
                    <w:t>目。3.工业项目布局选址应符合环境准入要</w:t>
                  </w:r>
                  <w:r>
                    <w:rPr>
                      <w:rFonts w:hint="default" w:ascii="Times New Roman" w:hAnsi="Times New Roman" w:eastAsia="宋体" w:cs="Times New Roman"/>
                      <w:spacing w:val="9"/>
                      <w:sz w:val="21"/>
                      <w:szCs w:val="21"/>
                    </w:rPr>
                    <w:t>求，严格控制在优先保护类耕地集中区域</w:t>
                  </w:r>
                  <w:r>
                    <w:rPr>
                      <w:rFonts w:hint="default" w:ascii="Times New Roman" w:hAnsi="Times New Roman" w:eastAsia="宋体" w:cs="Times New Roman"/>
                      <w:spacing w:val="7"/>
                      <w:sz w:val="21"/>
                      <w:szCs w:val="21"/>
                    </w:rPr>
                    <w:t>新建有色金属冶炼、石油加工、化工、电</w:t>
                  </w:r>
                  <w:r>
                    <w:rPr>
                      <w:rFonts w:hint="default" w:ascii="Times New Roman" w:hAnsi="Times New Roman" w:eastAsia="宋体" w:cs="Times New Roman"/>
                      <w:spacing w:val="9"/>
                      <w:sz w:val="21"/>
                      <w:szCs w:val="21"/>
                    </w:rPr>
                    <w:t>镀、制革、制药、铅酸蓄电池行业企业；</w:t>
                  </w:r>
                  <w:r>
                    <w:rPr>
                      <w:rFonts w:hint="default" w:ascii="Times New Roman" w:hAnsi="Times New Roman" w:eastAsia="宋体" w:cs="Times New Roman"/>
                      <w:spacing w:val="10"/>
                      <w:sz w:val="21"/>
                      <w:szCs w:val="21"/>
                    </w:rPr>
                    <w:t>结合区域功能定位和土壤污染防治需要，</w:t>
                  </w:r>
                  <w:r>
                    <w:rPr>
                      <w:rFonts w:hint="default" w:ascii="Times New Roman" w:hAnsi="Times New Roman" w:eastAsia="宋体" w:cs="Times New Roman"/>
                      <w:spacing w:val="9"/>
                      <w:sz w:val="21"/>
                      <w:szCs w:val="21"/>
                    </w:rPr>
                    <w:t>科学布局城乡生活垃圾处理、危险废物处置、废旧资源再生利用等设施和场所，确</w:t>
                  </w:r>
                  <w:r>
                    <w:rPr>
                      <w:rFonts w:hint="default" w:ascii="Times New Roman" w:hAnsi="Times New Roman" w:eastAsia="宋体" w:cs="Times New Roman"/>
                      <w:spacing w:val="1"/>
                      <w:sz w:val="21"/>
                      <w:szCs w:val="21"/>
                    </w:rPr>
                    <w:t>定合理的防护距离。4.严禁将污泥直接用作</w:t>
                  </w:r>
                  <w:r>
                    <w:rPr>
                      <w:rFonts w:hint="default" w:ascii="Times New Roman" w:hAnsi="Times New Roman" w:eastAsia="宋体" w:cs="Times New Roman"/>
                      <w:spacing w:val="9"/>
                      <w:sz w:val="21"/>
                      <w:szCs w:val="21"/>
                    </w:rPr>
                    <w:t>肥料，禁止不达标污泥就地堆放，结合污泥处理设施升级改造，逐步取消原生污泥</w:t>
                  </w:r>
                  <w:r>
                    <w:rPr>
                      <w:rFonts w:hint="default" w:ascii="Times New Roman" w:hAnsi="Times New Roman" w:eastAsia="宋体" w:cs="Times New Roman"/>
                      <w:spacing w:val="11"/>
                      <w:sz w:val="21"/>
                      <w:szCs w:val="21"/>
                    </w:rPr>
                    <w:t>简易填埋等不符合环保要求的处置方式。</w:t>
                  </w:r>
                  <w:r>
                    <w:rPr>
                      <w:rFonts w:hint="default" w:ascii="Times New Roman" w:hAnsi="Times New Roman" w:eastAsia="宋体" w:cs="Times New Roman"/>
                      <w:spacing w:val="9"/>
                      <w:sz w:val="21"/>
                      <w:szCs w:val="21"/>
                    </w:rPr>
                    <w:t>鼓励利用水泥厂等工业窑炉，开展污泥协</w:t>
                  </w:r>
                  <w:r>
                    <w:rPr>
                      <w:rFonts w:hint="default" w:ascii="Times New Roman" w:hAnsi="Times New Roman" w:eastAsia="宋体" w:cs="Times New Roman"/>
                      <w:spacing w:val="6"/>
                      <w:sz w:val="21"/>
                      <w:szCs w:val="21"/>
                    </w:rPr>
                    <w:t>同焚烧处置。5.禁止在居民区、学校、医</w:t>
                  </w:r>
                  <w:r>
                    <w:rPr>
                      <w:rFonts w:hint="default" w:ascii="Times New Roman" w:hAnsi="Times New Roman" w:eastAsia="宋体" w:cs="Times New Roman"/>
                      <w:spacing w:val="9"/>
                      <w:sz w:val="21"/>
                      <w:szCs w:val="21"/>
                    </w:rPr>
                    <w:t>疗和养老机构等周边规划布局可能造成土</w:t>
                  </w:r>
                  <w:r>
                    <w:rPr>
                      <w:rFonts w:hint="default" w:ascii="Times New Roman" w:hAnsi="Times New Roman" w:eastAsia="宋体" w:cs="Times New Roman"/>
                      <w:spacing w:val="6"/>
                      <w:sz w:val="21"/>
                      <w:szCs w:val="21"/>
                    </w:rPr>
                    <w:t>壤污染的建设项目。6.扎实推进土壤污染</w:t>
                  </w:r>
                  <w:r>
                    <w:rPr>
                      <w:rFonts w:hint="default" w:ascii="Times New Roman" w:hAnsi="Times New Roman" w:eastAsia="宋体" w:cs="Times New Roman"/>
                      <w:spacing w:val="9"/>
                      <w:sz w:val="21"/>
                      <w:szCs w:val="21"/>
                    </w:rPr>
                    <w:t>调查评估。及时将关闭、搬迁、注销、撤</w:t>
                  </w:r>
                  <w:r>
                    <w:rPr>
                      <w:rFonts w:hint="default" w:ascii="Times New Roman" w:hAnsi="Times New Roman" w:eastAsia="宋体" w:cs="Times New Roman"/>
                      <w:spacing w:val="10"/>
                      <w:sz w:val="21"/>
                      <w:szCs w:val="21"/>
                    </w:rPr>
                    <w:t>销排污许可证的企业用地纳入监管范畴，</w:t>
                  </w:r>
                  <w:r>
                    <w:rPr>
                      <w:rFonts w:hint="default" w:ascii="Times New Roman" w:hAnsi="Times New Roman" w:eastAsia="宋体" w:cs="Times New Roman"/>
                      <w:spacing w:val="9"/>
                      <w:sz w:val="21"/>
                      <w:szCs w:val="21"/>
                    </w:rPr>
                    <w:t>防止腾退地块游离于监管之外。用途变更</w:t>
                  </w:r>
                  <w:r>
                    <w:rPr>
                      <w:rFonts w:hint="default" w:ascii="Times New Roman" w:hAnsi="Times New Roman" w:eastAsia="宋体" w:cs="Times New Roman"/>
                      <w:spacing w:val="8"/>
                      <w:sz w:val="21"/>
                      <w:szCs w:val="21"/>
                    </w:rPr>
                    <w:t>为“一住两公”（住宅、公共管理与公共</w:t>
                  </w:r>
                  <w:r>
                    <w:rPr>
                      <w:rFonts w:hint="default" w:ascii="Times New Roman" w:hAnsi="Times New Roman" w:eastAsia="宋体" w:cs="Times New Roman"/>
                      <w:spacing w:val="9"/>
                      <w:sz w:val="21"/>
                      <w:szCs w:val="21"/>
                    </w:rPr>
                    <w:t>服务用地）、土壤污染重点监管单位生产</w:t>
                  </w:r>
                  <w:r>
                    <w:rPr>
                      <w:rFonts w:hint="default" w:ascii="Times New Roman" w:hAnsi="Times New Roman" w:eastAsia="宋体" w:cs="Times New Roman"/>
                      <w:spacing w:val="22"/>
                      <w:sz w:val="21"/>
                      <w:szCs w:val="21"/>
                    </w:rPr>
                    <w:t>经营用地用途变更或者其土地使用权收</w:t>
                  </w:r>
                  <w:r>
                    <w:rPr>
                      <w:rFonts w:hint="default" w:ascii="Times New Roman" w:hAnsi="Times New Roman" w:eastAsia="宋体" w:cs="Times New Roman"/>
                      <w:spacing w:val="9"/>
                      <w:sz w:val="21"/>
                      <w:szCs w:val="21"/>
                    </w:rPr>
                    <w:t>回、转让前，以及土壤污染状况普查、详查和监测、现场检查表明有土壤污染风险的地块，土地使用权人应当依法开展土壤</w:t>
                  </w:r>
                  <w:r>
                    <w:rPr>
                      <w:rFonts w:hint="default" w:ascii="Times New Roman" w:hAnsi="Times New Roman" w:eastAsia="宋体" w:cs="Times New Roman"/>
                      <w:spacing w:val="1"/>
                      <w:sz w:val="21"/>
                      <w:szCs w:val="21"/>
                    </w:rPr>
                    <w:t>污染状况调查和评估。7.严格落实总量控制</w:t>
                  </w:r>
                  <w:r>
                    <w:rPr>
                      <w:rFonts w:hint="default" w:ascii="Times New Roman" w:hAnsi="Times New Roman" w:eastAsia="宋体" w:cs="Times New Roman"/>
                      <w:spacing w:val="9"/>
                      <w:sz w:val="21"/>
                      <w:szCs w:val="21"/>
                    </w:rPr>
                    <w:t>制度，动态更新涉重金属重点行业企业全口径清单，持续推进重金属减排。依法依</w:t>
                  </w:r>
                  <w:r>
                    <w:rPr>
                      <w:rFonts w:hint="default" w:ascii="Times New Roman" w:hAnsi="Times New Roman" w:eastAsia="宋体" w:cs="Times New Roman"/>
                      <w:spacing w:val="10"/>
                      <w:sz w:val="21"/>
                      <w:szCs w:val="21"/>
                    </w:rPr>
                    <w:t>规将符合条件的排放镉等有毒有害大气、</w:t>
                  </w:r>
                  <w:r>
                    <w:rPr>
                      <w:rFonts w:hint="default" w:ascii="Times New Roman" w:hAnsi="Times New Roman" w:eastAsia="宋体" w:cs="Times New Roman"/>
                      <w:spacing w:val="2"/>
                      <w:sz w:val="21"/>
                      <w:szCs w:val="21"/>
                    </w:rPr>
                    <w:t>水污染物的企业，纳入重点排污单位名录。</w:t>
                  </w:r>
                  <w:r>
                    <w:rPr>
                      <w:rFonts w:hint="default" w:ascii="Times New Roman" w:hAnsi="Times New Roman" w:eastAsia="宋体" w:cs="Times New Roman"/>
                      <w:spacing w:val="9"/>
                      <w:sz w:val="21"/>
                      <w:szCs w:val="21"/>
                    </w:rPr>
                    <w:t>聚焦大气重点排污单位名录中的涉镉等重金属排放企业，督促开展大气污染物中颗</w:t>
                  </w:r>
                  <w:r>
                    <w:rPr>
                      <w:rFonts w:hint="default" w:ascii="Times New Roman" w:hAnsi="Times New Roman" w:eastAsia="宋体" w:cs="Times New Roman"/>
                      <w:spacing w:val="3"/>
                      <w:sz w:val="21"/>
                      <w:szCs w:val="21"/>
                    </w:rPr>
                    <w:t>粒物在线监测与监控联网工作。8.以农药、</w:t>
                  </w:r>
                  <w:r>
                    <w:rPr>
                      <w:rFonts w:hint="default" w:ascii="Times New Roman" w:hAnsi="Times New Roman" w:eastAsia="宋体" w:cs="Times New Roman"/>
                      <w:spacing w:val="9"/>
                      <w:sz w:val="21"/>
                      <w:szCs w:val="21"/>
                    </w:rPr>
                    <w:t>化工、钢铁等行业企业关闭搬迁腾退土地</w:t>
                  </w:r>
                  <w:r>
                    <w:rPr>
                      <w:rFonts w:hint="default" w:ascii="Times New Roman" w:hAnsi="Times New Roman" w:eastAsia="宋体" w:cs="Times New Roman"/>
                      <w:spacing w:val="2"/>
                      <w:sz w:val="21"/>
                      <w:szCs w:val="21"/>
                    </w:rPr>
                    <w:t>为重点，强化调查评估、风险管控与修复、</w:t>
                  </w:r>
                  <w:r>
                    <w:rPr>
                      <w:rFonts w:hint="default" w:ascii="Times New Roman" w:hAnsi="Times New Roman" w:eastAsia="宋体" w:cs="Times New Roman"/>
                      <w:spacing w:val="9"/>
                      <w:sz w:val="21"/>
                      <w:szCs w:val="21"/>
                    </w:rPr>
                    <w:t>效果评估、后期管理等全流程监管。对暂不开发利用的污染地块，所在地县级生态环境部门提出划定隔离区域建议，报同级</w:t>
                  </w:r>
                  <w:r>
                    <w:rPr>
                      <w:rFonts w:hint="default" w:ascii="Times New Roman" w:hAnsi="Times New Roman" w:eastAsia="宋体" w:cs="Times New Roman"/>
                      <w:spacing w:val="10"/>
                      <w:sz w:val="21"/>
                      <w:szCs w:val="21"/>
                    </w:rPr>
                    <w:t>人民政府批准后，设立标识、发布公告，</w:t>
                  </w:r>
                  <w:r>
                    <w:rPr>
                      <w:rFonts w:hint="default" w:ascii="Times New Roman" w:hAnsi="Times New Roman" w:eastAsia="宋体" w:cs="Times New Roman"/>
                      <w:spacing w:val="9"/>
                      <w:sz w:val="21"/>
                      <w:szCs w:val="21"/>
                    </w:rPr>
                    <w:t>并组织土地使用权人或土壤污染责任人实施土壤及地下水污染状况监测等风险管控</w:t>
                  </w:r>
                  <w:r>
                    <w:rPr>
                      <w:rFonts w:hint="default" w:ascii="Times New Roman" w:hAnsi="Times New Roman" w:eastAsia="宋体" w:cs="Times New Roman"/>
                      <w:spacing w:val="6"/>
                      <w:sz w:val="21"/>
                      <w:szCs w:val="21"/>
                    </w:rPr>
                    <w:t>措施。9.健全生活垃圾收集、转运和处置</w:t>
                  </w:r>
                  <w:r>
                    <w:rPr>
                      <w:rFonts w:hint="default" w:ascii="Times New Roman" w:hAnsi="Times New Roman" w:eastAsia="宋体" w:cs="Times New Roman"/>
                      <w:spacing w:val="8"/>
                      <w:sz w:val="21"/>
                      <w:szCs w:val="21"/>
                    </w:rPr>
                    <w:t>体系，到2025年实现农村生活垃圾收运</w:t>
                  </w:r>
                  <w:r>
                    <w:rPr>
                      <w:rFonts w:hint="default" w:ascii="Times New Roman" w:hAnsi="Times New Roman" w:eastAsia="宋体" w:cs="Times New Roman"/>
                      <w:spacing w:val="9"/>
                      <w:sz w:val="21"/>
                      <w:szCs w:val="21"/>
                    </w:rPr>
                    <w:t>处置体系全覆盖；促进生活垃圾无害化处理和资源化利用，创新体制机制，全面推</w:t>
                  </w:r>
                  <w:r>
                    <w:rPr>
                      <w:rFonts w:hint="default" w:ascii="Times New Roman" w:hAnsi="Times New Roman" w:eastAsia="宋体" w:cs="Times New Roman"/>
                      <w:spacing w:val="2"/>
                      <w:sz w:val="21"/>
                      <w:szCs w:val="21"/>
                    </w:rPr>
                    <w:t>进垃圾焚烧发电，逐步扭转传统填埋方式。</w:t>
                  </w:r>
                  <w:r>
                    <w:rPr>
                      <w:rFonts w:hint="default" w:ascii="Times New Roman" w:hAnsi="Times New Roman" w:eastAsia="宋体" w:cs="Times New Roman"/>
                      <w:spacing w:val="6"/>
                      <w:sz w:val="21"/>
                      <w:szCs w:val="21"/>
                    </w:rPr>
                    <w:t>实现垃圾焚烧处理能力县域全覆盖。10.按</w:t>
                  </w:r>
                  <w:r>
                    <w:rPr>
                      <w:rFonts w:hint="default" w:ascii="Times New Roman" w:hAnsi="Times New Roman" w:eastAsia="宋体" w:cs="Times New Roman"/>
                      <w:spacing w:val="9"/>
                      <w:sz w:val="21"/>
                      <w:szCs w:val="21"/>
                    </w:rPr>
                    <w:t>照省部署，对电镀、制革行业实施清洁生产技术改造，鼓励推动金属制品业、化学</w:t>
                  </w:r>
                  <w:r>
                    <w:rPr>
                      <w:rFonts w:hint="default" w:ascii="Times New Roman" w:hAnsi="Times New Roman" w:eastAsia="宋体" w:cs="Times New Roman"/>
                      <w:spacing w:val="22"/>
                      <w:sz w:val="21"/>
                      <w:szCs w:val="21"/>
                    </w:rPr>
                    <w:t>原料和化学制造业等行业企业实施管道</w:t>
                  </w:r>
                  <w:r>
                    <w:rPr>
                      <w:rFonts w:hint="default" w:ascii="Times New Roman" w:hAnsi="Times New Roman" w:eastAsia="宋体" w:cs="Times New Roman"/>
                      <w:spacing w:val="9"/>
                      <w:sz w:val="21"/>
                      <w:szCs w:val="21"/>
                    </w:rPr>
                    <w:t>化、密闭化改造，实施物料、污水、废气</w:t>
                  </w:r>
                  <w:r>
                    <w:rPr>
                      <w:rFonts w:hint="default" w:ascii="Times New Roman" w:hAnsi="Times New Roman" w:eastAsia="宋体" w:cs="Times New Roman"/>
                      <w:spacing w:val="11"/>
                      <w:sz w:val="21"/>
                      <w:szCs w:val="21"/>
                    </w:rPr>
                    <w:t>管线架空建设和重点区域防腐防渗改造。</w:t>
                  </w:r>
                  <w:r>
                    <w:rPr>
                      <w:rFonts w:hint="default" w:ascii="Times New Roman" w:hAnsi="Times New Roman" w:eastAsia="宋体" w:cs="Times New Roman"/>
                      <w:spacing w:val="3"/>
                      <w:sz w:val="21"/>
                      <w:szCs w:val="21"/>
                    </w:rPr>
                    <w:t>11.以用途变更为“一住两公”的污染地块</w:t>
                  </w:r>
                  <w:r>
                    <w:rPr>
                      <w:rFonts w:hint="default" w:ascii="Times New Roman" w:hAnsi="Times New Roman" w:eastAsia="宋体" w:cs="Times New Roman"/>
                      <w:spacing w:val="9"/>
                      <w:sz w:val="21"/>
                      <w:szCs w:val="21"/>
                    </w:rPr>
                    <w:t>为重点，实施以安全利用为目的的风险防控，编制风险防控方案、合理制定开发利</w:t>
                  </w:r>
                  <w:r>
                    <w:rPr>
                      <w:rFonts w:hint="default" w:ascii="Times New Roman" w:hAnsi="Times New Roman" w:eastAsia="宋体" w:cs="Times New Roman"/>
                      <w:spacing w:val="2"/>
                      <w:sz w:val="21"/>
                      <w:szCs w:val="21"/>
                    </w:rPr>
                    <w:t>用计划，对于需要治理与修复的污染地块，</w:t>
                  </w:r>
                  <w:r>
                    <w:rPr>
                      <w:rFonts w:hint="default" w:ascii="Times New Roman" w:hAnsi="Times New Roman" w:eastAsia="宋体" w:cs="Times New Roman"/>
                      <w:spacing w:val="1"/>
                      <w:sz w:val="21"/>
                      <w:szCs w:val="21"/>
                    </w:rPr>
                    <w:t>开展治理与修复工作。12.加强对曾用于生</w:t>
                  </w:r>
                  <w:r>
                    <w:rPr>
                      <w:rFonts w:hint="default" w:ascii="Times New Roman" w:hAnsi="Times New Roman" w:eastAsia="宋体" w:cs="Times New Roman"/>
                      <w:spacing w:val="9"/>
                      <w:sz w:val="21"/>
                      <w:szCs w:val="21"/>
                    </w:rPr>
                    <w:t>产、使用、贮存、回收、处置有毒有害物</w:t>
                  </w:r>
                  <w:r>
                    <w:rPr>
                      <w:rFonts w:hint="default" w:ascii="Times New Roman" w:hAnsi="Times New Roman" w:eastAsia="宋体" w:cs="Times New Roman"/>
                      <w:spacing w:val="4"/>
                      <w:sz w:val="21"/>
                      <w:szCs w:val="21"/>
                    </w:rPr>
                    <w:t>质的；曾用于固体废物堆放、填埋的；曾</w:t>
                  </w:r>
                  <w:r>
                    <w:rPr>
                      <w:rFonts w:hint="default" w:ascii="Times New Roman" w:hAnsi="Times New Roman" w:eastAsia="宋体" w:cs="Times New Roman"/>
                      <w:spacing w:val="7"/>
                      <w:sz w:val="21"/>
                      <w:szCs w:val="21"/>
                    </w:rPr>
                    <w:t>发生过重大、特大污染事故的；国家有关</w:t>
                  </w:r>
                  <w:r>
                    <w:rPr>
                      <w:rFonts w:hint="default" w:ascii="Times New Roman" w:hAnsi="Times New Roman" w:eastAsia="宋体" w:cs="Times New Roman"/>
                      <w:spacing w:val="9"/>
                      <w:sz w:val="21"/>
                      <w:szCs w:val="21"/>
                    </w:rPr>
                    <w:t>部门规定的其他情形的等建设用地地块的</w:t>
                  </w:r>
                  <w:r>
                    <w:rPr>
                      <w:rFonts w:hint="default" w:ascii="Times New Roman" w:hAnsi="Times New Roman" w:eastAsia="宋体" w:cs="Times New Roman"/>
                      <w:spacing w:val="3"/>
                      <w:sz w:val="21"/>
                      <w:szCs w:val="21"/>
                    </w:rPr>
                    <w:t>重点监测。</w:t>
                  </w:r>
                </w:p>
              </w:tc>
              <w:tc>
                <w:tcPr>
                  <w:tcW w:w="805" w:type="pct"/>
                  <w:noWrap w:val="0"/>
                  <w:vAlign w:val="center"/>
                </w:tcPr>
                <w:p w14:paraId="6F0193E5">
                  <w:pPr>
                    <w:pStyle w:val="164"/>
                    <w:jc w:val="center"/>
                    <w:rPr>
                      <w:rFonts w:hint="default" w:ascii="Times New Roman" w:hAnsi="Times New Roman" w:eastAsia="宋体" w:cs="Times New Roman"/>
                      <w:color w:val="auto"/>
                      <w:spacing w:val="8"/>
                      <w:sz w:val="21"/>
                      <w:szCs w:val="21"/>
                    </w:rPr>
                  </w:pPr>
                  <w:r>
                    <w:rPr>
                      <w:rFonts w:ascii="Times New Roman" w:hAnsi="Times New Roman" w:cs="Times New Roman"/>
                      <w:color w:val="auto"/>
                      <w:spacing w:val="8"/>
                      <w:sz w:val="21"/>
                      <w:szCs w:val="21"/>
                    </w:rPr>
                    <w:t>本项目不属于铅酸蓄电池、制革等落后产能或产能过剩行业，不涉及重金属排放；不属于高污染企业，本项目利用厂区内现有厂房进行建设，</w:t>
                  </w:r>
                  <w:r>
                    <w:rPr>
                      <w:rFonts w:ascii="Times New Roman" w:hAnsi="Times New Roman" w:cs="Times New Roman"/>
                      <w:color w:val="auto"/>
                      <w:spacing w:val="8"/>
                      <w:sz w:val="21"/>
                      <w:szCs w:val="21"/>
                      <w:highlight w:val="none"/>
                    </w:rPr>
                    <w:t>用地为</w:t>
                  </w:r>
                  <w:r>
                    <w:rPr>
                      <w:rFonts w:hint="eastAsia" w:ascii="Times New Roman" w:hAnsi="Times New Roman" w:cs="Times New Roman"/>
                      <w:color w:val="auto"/>
                      <w:spacing w:val="8"/>
                      <w:sz w:val="21"/>
                      <w:szCs w:val="21"/>
                      <w:highlight w:val="none"/>
                      <w:lang w:eastAsia="zh-CN"/>
                    </w:rPr>
                    <w:t>工业</w:t>
                  </w:r>
                  <w:r>
                    <w:rPr>
                      <w:rFonts w:ascii="Times New Roman" w:hAnsi="Times New Roman" w:cs="Times New Roman"/>
                      <w:color w:val="auto"/>
                      <w:spacing w:val="8"/>
                      <w:sz w:val="21"/>
                      <w:szCs w:val="21"/>
                      <w:highlight w:val="none"/>
                    </w:rPr>
                    <w:t>用地；</w:t>
                  </w:r>
                  <w:r>
                    <w:rPr>
                      <w:rFonts w:ascii="Times New Roman" w:hAnsi="Times New Roman" w:cs="Times New Roman"/>
                      <w:color w:val="auto"/>
                      <w:spacing w:val="8"/>
                      <w:sz w:val="21"/>
                      <w:szCs w:val="21"/>
                    </w:rPr>
                    <w:t>其他项均不涉及。</w:t>
                  </w:r>
                </w:p>
              </w:tc>
              <w:tc>
                <w:tcPr>
                  <w:tcW w:w="309" w:type="pct"/>
                  <w:noWrap w:val="0"/>
                  <w:vAlign w:val="center"/>
                </w:tcPr>
                <w:p w14:paraId="0ADCC1B4">
                  <w:pPr>
                    <w:adjustRightInd w:val="0"/>
                    <w:snapToGrid w:val="0"/>
                    <w:jc w:val="center"/>
                    <w:rPr>
                      <w:rFonts w:hint="default" w:ascii="Times New Roman" w:hAnsi="Times New Roman" w:eastAsia="宋体" w:cs="Times New Roman"/>
                      <w:spacing w:val="4"/>
                      <w:sz w:val="21"/>
                      <w:szCs w:val="21"/>
                    </w:rPr>
                  </w:pPr>
                </w:p>
              </w:tc>
            </w:tr>
            <w:tr w14:paraId="42767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6908274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6"/>
                      <w:sz w:val="21"/>
                      <w:szCs w:val="21"/>
                    </w:rPr>
                    <w:t>资源利用总体管控要求</w:t>
                  </w:r>
                </w:p>
              </w:tc>
            </w:tr>
            <w:tr w14:paraId="2AB27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restart"/>
                  <w:noWrap w:val="0"/>
                  <w:vAlign w:val="center"/>
                </w:tcPr>
                <w:p w14:paraId="6F10E79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水资源</w:t>
                  </w:r>
                </w:p>
              </w:tc>
              <w:tc>
                <w:tcPr>
                  <w:tcW w:w="331" w:type="pct"/>
                  <w:noWrap w:val="0"/>
                  <w:vAlign w:val="center"/>
                </w:tcPr>
                <w:p w14:paraId="1C1A299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超采区</w:t>
                  </w:r>
                </w:p>
              </w:tc>
              <w:tc>
                <w:tcPr>
                  <w:tcW w:w="3210" w:type="pct"/>
                  <w:noWrap w:val="0"/>
                  <w:vAlign w:val="center"/>
                </w:tcPr>
                <w:p w14:paraId="4E12F65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1.在地下水禁采区内，除为保障地下工程施</w:t>
                  </w:r>
                  <w:r>
                    <w:rPr>
                      <w:rFonts w:hint="default" w:ascii="Times New Roman" w:hAnsi="Times New Roman" w:eastAsia="宋体" w:cs="Times New Roman"/>
                      <w:spacing w:val="22"/>
                      <w:sz w:val="21"/>
                      <w:szCs w:val="21"/>
                    </w:rPr>
                    <w:t>工安全和生产安全必须进行临时应急取</w:t>
                  </w:r>
                  <w:r>
                    <w:rPr>
                      <w:rFonts w:hint="default" w:ascii="Times New Roman" w:hAnsi="Times New Roman" w:eastAsia="宋体" w:cs="Times New Roman"/>
                      <w:spacing w:val="9"/>
                      <w:sz w:val="21"/>
                      <w:szCs w:val="21"/>
                    </w:rPr>
                    <w:t>（排）水、为消除对公共安全或者公共利</w:t>
                  </w:r>
                  <w:r>
                    <w:rPr>
                      <w:rFonts w:hint="default" w:ascii="Times New Roman" w:hAnsi="Times New Roman" w:eastAsia="宋体" w:cs="Times New Roman"/>
                      <w:spacing w:val="7"/>
                      <w:sz w:val="21"/>
                      <w:szCs w:val="21"/>
                    </w:rPr>
                    <w:t>益的危害临时应急取水，以及为开展地下</w:t>
                  </w:r>
                  <w:r>
                    <w:rPr>
                      <w:rFonts w:hint="default" w:ascii="Times New Roman" w:hAnsi="Times New Roman" w:eastAsia="宋体" w:cs="Times New Roman"/>
                      <w:spacing w:val="5"/>
                      <w:sz w:val="21"/>
                      <w:szCs w:val="21"/>
                    </w:rPr>
                    <w:t>水监测、勘探、试验少量取水外，禁止取</w:t>
                  </w:r>
                  <w:r>
                    <w:rPr>
                      <w:rFonts w:hint="default" w:ascii="Times New Roman" w:hAnsi="Times New Roman" w:eastAsia="宋体" w:cs="Times New Roman"/>
                      <w:spacing w:val="1"/>
                      <w:sz w:val="21"/>
                      <w:szCs w:val="21"/>
                    </w:rPr>
                    <w:t>用地下水。2.在地下水限采区内，对当地社</w:t>
                  </w:r>
                  <w:r>
                    <w:rPr>
                      <w:rFonts w:hint="default" w:ascii="Times New Roman" w:hAnsi="Times New Roman" w:eastAsia="宋体" w:cs="Times New Roman"/>
                      <w:spacing w:val="9"/>
                      <w:sz w:val="21"/>
                      <w:szCs w:val="21"/>
                    </w:rPr>
                    <w:t>会发展和群众生活有重大影响的重点建设</w:t>
                  </w:r>
                  <w:r>
                    <w:rPr>
                      <w:rFonts w:hint="default" w:ascii="Times New Roman" w:hAnsi="Times New Roman" w:eastAsia="宋体" w:cs="Times New Roman"/>
                      <w:spacing w:val="2"/>
                      <w:sz w:val="21"/>
                      <w:szCs w:val="21"/>
                    </w:rPr>
                    <w:t>项目确需取用地下水的，应按照用1减2</w:t>
                  </w:r>
                  <w:r>
                    <w:rPr>
                      <w:rFonts w:hint="default" w:ascii="Times New Roman" w:hAnsi="Times New Roman" w:eastAsia="宋体" w:cs="Times New Roman"/>
                      <w:spacing w:val="9"/>
                      <w:sz w:val="21"/>
                      <w:szCs w:val="21"/>
                    </w:rPr>
                    <w:t>的比例以及先减后加的原则，同步削减其</w:t>
                  </w:r>
                  <w:r>
                    <w:rPr>
                      <w:rFonts w:hint="default" w:ascii="Times New Roman" w:hAnsi="Times New Roman" w:eastAsia="宋体" w:cs="Times New Roman"/>
                      <w:spacing w:val="2"/>
                      <w:sz w:val="21"/>
                      <w:szCs w:val="21"/>
                    </w:rPr>
                    <w:t>他取水单位的地下水开采量，且不得深层、</w:t>
                  </w:r>
                  <w:r>
                    <w:rPr>
                      <w:rFonts w:hint="default" w:ascii="Times New Roman" w:hAnsi="Times New Roman" w:eastAsia="宋体" w:cs="Times New Roman"/>
                      <w:spacing w:val="9"/>
                      <w:sz w:val="21"/>
                      <w:szCs w:val="21"/>
                    </w:rPr>
                    <w:t>浅层地下水相互替代。地下水开发利用应当以浅层地下水为主。深层地下水作为战略储备水源、应急供水水源、无替代水源</w:t>
                  </w:r>
                  <w:r>
                    <w:rPr>
                      <w:rFonts w:hint="default" w:ascii="Times New Roman" w:hAnsi="Times New Roman" w:eastAsia="宋体" w:cs="Times New Roman"/>
                      <w:spacing w:val="2"/>
                      <w:sz w:val="21"/>
                      <w:szCs w:val="21"/>
                    </w:rPr>
                    <w:t>地区的居民生活水源，应当严格限制开采。</w:t>
                  </w:r>
                </w:p>
              </w:tc>
              <w:tc>
                <w:tcPr>
                  <w:tcW w:w="805" w:type="pct"/>
                  <w:vMerge w:val="restart"/>
                  <w:noWrap w:val="0"/>
                  <w:vAlign w:val="center"/>
                </w:tcPr>
                <w:p w14:paraId="326CA42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本项目采用附近村庄供水管网供水，符合资源利用要求。</w:t>
                  </w:r>
                </w:p>
              </w:tc>
              <w:tc>
                <w:tcPr>
                  <w:tcW w:w="309" w:type="pct"/>
                  <w:noWrap w:val="0"/>
                  <w:vAlign w:val="center"/>
                </w:tcPr>
                <w:p w14:paraId="722CA40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1F45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continue"/>
                  <w:noWrap w:val="0"/>
                  <w:vAlign w:val="center"/>
                </w:tcPr>
                <w:p w14:paraId="73571E12">
                  <w:pPr>
                    <w:adjustRightInd w:val="0"/>
                    <w:snapToGrid w:val="0"/>
                    <w:jc w:val="center"/>
                    <w:rPr>
                      <w:rFonts w:hint="default" w:ascii="Times New Roman" w:hAnsi="Times New Roman" w:eastAsia="宋体" w:cs="Times New Roman"/>
                      <w:spacing w:val="4"/>
                      <w:sz w:val="21"/>
                      <w:szCs w:val="21"/>
                    </w:rPr>
                  </w:pPr>
                </w:p>
              </w:tc>
              <w:tc>
                <w:tcPr>
                  <w:tcW w:w="331" w:type="pct"/>
                  <w:noWrap w:val="0"/>
                  <w:vAlign w:val="center"/>
                </w:tcPr>
                <w:p w14:paraId="2B080AC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生态补水区</w:t>
                  </w:r>
                </w:p>
              </w:tc>
              <w:tc>
                <w:tcPr>
                  <w:tcW w:w="3210" w:type="pct"/>
                  <w:noWrap w:val="0"/>
                  <w:vAlign w:val="center"/>
                </w:tcPr>
                <w:p w14:paraId="6FC036E5">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12"/>
                      <w:sz w:val="21"/>
                      <w:szCs w:val="21"/>
                    </w:rPr>
                    <w:t>1.</w:t>
                  </w:r>
                  <w:r>
                    <w:rPr>
                      <w:rFonts w:hint="default" w:ascii="Times New Roman" w:hAnsi="Times New Roman" w:eastAsia="宋体" w:cs="Times New Roman"/>
                      <w:color w:val="auto"/>
                      <w:spacing w:val="10"/>
                      <w:sz w:val="21"/>
                      <w:szCs w:val="21"/>
                    </w:rPr>
                    <w:t>加强京津冀水资源协同配置，利用上游水库相机补水，对潮</w:t>
                  </w:r>
                  <w:r>
                    <w:rPr>
                      <w:rFonts w:hint="default" w:ascii="Times New Roman" w:hAnsi="Times New Roman" w:eastAsia="宋体" w:cs="Times New Roman"/>
                      <w:color w:val="auto"/>
                      <w:spacing w:val="9"/>
                      <w:sz w:val="21"/>
                      <w:szCs w:val="21"/>
                    </w:rPr>
                    <w:t>白河、北运河、永定河、龙河、大清河、</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11"/>
                      <w:sz w:val="21"/>
                      <w:szCs w:val="21"/>
                    </w:rPr>
                    <w:t>子牙河等生态用水补给区实施长效的补水机制。根据境内输水河渠</w:t>
                  </w:r>
                  <w:r>
                    <w:rPr>
                      <w:rFonts w:hint="default" w:ascii="Times New Roman" w:hAnsi="Times New Roman" w:eastAsia="宋体" w:cs="Times New Roman"/>
                      <w:color w:val="auto"/>
                      <w:spacing w:val="10"/>
                      <w:sz w:val="21"/>
                      <w:szCs w:val="21"/>
                    </w:rPr>
                    <w:t>实际情况，到</w:t>
                  </w:r>
                  <w:r>
                    <w:rPr>
                      <w:rFonts w:hint="default" w:ascii="Times New Roman" w:hAnsi="Times New Roman" w:eastAsia="宋体" w:cs="Times New Roman"/>
                      <w:color w:val="auto"/>
                      <w:spacing w:val="-40"/>
                      <w:sz w:val="21"/>
                      <w:szCs w:val="21"/>
                    </w:rPr>
                    <w:t xml:space="preserve"> </w:t>
                  </w:r>
                  <w:r>
                    <w:rPr>
                      <w:rFonts w:hint="default" w:ascii="Times New Roman" w:hAnsi="Times New Roman" w:eastAsia="宋体" w:cs="Times New Roman"/>
                      <w:color w:val="auto"/>
                      <w:spacing w:val="10"/>
                      <w:sz w:val="21"/>
                      <w:szCs w:val="21"/>
                    </w:rPr>
                    <w:t>2025 年引水总量力争</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6"/>
                      <w:sz w:val="21"/>
                      <w:szCs w:val="21"/>
                    </w:rPr>
                    <w:t>达到</w:t>
                  </w:r>
                  <w:r>
                    <w:rPr>
                      <w:rFonts w:hint="default" w:ascii="Times New Roman" w:hAnsi="Times New Roman" w:eastAsia="宋体" w:cs="Times New Roman"/>
                      <w:color w:val="auto"/>
                      <w:spacing w:val="-23"/>
                      <w:sz w:val="21"/>
                      <w:szCs w:val="21"/>
                    </w:rPr>
                    <w:t xml:space="preserve"> </w:t>
                  </w:r>
                  <w:r>
                    <w:rPr>
                      <w:rFonts w:hint="default" w:ascii="Times New Roman" w:hAnsi="Times New Roman" w:eastAsia="宋体" w:cs="Times New Roman"/>
                      <w:color w:val="auto"/>
                      <w:spacing w:val="6"/>
                      <w:sz w:val="21"/>
                      <w:szCs w:val="21"/>
                    </w:rPr>
                    <w:t>1 亿立方米以上。“十四五”力争实现河流上下游全线贯通，尽量延长全线有水时长</w:t>
                  </w:r>
                  <w:r>
                    <w:rPr>
                      <w:rFonts w:hint="default" w:ascii="Times New Roman" w:hAnsi="Times New Roman" w:eastAsia="宋体" w:cs="Times New Roman"/>
                      <w:color w:val="auto"/>
                      <w:spacing w:val="5"/>
                      <w:sz w:val="21"/>
                      <w:szCs w:val="21"/>
                    </w:rPr>
                    <w:t>。</w:t>
                  </w:r>
                </w:p>
              </w:tc>
              <w:tc>
                <w:tcPr>
                  <w:tcW w:w="805" w:type="pct"/>
                  <w:vMerge w:val="continue"/>
                  <w:noWrap w:val="0"/>
                  <w:vAlign w:val="center"/>
                </w:tcPr>
                <w:p w14:paraId="54EE2C46">
                  <w:pPr>
                    <w:adjustRightInd w:val="0"/>
                    <w:snapToGrid w:val="0"/>
                    <w:jc w:val="center"/>
                    <w:rPr>
                      <w:rFonts w:hint="default" w:ascii="Times New Roman" w:hAnsi="Times New Roman" w:eastAsia="宋体" w:cs="Times New Roman"/>
                      <w:spacing w:val="4"/>
                      <w:sz w:val="21"/>
                      <w:szCs w:val="21"/>
                    </w:rPr>
                  </w:pPr>
                </w:p>
              </w:tc>
              <w:tc>
                <w:tcPr>
                  <w:tcW w:w="309" w:type="pct"/>
                  <w:noWrap w:val="0"/>
                  <w:vAlign w:val="center"/>
                </w:tcPr>
                <w:p w14:paraId="0A6FDBAD">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4E6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0EFC775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能源</w:t>
                  </w:r>
                </w:p>
              </w:tc>
              <w:tc>
                <w:tcPr>
                  <w:tcW w:w="331" w:type="pct"/>
                  <w:noWrap w:val="0"/>
                  <w:vAlign w:val="center"/>
                </w:tcPr>
                <w:p w14:paraId="10D95D4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总体要求</w:t>
                  </w:r>
                </w:p>
              </w:tc>
              <w:tc>
                <w:tcPr>
                  <w:tcW w:w="3210" w:type="pct"/>
                  <w:noWrap w:val="0"/>
                  <w:vAlign w:val="center"/>
                </w:tcPr>
                <w:p w14:paraId="656BE77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1.落实河北省能源“双控”政策，强化能耗</w:t>
                  </w:r>
                  <w:r>
                    <w:rPr>
                      <w:rFonts w:hint="default" w:ascii="Times New Roman" w:hAnsi="Times New Roman" w:eastAsia="宋体" w:cs="Times New Roman"/>
                      <w:color w:val="auto"/>
                      <w:spacing w:val="13"/>
                      <w:sz w:val="21"/>
                      <w:szCs w:val="21"/>
                    </w:rPr>
                    <w:t>强度降低约束管理，增强能源消费总量弹性管理。加快煤炭减量步伐，实施可再生能源替代行动，新增可再生能源和原料用</w:t>
                  </w:r>
                  <w:r>
                    <w:rPr>
                      <w:rFonts w:hint="default" w:ascii="Times New Roman" w:hAnsi="Times New Roman" w:eastAsia="宋体" w:cs="Times New Roman"/>
                      <w:color w:val="auto"/>
                      <w:spacing w:val="9"/>
                      <w:sz w:val="21"/>
                      <w:szCs w:val="21"/>
                    </w:rPr>
                    <w:t>能不纳入能源消费总量控制，按要求推</w:t>
                  </w:r>
                  <w:r>
                    <w:rPr>
                      <w:rFonts w:hint="default" w:ascii="Times New Roman" w:hAnsi="Times New Roman" w:eastAsia="宋体" w:cs="Times New Roman"/>
                      <w:color w:val="auto"/>
                      <w:spacing w:val="12"/>
                      <w:sz w:val="21"/>
                      <w:szCs w:val="21"/>
                    </w:rPr>
                    <w:t>进能耗“双控”向碳排放总量和强度“双控”</w:t>
                  </w:r>
                  <w:r>
                    <w:rPr>
                      <w:rFonts w:hint="default" w:ascii="Times New Roman" w:hAnsi="Times New Roman" w:eastAsia="宋体" w:cs="Times New Roman"/>
                      <w:color w:val="auto"/>
                      <w:spacing w:val="8"/>
                      <w:sz w:val="21"/>
                      <w:szCs w:val="21"/>
                    </w:rPr>
                    <w:t>转变，建立二氧化碳排放总量控制制度；</w:t>
                  </w:r>
                  <w:r>
                    <w:rPr>
                      <w:rFonts w:hint="default" w:ascii="Times New Roman" w:hAnsi="Times New Roman" w:eastAsia="宋体" w:cs="Times New Roman"/>
                      <w:color w:val="auto"/>
                      <w:spacing w:val="5"/>
                      <w:sz w:val="21"/>
                      <w:szCs w:val="21"/>
                    </w:rPr>
                    <w:t>到2025年，煤炭消费持续下降，占能源</w:t>
                  </w:r>
                  <w:r>
                    <w:rPr>
                      <w:rFonts w:hint="default" w:ascii="Times New Roman" w:hAnsi="Times New Roman" w:eastAsia="宋体" w:cs="Times New Roman"/>
                      <w:color w:val="auto"/>
                      <w:spacing w:val="3"/>
                      <w:sz w:val="21"/>
                      <w:szCs w:val="21"/>
                    </w:rPr>
                    <w:t>消费总量比重降至66%，清洁能源消费快</w:t>
                  </w:r>
                  <w:r>
                    <w:rPr>
                      <w:rFonts w:hint="default" w:ascii="Times New Roman" w:hAnsi="Times New Roman" w:eastAsia="宋体" w:cs="Times New Roman"/>
                      <w:color w:val="auto"/>
                      <w:spacing w:val="9"/>
                      <w:sz w:val="21"/>
                      <w:szCs w:val="21"/>
                    </w:rPr>
                    <w:t>速提升，天然气、非化石能源占能源消费</w:t>
                  </w:r>
                  <w:r>
                    <w:rPr>
                      <w:rFonts w:hint="default" w:ascii="Times New Roman" w:hAnsi="Times New Roman" w:eastAsia="宋体" w:cs="Times New Roman"/>
                      <w:color w:val="auto"/>
                      <w:spacing w:val="3"/>
                      <w:sz w:val="21"/>
                      <w:szCs w:val="21"/>
                    </w:rPr>
                    <w:t>总量的比重分别达15%和8%，电能占能源消费比重提高到40%。煤炭清洁高效利</w:t>
                  </w:r>
                  <w:r>
                    <w:rPr>
                      <w:rFonts w:hint="default" w:ascii="Times New Roman" w:hAnsi="Times New Roman" w:eastAsia="宋体" w:cs="Times New Roman"/>
                      <w:color w:val="auto"/>
                      <w:spacing w:val="9"/>
                      <w:sz w:val="21"/>
                      <w:szCs w:val="21"/>
                    </w:rPr>
                    <w:t>用水平提高，农村生活和取暖散煤基本清</w:t>
                  </w:r>
                  <w:r>
                    <w:rPr>
                      <w:rFonts w:hint="default" w:ascii="Times New Roman" w:hAnsi="Times New Roman" w:eastAsia="宋体" w:cs="Times New Roman"/>
                      <w:color w:val="auto"/>
                      <w:sz w:val="21"/>
                      <w:szCs w:val="21"/>
                    </w:rPr>
                    <w:t>零。2.继续压减煤炭消费，推进重点行业去</w:t>
                  </w:r>
                  <w:r>
                    <w:rPr>
                      <w:rFonts w:hint="default" w:ascii="Times New Roman" w:hAnsi="Times New Roman" w:eastAsia="宋体" w:cs="Times New Roman"/>
                      <w:color w:val="auto"/>
                      <w:spacing w:val="9"/>
                      <w:sz w:val="21"/>
                      <w:szCs w:val="21"/>
                    </w:rPr>
                    <w:t>产能，对电力供热等行业实施改造提升和节煤挖潜，实施工业窑炉、燃煤锅炉等集中供热替代和清洁能源置换，对新增耗煤</w:t>
                  </w:r>
                  <w:r>
                    <w:rPr>
                      <w:rFonts w:hint="default" w:ascii="Times New Roman" w:hAnsi="Times New Roman" w:eastAsia="宋体" w:cs="Times New Roman"/>
                      <w:color w:val="auto"/>
                      <w:sz w:val="21"/>
                      <w:szCs w:val="21"/>
                    </w:rPr>
                    <w:t>项目严格执行煤炭减（等）量替代。3.严格</w:t>
                  </w:r>
                  <w:r>
                    <w:rPr>
                      <w:rFonts w:hint="default" w:ascii="Times New Roman" w:hAnsi="Times New Roman" w:eastAsia="宋体" w:cs="Times New Roman"/>
                      <w:color w:val="auto"/>
                      <w:spacing w:val="10"/>
                      <w:sz w:val="21"/>
                      <w:szCs w:val="21"/>
                    </w:rPr>
                    <w:t>控制煤炭消费总量，削减煤炭消费总量，</w:t>
                  </w:r>
                  <w:r>
                    <w:rPr>
                      <w:rFonts w:hint="default" w:ascii="Times New Roman" w:hAnsi="Times New Roman" w:eastAsia="宋体" w:cs="Times New Roman"/>
                      <w:color w:val="auto"/>
                      <w:spacing w:val="9"/>
                      <w:sz w:val="21"/>
                      <w:szCs w:val="21"/>
                    </w:rPr>
                    <w:t>削减非电力用煤，发展可再生能源。火电</w:t>
                  </w:r>
                  <w:r>
                    <w:rPr>
                      <w:rFonts w:hint="default" w:ascii="Times New Roman" w:hAnsi="Times New Roman" w:eastAsia="宋体" w:cs="Times New Roman"/>
                      <w:color w:val="auto"/>
                      <w:spacing w:val="21"/>
                      <w:sz w:val="21"/>
                      <w:szCs w:val="21"/>
                    </w:rPr>
                    <w:t>行业单位发电煤耗绩效达到国家领先水</w:t>
                  </w:r>
                  <w:r>
                    <w:rPr>
                      <w:rFonts w:hint="default" w:ascii="Times New Roman" w:hAnsi="Times New Roman" w:eastAsia="宋体" w:cs="Times New Roman"/>
                      <w:color w:val="auto"/>
                      <w:spacing w:val="9"/>
                      <w:sz w:val="21"/>
                      <w:szCs w:val="21"/>
                    </w:rPr>
                    <w:t>平。因地制宜发展可再生能源；积极调整工业燃料结构，持续开展工业领域电能替</w:t>
                  </w:r>
                  <w:r>
                    <w:rPr>
                      <w:rFonts w:hint="default" w:ascii="Times New Roman" w:hAnsi="Times New Roman" w:eastAsia="宋体" w:cs="Times New Roman"/>
                      <w:color w:val="auto"/>
                      <w:sz w:val="21"/>
                      <w:szCs w:val="21"/>
                    </w:rPr>
                    <w:t>代工程。4.重点燃煤单位散煤煤质抽检覆盖</w:t>
                  </w:r>
                  <w:r>
                    <w:rPr>
                      <w:rFonts w:hint="default" w:ascii="Times New Roman" w:hAnsi="Times New Roman" w:eastAsia="宋体" w:cs="Times New Roman"/>
                      <w:color w:val="auto"/>
                      <w:spacing w:val="-2"/>
                      <w:sz w:val="21"/>
                      <w:szCs w:val="21"/>
                    </w:rPr>
                    <w:t>率达到100%，确保用煤单位煤质稳定达到</w:t>
                  </w:r>
                  <w:r>
                    <w:rPr>
                      <w:rFonts w:hint="default" w:ascii="Times New Roman" w:hAnsi="Times New Roman" w:eastAsia="宋体" w:cs="Times New Roman"/>
                      <w:color w:val="auto"/>
                      <w:spacing w:val="-4"/>
                      <w:sz w:val="21"/>
                      <w:szCs w:val="21"/>
                    </w:rPr>
                    <w:t>《河北省工业和民用燃料煤》（DB13/2081）</w:t>
                  </w:r>
                  <w:r>
                    <w:rPr>
                      <w:rFonts w:hint="default" w:ascii="Times New Roman" w:hAnsi="Times New Roman" w:eastAsia="宋体" w:cs="Times New Roman"/>
                      <w:color w:val="auto"/>
                      <w:spacing w:val="5"/>
                      <w:sz w:val="21"/>
                      <w:szCs w:val="21"/>
                    </w:rPr>
                    <w:t>标准。5.采暖季前，在保障能源供应的前</w:t>
                  </w:r>
                  <w:r>
                    <w:rPr>
                      <w:rFonts w:hint="default" w:ascii="Times New Roman" w:hAnsi="Times New Roman" w:eastAsia="宋体" w:cs="Times New Roman"/>
                      <w:color w:val="auto"/>
                      <w:spacing w:val="9"/>
                      <w:sz w:val="21"/>
                      <w:szCs w:val="21"/>
                    </w:rPr>
                    <w:t>提下，廊坊市全市域基本完成生活和冬季取暖散煤替代，市主城区清洁取暖率达到</w:t>
                  </w:r>
                  <w:r>
                    <w:rPr>
                      <w:rFonts w:hint="default" w:ascii="Times New Roman" w:hAnsi="Times New Roman" w:eastAsia="宋体" w:cs="Times New Roman"/>
                      <w:color w:val="auto"/>
                      <w:spacing w:val="5"/>
                      <w:sz w:val="21"/>
                      <w:szCs w:val="21"/>
                    </w:rPr>
                    <w:t>100%。6.淘汰集中供热管网覆盖范围内的</w:t>
                  </w:r>
                  <w:r>
                    <w:rPr>
                      <w:rFonts w:hint="default" w:ascii="Times New Roman" w:hAnsi="Times New Roman" w:eastAsia="宋体" w:cs="Times New Roman"/>
                      <w:color w:val="auto"/>
                      <w:spacing w:val="9"/>
                      <w:sz w:val="21"/>
                      <w:szCs w:val="21"/>
                    </w:rPr>
                    <w:t>燃煤锅炉和散煤，在不具备热电联产集中</w:t>
                  </w:r>
                  <w:r>
                    <w:rPr>
                      <w:rFonts w:hint="default" w:ascii="Times New Roman" w:hAnsi="Times New Roman" w:eastAsia="宋体" w:cs="Times New Roman"/>
                      <w:color w:val="auto"/>
                      <w:spacing w:val="2"/>
                      <w:sz w:val="21"/>
                      <w:szCs w:val="21"/>
                    </w:rPr>
                    <w:t>供热条件的地区，可按等容量替代的原则，</w:t>
                  </w:r>
                  <w:r>
                    <w:rPr>
                      <w:rFonts w:hint="default" w:ascii="Times New Roman" w:hAnsi="Times New Roman" w:eastAsia="宋体" w:cs="Times New Roman"/>
                      <w:color w:val="auto"/>
                      <w:spacing w:val="4"/>
                      <w:sz w:val="21"/>
                      <w:szCs w:val="21"/>
                    </w:rPr>
                    <w:t>建设大容量燃煤锅炉进行集中供热替代。7.在落实能源保障的前提下，鼓励工业炉窑</w:t>
                  </w:r>
                  <w:r>
                    <w:rPr>
                      <w:rFonts w:hint="default" w:ascii="Times New Roman" w:hAnsi="Times New Roman" w:eastAsia="宋体" w:cs="Times New Roman"/>
                      <w:color w:val="auto"/>
                      <w:spacing w:val="13"/>
                      <w:sz w:val="21"/>
                      <w:szCs w:val="21"/>
                    </w:rPr>
                    <w:t>使用电、天然气等清洁能源或由周边热电厂供热。取缔燃煤热风炉，基本淘汰热电联产供热管网覆盖范围内的燃煤加热、烘</w:t>
                  </w:r>
                  <w:r>
                    <w:rPr>
                      <w:rFonts w:hint="default" w:ascii="Times New Roman" w:hAnsi="Times New Roman" w:eastAsia="宋体" w:cs="Times New Roman"/>
                      <w:color w:val="auto"/>
                      <w:spacing w:val="4"/>
                      <w:sz w:val="21"/>
                      <w:szCs w:val="21"/>
                    </w:rPr>
                    <w:t>干炉（窑</w:t>
                  </w:r>
                  <w:r>
                    <w:rPr>
                      <w:rFonts w:hint="default" w:ascii="Times New Roman" w:hAnsi="Times New Roman" w:eastAsia="宋体" w:cs="Times New Roman"/>
                      <w:color w:val="auto"/>
                      <w:spacing w:val="13"/>
                      <w:sz w:val="21"/>
                      <w:szCs w:val="21"/>
                    </w:rPr>
                    <w:t>）；</w:t>
                  </w:r>
                  <w:r>
                    <w:rPr>
                      <w:rFonts w:hint="default" w:ascii="Times New Roman" w:hAnsi="Times New Roman" w:eastAsia="宋体" w:cs="Times New Roman"/>
                      <w:color w:val="auto"/>
                      <w:spacing w:val="4"/>
                      <w:sz w:val="21"/>
                      <w:szCs w:val="21"/>
                    </w:rPr>
                    <w:t>淘汰炉膛直径3米以下燃</w:t>
                  </w:r>
                  <w:r>
                    <w:rPr>
                      <w:rFonts w:hint="default" w:ascii="Times New Roman" w:hAnsi="Times New Roman" w:eastAsia="宋体" w:cs="Times New Roman"/>
                      <w:color w:val="auto"/>
                      <w:spacing w:val="9"/>
                      <w:sz w:val="21"/>
                      <w:szCs w:val="21"/>
                    </w:rPr>
                    <w:t>料类煤气发生炉，加大化肥行业固定床间歇式煤气化炉整改力度；集中使用煤气发生炉的工业园区，暂不具备改用天然气条</w:t>
                  </w:r>
                  <w:r>
                    <w:rPr>
                      <w:rFonts w:hint="default" w:ascii="Times New Roman" w:hAnsi="Times New Roman" w:eastAsia="宋体" w:cs="Times New Roman"/>
                      <w:color w:val="auto"/>
                      <w:spacing w:val="2"/>
                      <w:sz w:val="21"/>
                      <w:szCs w:val="21"/>
                    </w:rPr>
                    <w:t>件的，原则上建设统一的清洁煤制气中心；</w:t>
                  </w:r>
                  <w:r>
                    <w:rPr>
                      <w:rFonts w:hint="default" w:ascii="Times New Roman" w:hAnsi="Times New Roman" w:eastAsia="宋体" w:cs="Times New Roman"/>
                      <w:color w:val="auto"/>
                      <w:spacing w:val="1"/>
                      <w:sz w:val="21"/>
                      <w:szCs w:val="21"/>
                    </w:rPr>
                    <w:t>禁止掺烧高硫石油焦。8.完善市县建成区供</w:t>
                  </w:r>
                  <w:r>
                    <w:rPr>
                      <w:rFonts w:hint="default" w:ascii="Times New Roman" w:hAnsi="Times New Roman" w:eastAsia="宋体" w:cs="Times New Roman"/>
                      <w:color w:val="auto"/>
                      <w:spacing w:val="9"/>
                      <w:sz w:val="21"/>
                      <w:szCs w:val="21"/>
                    </w:rPr>
                    <w:t>热规划，深挖热电联产和集中供热企业供</w:t>
                  </w:r>
                  <w:r>
                    <w:rPr>
                      <w:rFonts w:hint="default" w:ascii="Times New Roman" w:hAnsi="Times New Roman" w:eastAsia="宋体" w:cs="Times New Roman"/>
                      <w:color w:val="auto"/>
                      <w:spacing w:val="5"/>
                      <w:sz w:val="21"/>
                      <w:szCs w:val="21"/>
                    </w:rPr>
                    <w:t>热潜能，最大限度实现城市、县城和重点</w:t>
                  </w:r>
                  <w:r>
                    <w:rPr>
                      <w:rFonts w:hint="default" w:ascii="Times New Roman" w:hAnsi="Times New Roman" w:eastAsia="宋体" w:cs="Times New Roman"/>
                      <w:color w:val="auto"/>
                      <w:spacing w:val="9"/>
                      <w:sz w:val="21"/>
                      <w:szCs w:val="21"/>
                    </w:rPr>
                    <w:t>镇建成区内集中供热，不断提高电力、太阳能、浅层地能等清洁能源供热比例。新</w:t>
                  </w:r>
                  <w:r>
                    <w:rPr>
                      <w:rFonts w:hint="default" w:ascii="Times New Roman" w:hAnsi="Times New Roman" w:eastAsia="宋体" w:cs="Times New Roman"/>
                      <w:color w:val="auto"/>
                      <w:spacing w:val="10"/>
                      <w:sz w:val="21"/>
                      <w:szCs w:val="21"/>
                    </w:rPr>
                    <w:t>建建筑必须达到国家最高等级节能标准，</w:t>
                  </w:r>
                  <w:r>
                    <w:rPr>
                      <w:rFonts w:hint="default" w:ascii="Times New Roman" w:hAnsi="Times New Roman" w:eastAsia="宋体" w:cs="Times New Roman"/>
                      <w:color w:val="auto"/>
                      <w:spacing w:val="-1"/>
                      <w:sz w:val="21"/>
                      <w:szCs w:val="21"/>
                    </w:rPr>
                    <w:t>城镇绿色建筑占新建建筑比例为100%，城</w:t>
                  </w:r>
                  <w:r>
                    <w:rPr>
                      <w:rFonts w:hint="default" w:ascii="Times New Roman" w:hAnsi="Times New Roman" w:eastAsia="宋体" w:cs="Times New Roman"/>
                      <w:color w:val="auto"/>
                      <w:spacing w:val="9"/>
                      <w:sz w:val="21"/>
                      <w:szCs w:val="21"/>
                    </w:rPr>
                    <w:t>镇民用建筑全面推行超低能耗建筑标准最</w:t>
                  </w:r>
                  <w:r>
                    <w:rPr>
                      <w:rFonts w:hint="default" w:ascii="Times New Roman" w:hAnsi="Times New Roman" w:eastAsia="宋体" w:cs="Times New Roman"/>
                      <w:color w:val="auto"/>
                      <w:spacing w:val="4"/>
                      <w:sz w:val="21"/>
                      <w:szCs w:val="21"/>
                    </w:rPr>
                    <w:t>大限度减少能源消耗，优先采用电能等“零</w:t>
                  </w:r>
                  <w:r>
                    <w:rPr>
                      <w:rFonts w:hint="default" w:ascii="Times New Roman" w:hAnsi="Times New Roman" w:eastAsia="宋体" w:cs="Times New Roman"/>
                      <w:color w:val="auto"/>
                      <w:spacing w:val="-3"/>
                      <w:sz w:val="21"/>
                      <w:szCs w:val="21"/>
                    </w:rPr>
                    <w:t>排放”的清洁能源，形成天然气、热电联产、</w:t>
                  </w:r>
                  <w:r>
                    <w:rPr>
                      <w:rFonts w:hint="default" w:ascii="Times New Roman" w:hAnsi="Times New Roman" w:eastAsia="宋体" w:cs="Times New Roman"/>
                      <w:color w:val="auto"/>
                      <w:spacing w:val="9"/>
                      <w:sz w:val="21"/>
                      <w:szCs w:val="21"/>
                    </w:rPr>
                    <w:t>太阳能、浅层地能等多种清洁取暖方式组</w:t>
                  </w:r>
                  <w:r>
                    <w:rPr>
                      <w:rFonts w:hint="default" w:ascii="Times New Roman" w:hAnsi="Times New Roman" w:eastAsia="宋体" w:cs="Times New Roman"/>
                      <w:color w:val="auto"/>
                      <w:spacing w:val="-7"/>
                      <w:sz w:val="21"/>
                      <w:szCs w:val="21"/>
                    </w:rPr>
                    <w:t>成的供热体系。9.对在建、拟建、建成的“两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6"/>
                      <w:sz w:val="21"/>
                      <w:szCs w:val="21"/>
                    </w:rPr>
                    <w:t>项目建设、运行。对在建、拟建、建成的“两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7"/>
                      <w:sz w:val="21"/>
                      <w:szCs w:val="21"/>
                    </w:rPr>
                    <w:t>项目建设、运行。10．加快实施煤电、建</w:t>
                  </w:r>
                  <w:r>
                    <w:rPr>
                      <w:rFonts w:hint="default" w:ascii="Times New Roman" w:hAnsi="Times New Roman" w:eastAsia="宋体" w:cs="Times New Roman"/>
                      <w:color w:val="auto"/>
                      <w:spacing w:val="9"/>
                      <w:sz w:val="21"/>
                      <w:szCs w:val="21"/>
                    </w:rPr>
                    <w:t>材、化工、陶瓷、有色金属等重点行业的节能改造升级和污染物深度治理，严格执行能耗、环保、水耗、质量、安全、技术等方面有关法律法规、产业政策和强制性</w:t>
                  </w:r>
                  <w:r>
                    <w:rPr>
                      <w:rFonts w:hint="default" w:ascii="Times New Roman" w:hAnsi="Times New Roman" w:eastAsia="宋体" w:cs="Times New Roman"/>
                      <w:color w:val="auto"/>
                      <w:spacing w:val="1"/>
                      <w:sz w:val="21"/>
                      <w:szCs w:val="21"/>
                    </w:rPr>
                    <w:t>标准。</w:t>
                  </w:r>
                </w:p>
              </w:tc>
              <w:tc>
                <w:tcPr>
                  <w:tcW w:w="805" w:type="pct"/>
                  <w:noWrap w:val="0"/>
                  <w:vAlign w:val="center"/>
                </w:tcPr>
                <w:p w14:paraId="2FA8F31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5"/>
                      <w:sz w:val="21"/>
                      <w:szCs w:val="21"/>
                      <w:lang w:eastAsia="zh-CN"/>
                    </w:rPr>
                    <w:t>本项目</w:t>
                  </w:r>
                  <w:r>
                    <w:rPr>
                      <w:rFonts w:hint="eastAsia" w:ascii="Times New Roman" w:hAnsi="Times New Roman" w:eastAsia="宋体" w:cs="Times New Roman"/>
                      <w:color w:val="auto"/>
                      <w:spacing w:val="5"/>
                      <w:sz w:val="21"/>
                      <w:szCs w:val="21"/>
                      <w:lang w:eastAsia="zh-CN"/>
                    </w:rPr>
                    <w:t>生产用热为电加热</w:t>
                  </w:r>
                  <w:r>
                    <w:rPr>
                      <w:rFonts w:hint="default" w:ascii="Times New Roman" w:hAnsi="Times New Roman" w:eastAsia="宋体" w:cs="Times New Roman"/>
                      <w:sz w:val="21"/>
                      <w:szCs w:val="21"/>
                    </w:rPr>
                    <w:t>。</w:t>
                  </w:r>
                </w:p>
              </w:tc>
              <w:tc>
                <w:tcPr>
                  <w:tcW w:w="309" w:type="pct"/>
                  <w:noWrap w:val="0"/>
                  <w:vAlign w:val="center"/>
                </w:tcPr>
                <w:p w14:paraId="7C5A224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936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67B39C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土地资源</w:t>
                  </w:r>
                </w:p>
              </w:tc>
              <w:tc>
                <w:tcPr>
                  <w:tcW w:w="331" w:type="pct"/>
                  <w:noWrap w:val="0"/>
                  <w:vAlign w:val="center"/>
                </w:tcPr>
                <w:p w14:paraId="38A9850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土地资源重点管控区</w:t>
                  </w:r>
                </w:p>
              </w:tc>
              <w:tc>
                <w:tcPr>
                  <w:tcW w:w="3210" w:type="pct"/>
                  <w:noWrap w:val="0"/>
                  <w:vAlign w:val="center"/>
                </w:tcPr>
                <w:p w14:paraId="453CDD3B">
                  <w:pPr>
                    <w:pStyle w:val="164"/>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7"/>
                      <w:sz w:val="21"/>
                      <w:szCs w:val="21"/>
                    </w:rPr>
                    <w:t>1.落实土壤风险防控总体准入要求。2.重</w:t>
                  </w:r>
                  <w:r>
                    <w:rPr>
                      <w:rFonts w:hint="default" w:ascii="Times New Roman" w:hAnsi="Times New Roman" w:eastAsia="宋体" w:cs="Times New Roman"/>
                      <w:color w:val="auto"/>
                      <w:spacing w:val="10"/>
                      <w:sz w:val="21"/>
                      <w:szCs w:val="21"/>
                    </w:rPr>
                    <w:t>度污染耕地依法划定特定农产品禁止生产区域，严禁种植食用农产品和饲草；对威</w:t>
                  </w:r>
                  <w:r>
                    <w:rPr>
                      <w:rFonts w:hint="default" w:ascii="Times New Roman" w:hAnsi="Times New Roman" w:eastAsia="宋体" w:cs="Times New Roman"/>
                      <w:color w:val="auto"/>
                      <w:spacing w:val="4"/>
                      <w:sz w:val="21"/>
                      <w:szCs w:val="21"/>
                    </w:rPr>
                    <w:t>胁地下水、饮用水水源环境安全的，要制</w:t>
                  </w:r>
                  <w:r>
                    <w:rPr>
                      <w:rFonts w:hint="default" w:ascii="Times New Roman" w:hAnsi="Times New Roman" w:eastAsia="宋体" w:cs="Times New Roman"/>
                      <w:color w:val="auto"/>
                      <w:spacing w:val="-1"/>
                      <w:sz w:val="21"/>
                      <w:szCs w:val="21"/>
                    </w:rPr>
                    <w:t>定环境风险管控方案。3.以受污染耕地为重</w:t>
                  </w:r>
                  <w:r>
                    <w:rPr>
                      <w:rFonts w:hint="default" w:ascii="Times New Roman" w:hAnsi="Times New Roman" w:eastAsia="宋体" w:cs="Times New Roman"/>
                      <w:color w:val="auto"/>
                      <w:spacing w:val="10"/>
                      <w:sz w:val="21"/>
                      <w:szCs w:val="21"/>
                    </w:rPr>
                    <w:t>点，根据耕地土壤污染程度、环境风险及</w:t>
                  </w:r>
                  <w:r>
                    <w:rPr>
                      <w:rFonts w:hint="default" w:ascii="Times New Roman" w:hAnsi="Times New Roman" w:eastAsia="宋体" w:cs="Times New Roman"/>
                      <w:color w:val="auto"/>
                      <w:spacing w:val="2"/>
                      <w:sz w:val="21"/>
                      <w:szCs w:val="21"/>
                    </w:rPr>
                    <w:t>其影响范围，确定治理与修复的重点区域。</w:t>
                  </w:r>
                  <w:r>
                    <w:rPr>
                      <w:rFonts w:hint="default" w:ascii="Times New Roman" w:hAnsi="Times New Roman" w:eastAsia="宋体" w:cs="Times New Roman"/>
                      <w:color w:val="auto"/>
                      <w:spacing w:val="12"/>
                      <w:sz w:val="21"/>
                      <w:szCs w:val="21"/>
                    </w:rPr>
                    <w:t>4.对列入建设用地土壤污染风险管控和修</w:t>
                  </w:r>
                  <w:r>
                    <w:rPr>
                      <w:rFonts w:hint="default" w:ascii="Times New Roman" w:hAnsi="Times New Roman" w:eastAsia="宋体" w:cs="Times New Roman"/>
                      <w:color w:val="auto"/>
                      <w:spacing w:val="10"/>
                      <w:sz w:val="21"/>
                      <w:szCs w:val="21"/>
                    </w:rPr>
                    <w:t>复名录的地块，不得作为住宅、公共管理</w:t>
                  </w:r>
                  <w:r>
                    <w:rPr>
                      <w:rFonts w:hint="default" w:ascii="Times New Roman" w:hAnsi="Times New Roman" w:eastAsia="宋体" w:cs="Times New Roman"/>
                      <w:color w:val="auto"/>
                      <w:spacing w:val="4"/>
                      <w:sz w:val="21"/>
                      <w:szCs w:val="21"/>
                    </w:rPr>
                    <w:t>与公共服务用地；对未达到土壤污染风险</w:t>
                  </w:r>
                  <w:r>
                    <w:rPr>
                      <w:rFonts w:hint="default" w:ascii="Times New Roman" w:hAnsi="Times New Roman" w:eastAsia="宋体" w:cs="Times New Roman"/>
                      <w:color w:val="auto"/>
                      <w:spacing w:val="9"/>
                      <w:sz w:val="21"/>
                      <w:szCs w:val="21"/>
                    </w:rPr>
                    <w:t>管控、修复目标的地块，禁止开工建设；</w:t>
                  </w:r>
                  <w:r>
                    <w:rPr>
                      <w:rFonts w:hint="default" w:ascii="Times New Roman" w:hAnsi="Times New Roman" w:eastAsia="宋体" w:cs="Times New Roman"/>
                      <w:color w:val="auto"/>
                      <w:spacing w:val="10"/>
                      <w:sz w:val="21"/>
                      <w:szCs w:val="21"/>
                    </w:rPr>
                    <w:t>任何与风险管控、修复无关的项目，不得</w:t>
                  </w:r>
                  <w:r>
                    <w:rPr>
                      <w:rFonts w:hint="default" w:ascii="Times New Roman" w:hAnsi="Times New Roman" w:eastAsia="宋体" w:cs="Times New Roman"/>
                      <w:color w:val="auto"/>
                      <w:spacing w:val="4"/>
                      <w:sz w:val="21"/>
                      <w:szCs w:val="21"/>
                    </w:rPr>
                    <w:t>批准环境影响评价技术文件、建设工程规</w:t>
                  </w:r>
                  <w:r>
                    <w:rPr>
                      <w:rFonts w:hint="default" w:ascii="Times New Roman" w:hAnsi="Times New Roman" w:eastAsia="宋体" w:cs="Times New Roman"/>
                      <w:color w:val="auto"/>
                      <w:spacing w:val="10"/>
                      <w:sz w:val="21"/>
                      <w:szCs w:val="21"/>
                    </w:rPr>
                    <w:t>划许可证等事项。对应当依法开展土壤污</w:t>
                  </w:r>
                  <w:r>
                    <w:rPr>
                      <w:rFonts w:hint="default" w:ascii="Times New Roman" w:hAnsi="Times New Roman" w:eastAsia="宋体" w:cs="Times New Roman"/>
                      <w:color w:val="auto"/>
                      <w:spacing w:val="2"/>
                      <w:sz w:val="21"/>
                      <w:szCs w:val="21"/>
                    </w:rPr>
                    <w:t>染状况调查或风险评估，但未开展或尚未</w:t>
                  </w:r>
                  <w:r>
                    <w:rPr>
                      <w:rFonts w:hint="default" w:ascii="Times New Roman" w:hAnsi="Times New Roman" w:eastAsia="宋体" w:cs="Times New Roman"/>
                      <w:color w:val="auto"/>
                      <w:spacing w:val="11"/>
                      <w:sz w:val="21"/>
                      <w:szCs w:val="21"/>
                    </w:rPr>
                    <w:t>完成调查评估的土壤污染风险不明地块，</w:t>
                  </w:r>
                  <w:r>
                    <w:rPr>
                      <w:rFonts w:hint="default" w:ascii="Times New Roman" w:hAnsi="Times New Roman" w:eastAsia="宋体" w:cs="Times New Roman"/>
                      <w:color w:val="auto"/>
                      <w:spacing w:val="6"/>
                      <w:sz w:val="21"/>
                      <w:szCs w:val="21"/>
                    </w:rPr>
                    <w:t>杜绝进入用地程序。5.扎实推进土壤污染</w:t>
                  </w:r>
                  <w:r>
                    <w:rPr>
                      <w:rFonts w:hint="default" w:ascii="Times New Roman" w:hAnsi="Times New Roman" w:eastAsia="宋体" w:cs="Times New Roman"/>
                      <w:color w:val="auto"/>
                      <w:spacing w:val="10"/>
                      <w:sz w:val="21"/>
                      <w:szCs w:val="21"/>
                    </w:rPr>
                    <w:t>调查评估。及时将关闭、搬迁、注销、撤</w:t>
                  </w:r>
                  <w:r>
                    <w:rPr>
                      <w:rFonts w:hint="default" w:ascii="Times New Roman" w:hAnsi="Times New Roman" w:eastAsia="宋体" w:cs="Times New Roman"/>
                      <w:color w:val="auto"/>
                      <w:spacing w:val="5"/>
                      <w:sz w:val="21"/>
                      <w:szCs w:val="21"/>
                    </w:rPr>
                    <w:t>销排污许可证的企业用地纳入监管范畴，</w:t>
                  </w:r>
                  <w:r>
                    <w:rPr>
                      <w:rFonts w:hint="default" w:ascii="Times New Roman" w:hAnsi="Times New Roman" w:eastAsia="宋体" w:cs="Times New Roman"/>
                      <w:spacing w:val="12"/>
                      <w:sz w:val="21"/>
                      <w:szCs w:val="21"/>
                    </w:rPr>
                    <w:t>防止腾退地块游离于监管之外。用途变更</w:t>
                  </w:r>
                  <w:r>
                    <w:rPr>
                      <w:rFonts w:hint="default" w:ascii="Times New Roman" w:hAnsi="Times New Roman" w:eastAsia="宋体" w:cs="Times New Roman"/>
                      <w:spacing w:val="14"/>
                      <w:sz w:val="21"/>
                      <w:szCs w:val="21"/>
                    </w:rPr>
                    <w:t>为“一住两公”（住宅、公共管理与公共服</w:t>
                  </w:r>
                  <w:r>
                    <w:rPr>
                      <w:rFonts w:hint="default" w:ascii="Times New Roman" w:hAnsi="Times New Roman" w:eastAsia="宋体" w:cs="Times New Roman"/>
                      <w:spacing w:val="11"/>
                      <w:sz w:val="21"/>
                      <w:szCs w:val="21"/>
                    </w:rPr>
                    <w:t>务用地）、土壤污染重点监管单位生产经</w:t>
                  </w:r>
                  <w:r>
                    <w:rPr>
                      <w:rFonts w:hint="default" w:ascii="Times New Roman" w:hAnsi="Times New Roman" w:eastAsia="宋体" w:cs="Times New Roman"/>
                      <w:spacing w:val="13"/>
                      <w:sz w:val="21"/>
                      <w:szCs w:val="21"/>
                    </w:rPr>
                    <w:t>营用地用途变更或者其土地使用权收回、</w:t>
                  </w:r>
                  <w:r>
                    <w:rPr>
                      <w:rFonts w:hint="default" w:ascii="Times New Roman" w:hAnsi="Times New Roman" w:eastAsia="宋体" w:cs="Times New Roman"/>
                      <w:spacing w:val="9"/>
                      <w:sz w:val="21"/>
                      <w:szCs w:val="21"/>
                    </w:rPr>
                    <w:t>转让前，以及土壤污染状况普查、详查和</w:t>
                  </w:r>
                  <w:r>
                    <w:rPr>
                      <w:rFonts w:hint="default" w:ascii="Times New Roman" w:hAnsi="Times New Roman" w:eastAsia="宋体" w:cs="Times New Roman"/>
                      <w:spacing w:val="13"/>
                      <w:sz w:val="21"/>
                      <w:szCs w:val="21"/>
                    </w:rPr>
                    <w:t>监测、现场检查表明有土壤污染风险的地块，土地使用权人应当依法开展土壤污染</w:t>
                  </w:r>
                  <w:r>
                    <w:rPr>
                      <w:rFonts w:hint="default" w:ascii="Times New Roman" w:hAnsi="Times New Roman" w:eastAsia="宋体" w:cs="Times New Roman"/>
                      <w:spacing w:val="7"/>
                      <w:sz w:val="21"/>
                      <w:szCs w:val="21"/>
                    </w:rPr>
                    <w:t>状况调查和评估。</w:t>
                  </w:r>
                </w:p>
              </w:tc>
              <w:tc>
                <w:tcPr>
                  <w:tcW w:w="805" w:type="pct"/>
                  <w:noWrap w:val="0"/>
                  <w:vAlign w:val="center"/>
                </w:tcPr>
                <w:p w14:paraId="14D598AD">
                  <w:pPr>
                    <w:pStyle w:val="164"/>
                    <w:jc w:val="center"/>
                    <w:rPr>
                      <w:rFonts w:hint="default" w:ascii="Times New Roman" w:hAnsi="Times New Roman" w:eastAsia="宋体" w:cs="Times New Roman"/>
                      <w:color w:val="auto"/>
                      <w:spacing w:val="16"/>
                      <w:sz w:val="21"/>
                      <w:szCs w:val="21"/>
                    </w:rPr>
                  </w:pPr>
                  <w:r>
                    <w:rPr>
                      <w:rFonts w:ascii="Times New Roman" w:hAnsi="Times New Roman" w:cs="Times New Roman"/>
                      <w:color w:val="auto"/>
                      <w:spacing w:val="-4"/>
                      <w:sz w:val="21"/>
                      <w:szCs w:val="21"/>
                      <w:highlight w:val="none"/>
                    </w:rPr>
                    <w:t>本项目位于</w:t>
                  </w:r>
                  <w:r>
                    <w:rPr>
                      <w:rFonts w:hint="eastAsia" w:ascii="Times New Roman" w:hAnsi="Times New Roman" w:cs="Times New Roman"/>
                      <w:color w:val="auto"/>
                      <w:spacing w:val="-4"/>
                      <w:sz w:val="21"/>
                      <w:szCs w:val="21"/>
                      <w:highlight w:val="none"/>
                    </w:rPr>
                    <w:t>河北省</w:t>
                  </w:r>
                  <w:r>
                    <w:rPr>
                      <w:rFonts w:hint="eastAsia" w:ascii="Times New Roman" w:hAnsi="Times New Roman" w:cs="Times New Roman"/>
                      <w:color w:val="auto"/>
                      <w:spacing w:val="-4"/>
                      <w:sz w:val="21"/>
                      <w:szCs w:val="21"/>
                      <w:highlight w:val="none"/>
                      <w:lang w:eastAsia="zh-CN"/>
                    </w:rPr>
                    <w:t>廊坊市永清县别古庄镇北堼上村28号</w:t>
                  </w:r>
                  <w:r>
                    <w:rPr>
                      <w:rFonts w:ascii="Times New Roman" w:hAnsi="Times New Roman" w:cs="Times New Roman"/>
                      <w:color w:val="auto"/>
                      <w:spacing w:val="-4"/>
                      <w:sz w:val="21"/>
                      <w:szCs w:val="21"/>
                      <w:highlight w:val="none"/>
                    </w:rPr>
                    <w:t>，</w:t>
                  </w:r>
                  <w:r>
                    <w:rPr>
                      <w:rFonts w:hint="eastAsia" w:ascii="Times New Roman" w:hAnsi="Times New Roman" w:cs="Times New Roman"/>
                      <w:color w:val="auto"/>
                      <w:spacing w:val="-4"/>
                      <w:sz w:val="21"/>
                      <w:szCs w:val="21"/>
                      <w:highlight w:val="none"/>
                      <w:lang w:val="en-US" w:eastAsia="zh-CN"/>
                    </w:rPr>
                    <w:t>本项目租赁李文全所有土地进行建设（租赁合同见附件），根据项目所在地土地证，本项目用地为工业用地。根据永清县别古庄镇人民政府出具的项目初审意见，本项目符合永清县别古庄镇总体规划及产业定位。</w:t>
                  </w:r>
                </w:p>
              </w:tc>
              <w:tc>
                <w:tcPr>
                  <w:tcW w:w="309" w:type="pct"/>
                  <w:noWrap w:val="0"/>
                  <w:vAlign w:val="center"/>
                </w:tcPr>
                <w:p w14:paraId="62116745">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7F061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59B3664">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产业总体管控要求</w:t>
                  </w:r>
                </w:p>
              </w:tc>
            </w:tr>
            <w:tr w14:paraId="4C65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D7AF45D">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25"/>
                      <w:sz w:val="21"/>
                      <w:szCs w:val="21"/>
                    </w:rPr>
                    <w:t>产业总体布</w:t>
                  </w:r>
                  <w:r>
                    <w:rPr>
                      <w:rFonts w:hint="default" w:ascii="Times New Roman" w:hAnsi="Times New Roman" w:eastAsia="宋体" w:cs="Times New Roman"/>
                      <w:spacing w:val="6"/>
                      <w:sz w:val="21"/>
                      <w:szCs w:val="21"/>
                    </w:rPr>
                    <w:t>局要求</w:t>
                  </w:r>
                </w:p>
              </w:tc>
              <w:tc>
                <w:tcPr>
                  <w:tcW w:w="3210" w:type="pct"/>
                  <w:noWrap w:val="0"/>
                  <w:vAlign w:val="center"/>
                </w:tcPr>
                <w:p w14:paraId="237E0A80">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1"/>
                      <w:sz w:val="21"/>
                      <w:szCs w:val="21"/>
                    </w:rPr>
                    <w:t>1.禁止建设《产业结构调整指导目录》中限</w:t>
                  </w:r>
                  <w:r>
                    <w:rPr>
                      <w:rFonts w:hint="default" w:ascii="Times New Roman" w:hAnsi="Times New Roman" w:eastAsia="宋体" w:cs="Times New Roman"/>
                      <w:spacing w:val="11"/>
                      <w:sz w:val="21"/>
                      <w:szCs w:val="21"/>
                    </w:rPr>
                    <w:t>制类、淘汰类产业项目，《市场准入负面</w:t>
                  </w:r>
                  <w:r>
                    <w:rPr>
                      <w:rFonts w:hint="default" w:ascii="Times New Roman" w:hAnsi="Times New Roman" w:eastAsia="宋体" w:cs="Times New Roman"/>
                      <w:spacing w:val="8"/>
                      <w:sz w:val="21"/>
                      <w:szCs w:val="21"/>
                    </w:rPr>
                    <w:t>清单》中禁止准入类及《河北省禁止投资</w:t>
                  </w:r>
                  <w:r>
                    <w:rPr>
                      <w:rFonts w:hint="default" w:ascii="Times New Roman" w:hAnsi="Times New Roman" w:eastAsia="宋体" w:cs="Times New Roman"/>
                      <w:spacing w:val="9"/>
                      <w:sz w:val="21"/>
                      <w:szCs w:val="21"/>
                    </w:rPr>
                    <w:t>的产业目录》、《河北省新增限制和淘汰</w:t>
                  </w:r>
                  <w:r>
                    <w:rPr>
                      <w:rFonts w:hint="default" w:ascii="Times New Roman" w:hAnsi="Times New Roman" w:eastAsia="宋体" w:cs="Times New Roman"/>
                      <w:spacing w:val="-7"/>
                      <w:sz w:val="21"/>
                      <w:szCs w:val="21"/>
                    </w:rPr>
                    <w:t>类产业目录》中的产业项目。2.严格控制</w:t>
                  </w:r>
                  <w:r>
                    <w:rPr>
                      <w:rFonts w:hint="default" w:ascii="Times New Roman" w:hAnsi="Times New Roman" w:eastAsia="宋体" w:cs="Times New Roman"/>
                      <w:spacing w:val="-8"/>
                      <w:sz w:val="21"/>
                      <w:szCs w:val="21"/>
                    </w:rPr>
                    <w:t>《环</w:t>
                  </w:r>
                  <w:r>
                    <w:rPr>
                      <w:rFonts w:hint="default" w:ascii="Times New Roman" w:hAnsi="Times New Roman" w:eastAsia="宋体" w:cs="Times New Roman"/>
                      <w:spacing w:val="14"/>
                      <w:sz w:val="21"/>
                      <w:szCs w:val="21"/>
                    </w:rPr>
                    <w:t>境保护综合名录》所列“高污染、高风险”</w:t>
                  </w:r>
                  <w:r>
                    <w:rPr>
                      <w:rFonts w:hint="default" w:ascii="Times New Roman" w:hAnsi="Times New Roman" w:eastAsia="宋体" w:cs="Times New Roman"/>
                      <w:spacing w:val="11"/>
                      <w:sz w:val="21"/>
                      <w:szCs w:val="21"/>
                    </w:rPr>
                    <w:t>管控项目。新建、改建、扩建相关项目须符合生态环境保护法律法规和相关法定规</w:t>
                  </w:r>
                  <w:r>
                    <w:rPr>
                      <w:rFonts w:hint="default" w:ascii="Times New Roman" w:hAnsi="Times New Roman" w:eastAsia="宋体" w:cs="Times New Roman"/>
                      <w:spacing w:val="12"/>
                      <w:sz w:val="21"/>
                      <w:szCs w:val="21"/>
                    </w:rPr>
                    <w:t>划，满足廊坊市污染物总量、排污许可、</w:t>
                  </w:r>
                  <w:r>
                    <w:rPr>
                      <w:rFonts w:hint="default" w:ascii="Times New Roman" w:hAnsi="Times New Roman" w:eastAsia="宋体" w:cs="Times New Roman"/>
                      <w:spacing w:val="2"/>
                      <w:sz w:val="21"/>
                      <w:szCs w:val="21"/>
                    </w:rPr>
                    <w:t>环评及产业准入等环境管理要求。3.禁止建</w:t>
                  </w:r>
                  <w:r>
                    <w:rPr>
                      <w:rFonts w:hint="default" w:ascii="Times New Roman" w:hAnsi="Times New Roman" w:eastAsia="宋体" w:cs="Times New Roman"/>
                      <w:spacing w:val="8"/>
                      <w:sz w:val="21"/>
                      <w:szCs w:val="21"/>
                    </w:rPr>
                    <w:t>设《产业发展与转移指导目录》中引导逐</w:t>
                  </w:r>
                  <w:r>
                    <w:rPr>
                      <w:rFonts w:hint="default" w:ascii="Times New Roman" w:hAnsi="Times New Roman" w:eastAsia="宋体" w:cs="Times New Roman"/>
                      <w:spacing w:val="23"/>
                      <w:sz w:val="21"/>
                      <w:szCs w:val="21"/>
                    </w:rPr>
                    <w:t>步调整退出的产业和引导不再承接的产</w:t>
                  </w:r>
                  <w:r>
                    <w:rPr>
                      <w:rFonts w:hint="default" w:ascii="Times New Roman" w:hAnsi="Times New Roman" w:eastAsia="宋体" w:cs="Times New Roman"/>
                      <w:spacing w:val="2"/>
                      <w:sz w:val="21"/>
                      <w:szCs w:val="21"/>
                    </w:rPr>
                    <w:t>业。4.禁止建设《禁止用地项目目录》中产</w:t>
                  </w:r>
                  <w:r>
                    <w:rPr>
                      <w:rFonts w:hint="default" w:ascii="Times New Roman" w:hAnsi="Times New Roman" w:eastAsia="宋体" w:cs="Times New Roman"/>
                      <w:spacing w:val="11"/>
                      <w:sz w:val="21"/>
                      <w:szCs w:val="21"/>
                    </w:rPr>
                    <w:t>业项目和不符合《限制用地项目目录》规</w:t>
                  </w:r>
                  <w:r>
                    <w:rPr>
                      <w:rFonts w:hint="default" w:ascii="Times New Roman" w:hAnsi="Times New Roman" w:eastAsia="宋体" w:cs="Times New Roman"/>
                      <w:spacing w:val="2"/>
                      <w:sz w:val="21"/>
                      <w:szCs w:val="21"/>
                    </w:rPr>
                    <w:t>定条件的产业项目。5.禁止建设《河北省京</w:t>
                  </w:r>
                  <w:r>
                    <w:rPr>
                      <w:rFonts w:hint="default" w:ascii="Times New Roman" w:hAnsi="Times New Roman" w:eastAsia="宋体" w:cs="Times New Roman"/>
                      <w:spacing w:val="10"/>
                      <w:sz w:val="21"/>
                      <w:szCs w:val="21"/>
                    </w:rPr>
                    <w:t>冀交界地区新增产业的禁止和限制目录》</w:t>
                  </w:r>
                  <w:r>
                    <w:rPr>
                      <w:rFonts w:hint="default" w:ascii="Times New Roman" w:hAnsi="Times New Roman" w:eastAsia="宋体" w:cs="Times New Roman"/>
                      <w:spacing w:val="2"/>
                      <w:sz w:val="21"/>
                      <w:szCs w:val="21"/>
                    </w:rPr>
                    <w:t>中禁止、限制类产业。6.境外投资者不得从</w:t>
                  </w:r>
                  <w:r>
                    <w:rPr>
                      <w:rFonts w:hint="default" w:ascii="Times New Roman" w:hAnsi="Times New Roman" w:eastAsia="宋体" w:cs="Times New Roman"/>
                      <w:spacing w:val="11"/>
                      <w:sz w:val="21"/>
                      <w:szCs w:val="21"/>
                    </w:rPr>
                    <w:t>事《外商投资产业指导目录》（外商投资</w:t>
                  </w:r>
                  <w:r>
                    <w:rPr>
                      <w:rFonts w:hint="default" w:ascii="Times New Roman" w:hAnsi="Times New Roman" w:eastAsia="宋体" w:cs="Times New Roman"/>
                      <w:spacing w:val="8"/>
                      <w:sz w:val="21"/>
                      <w:szCs w:val="21"/>
                    </w:rPr>
                    <w:t>准入负面清单）中的禁止类项目和不符合</w:t>
                  </w:r>
                  <w:r>
                    <w:rPr>
                      <w:rFonts w:hint="default" w:ascii="Times New Roman" w:hAnsi="Times New Roman" w:eastAsia="宋体" w:cs="Times New Roman"/>
                      <w:spacing w:val="10"/>
                      <w:sz w:val="21"/>
                      <w:szCs w:val="21"/>
                    </w:rPr>
                    <w:t>《外商投资产业指导目录》（外商投资准</w:t>
                  </w:r>
                  <w:r>
                    <w:rPr>
                      <w:rFonts w:hint="default" w:ascii="Times New Roman" w:hAnsi="Times New Roman" w:eastAsia="宋体" w:cs="Times New Roman"/>
                      <w:spacing w:val="6"/>
                      <w:sz w:val="21"/>
                      <w:szCs w:val="21"/>
                    </w:rPr>
                    <w:t>入负面清单）中规定条件的限制类项目。</w:t>
                  </w:r>
                </w:p>
              </w:tc>
              <w:tc>
                <w:tcPr>
                  <w:tcW w:w="805" w:type="pct"/>
                  <w:noWrap w:val="0"/>
                  <w:vAlign w:val="center"/>
                </w:tcPr>
                <w:p w14:paraId="29C3CB2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8"/>
                      <w:sz w:val="21"/>
                      <w:szCs w:val="21"/>
                    </w:rPr>
                    <w:t>经对照各名录，本项目</w:t>
                  </w:r>
                  <w:r>
                    <w:rPr>
                      <w:rFonts w:hint="default" w:ascii="Times New Roman" w:hAnsi="Times New Roman" w:eastAsia="宋体" w:cs="Times New Roman"/>
                      <w:spacing w:val="7"/>
                      <w:sz w:val="21"/>
                      <w:szCs w:val="21"/>
                    </w:rPr>
                    <w:t>不在禁限目录内。</w:t>
                  </w:r>
                </w:p>
              </w:tc>
              <w:tc>
                <w:tcPr>
                  <w:tcW w:w="309" w:type="pct"/>
                  <w:noWrap w:val="0"/>
                  <w:vAlign w:val="center"/>
                </w:tcPr>
                <w:p w14:paraId="6281907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bl>
          <w:p w14:paraId="593F9FDC">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2</w:t>
            </w:r>
            <w:r>
              <w:rPr>
                <w:color w:val="auto"/>
              </w:rPr>
              <w:t xml:space="preserve"> </w:t>
            </w:r>
            <w:r>
              <w:rPr>
                <w:rFonts w:hint="eastAsia"/>
                <w:color w:val="auto"/>
              </w:rPr>
              <w:t xml:space="preserve"> </w:t>
            </w:r>
            <w:r>
              <w:rPr>
                <w:b/>
                <w:bCs/>
                <w:color w:val="auto"/>
                <w:sz w:val="24"/>
                <w:highlight w:val="none"/>
              </w:rPr>
              <w:t>与</w:t>
            </w:r>
            <w:r>
              <w:rPr>
                <w:rFonts w:hint="eastAsia"/>
                <w:b/>
                <w:bCs/>
                <w:color w:val="auto"/>
                <w:sz w:val="24"/>
                <w:highlight w:val="none"/>
                <w:lang w:eastAsia="zh-CN"/>
              </w:rPr>
              <w:t>别古庄</w:t>
            </w:r>
            <w:r>
              <w:rPr>
                <w:rFonts w:hint="eastAsia"/>
                <w:b/>
                <w:bCs/>
                <w:color w:val="auto"/>
                <w:sz w:val="24"/>
                <w:highlight w:val="none"/>
              </w:rPr>
              <w:t>镇</w:t>
            </w:r>
            <w:r>
              <w:rPr>
                <w:b/>
                <w:bCs/>
                <w:color w:val="auto"/>
                <w:sz w:val="24"/>
                <w:highlight w:val="none"/>
              </w:rPr>
              <w:t>环境管控单元生态环境准入要求符合性分析</w:t>
            </w:r>
          </w:p>
          <w:tbl>
            <w:tblPr>
              <w:tblStyle w:val="38"/>
              <w:tblW w:w="7275"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538"/>
              <w:gridCol w:w="625"/>
              <w:gridCol w:w="2805"/>
              <w:gridCol w:w="2145"/>
              <w:gridCol w:w="470"/>
            </w:tblGrid>
            <w:tr w14:paraId="6EBACF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75" w:type="pct"/>
                  <w:tcBorders>
                    <w:left w:val="single" w:color="auto" w:sz="4" w:space="0"/>
                    <w:tl2br w:val="nil"/>
                    <w:tr2bl w:val="nil"/>
                  </w:tcBorders>
                  <w:shd w:val="clear" w:color="auto" w:fill="auto"/>
                  <w:vAlign w:val="center"/>
                </w:tcPr>
                <w:p w14:paraId="799E32A2">
                  <w:pPr>
                    <w:pStyle w:val="94"/>
                    <w:ind w:left="105" w:leftChars="50" w:right="105" w:rightChars="50"/>
                    <w:jc w:val="center"/>
                    <w:rPr>
                      <w:b/>
                      <w:bCs/>
                      <w:color w:val="auto"/>
                    </w:rPr>
                  </w:pPr>
                  <w:r>
                    <w:rPr>
                      <w:b/>
                      <w:bCs/>
                      <w:color w:val="auto"/>
                    </w:rPr>
                    <w:t>所属</w:t>
                  </w:r>
                </w:p>
                <w:p w14:paraId="07954C64">
                  <w:pPr>
                    <w:pStyle w:val="94"/>
                    <w:ind w:left="105" w:leftChars="50" w:right="105" w:rightChars="50"/>
                    <w:jc w:val="center"/>
                    <w:rPr>
                      <w:b/>
                      <w:bCs/>
                      <w:color w:val="auto"/>
                    </w:rPr>
                  </w:pPr>
                  <w:r>
                    <w:rPr>
                      <w:b/>
                      <w:bCs/>
                      <w:color w:val="auto"/>
                    </w:rPr>
                    <w:t>乡镇</w:t>
                  </w:r>
                </w:p>
              </w:tc>
              <w:tc>
                <w:tcPr>
                  <w:tcW w:w="369" w:type="pct"/>
                  <w:tcBorders>
                    <w:tl2br w:val="nil"/>
                    <w:tr2bl w:val="nil"/>
                  </w:tcBorders>
                  <w:shd w:val="clear" w:color="auto" w:fill="auto"/>
                  <w:vAlign w:val="center"/>
                </w:tcPr>
                <w:p w14:paraId="692D1440">
                  <w:pPr>
                    <w:pStyle w:val="94"/>
                    <w:ind w:left="105" w:leftChars="50" w:right="105" w:rightChars="50"/>
                    <w:jc w:val="center"/>
                    <w:rPr>
                      <w:b/>
                      <w:bCs/>
                      <w:color w:val="auto"/>
                    </w:rPr>
                  </w:pPr>
                  <w:r>
                    <w:rPr>
                      <w:b/>
                      <w:bCs/>
                      <w:color w:val="auto"/>
                    </w:rPr>
                    <w:t>管控</w:t>
                  </w:r>
                </w:p>
                <w:p w14:paraId="0B21AEC6">
                  <w:pPr>
                    <w:pStyle w:val="94"/>
                    <w:ind w:left="105" w:leftChars="50" w:right="105" w:rightChars="50"/>
                    <w:jc w:val="center"/>
                    <w:rPr>
                      <w:b/>
                      <w:bCs/>
                      <w:color w:val="auto"/>
                    </w:rPr>
                  </w:pPr>
                  <w:r>
                    <w:rPr>
                      <w:b/>
                      <w:bCs/>
                      <w:color w:val="auto"/>
                    </w:rPr>
                    <w:t>单元</w:t>
                  </w:r>
                </w:p>
              </w:tc>
              <w:tc>
                <w:tcPr>
                  <w:tcW w:w="429" w:type="pct"/>
                  <w:tcBorders>
                    <w:tl2br w:val="nil"/>
                    <w:tr2bl w:val="nil"/>
                  </w:tcBorders>
                  <w:shd w:val="clear" w:color="auto" w:fill="auto"/>
                  <w:vAlign w:val="center"/>
                </w:tcPr>
                <w:p w14:paraId="3CB5DB0B">
                  <w:pPr>
                    <w:pStyle w:val="94"/>
                    <w:ind w:left="105" w:leftChars="50" w:right="105" w:rightChars="50"/>
                    <w:jc w:val="center"/>
                    <w:rPr>
                      <w:b/>
                      <w:bCs/>
                      <w:color w:val="auto"/>
                    </w:rPr>
                  </w:pPr>
                  <w:r>
                    <w:rPr>
                      <w:b/>
                      <w:bCs/>
                      <w:color w:val="auto"/>
                    </w:rPr>
                    <w:t>维度</w:t>
                  </w:r>
                </w:p>
              </w:tc>
              <w:tc>
                <w:tcPr>
                  <w:tcW w:w="1927" w:type="pct"/>
                  <w:tcBorders>
                    <w:tl2br w:val="nil"/>
                    <w:tr2bl w:val="nil"/>
                  </w:tcBorders>
                  <w:shd w:val="clear" w:color="auto" w:fill="auto"/>
                  <w:vAlign w:val="center"/>
                </w:tcPr>
                <w:p w14:paraId="77174038">
                  <w:pPr>
                    <w:pStyle w:val="94"/>
                    <w:ind w:left="105" w:leftChars="50" w:right="105" w:rightChars="50"/>
                    <w:jc w:val="center"/>
                    <w:rPr>
                      <w:b/>
                      <w:bCs/>
                      <w:color w:val="auto"/>
                    </w:rPr>
                  </w:pPr>
                  <w:r>
                    <w:rPr>
                      <w:b/>
                      <w:bCs/>
                      <w:color w:val="auto"/>
                    </w:rPr>
                    <w:t>管控要求</w:t>
                  </w:r>
                </w:p>
              </w:tc>
              <w:tc>
                <w:tcPr>
                  <w:tcW w:w="1474" w:type="pct"/>
                  <w:tcBorders>
                    <w:tl2br w:val="nil"/>
                    <w:tr2bl w:val="nil"/>
                  </w:tcBorders>
                  <w:shd w:val="clear" w:color="auto" w:fill="auto"/>
                  <w:vAlign w:val="center"/>
                </w:tcPr>
                <w:p w14:paraId="0D3D89D0">
                  <w:pPr>
                    <w:pStyle w:val="94"/>
                    <w:ind w:left="105" w:leftChars="50" w:right="105" w:rightChars="50"/>
                    <w:jc w:val="center"/>
                    <w:rPr>
                      <w:b/>
                      <w:bCs/>
                      <w:color w:val="auto"/>
                    </w:rPr>
                  </w:pPr>
                  <w:r>
                    <w:rPr>
                      <w:b/>
                      <w:bCs/>
                      <w:color w:val="auto"/>
                    </w:rPr>
                    <w:t>本项目</w:t>
                  </w:r>
                </w:p>
              </w:tc>
              <w:tc>
                <w:tcPr>
                  <w:tcW w:w="323" w:type="pct"/>
                  <w:tcBorders>
                    <w:right w:val="single" w:color="auto" w:sz="4" w:space="0"/>
                    <w:tl2br w:val="nil"/>
                    <w:tr2bl w:val="nil"/>
                  </w:tcBorders>
                  <w:shd w:val="clear" w:color="auto" w:fill="auto"/>
                  <w:vAlign w:val="center"/>
                </w:tcPr>
                <w:p w14:paraId="3D76A0DA">
                  <w:pPr>
                    <w:pStyle w:val="94"/>
                    <w:ind w:left="105" w:leftChars="50" w:right="105" w:rightChars="50"/>
                    <w:jc w:val="center"/>
                    <w:rPr>
                      <w:b/>
                      <w:bCs/>
                      <w:color w:val="auto"/>
                    </w:rPr>
                  </w:pPr>
                  <w:r>
                    <w:rPr>
                      <w:b/>
                      <w:bCs/>
                      <w:color w:val="auto"/>
                    </w:rPr>
                    <w:t>是否符合</w:t>
                  </w:r>
                </w:p>
              </w:tc>
            </w:tr>
            <w:tr w14:paraId="7B7473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restart"/>
                  <w:tcBorders>
                    <w:left w:val="single" w:color="auto" w:sz="4" w:space="0"/>
                    <w:tl2br w:val="nil"/>
                    <w:tr2bl w:val="nil"/>
                  </w:tcBorders>
                  <w:shd w:val="clear" w:color="auto" w:fill="auto"/>
                  <w:vAlign w:val="center"/>
                </w:tcPr>
                <w:p w14:paraId="388F9C96">
                  <w:pPr>
                    <w:pStyle w:val="94"/>
                    <w:ind w:left="105" w:leftChars="50" w:right="105" w:rightChars="50"/>
                    <w:jc w:val="center"/>
                    <w:rPr>
                      <w:rFonts w:hint="default" w:eastAsia="宋体"/>
                      <w:color w:val="auto"/>
                      <w:lang w:val="en-US" w:eastAsia="zh-CN"/>
                    </w:rPr>
                  </w:pPr>
                  <w:r>
                    <w:rPr>
                      <w:rFonts w:hint="eastAsia"/>
                      <w:color w:val="auto"/>
                      <w:lang w:eastAsia="zh-CN"/>
                    </w:rPr>
                    <w:t>永清县别古庄</w:t>
                  </w:r>
                  <w:r>
                    <w:rPr>
                      <w:rFonts w:hint="eastAsia"/>
                      <w:color w:val="auto"/>
                    </w:rPr>
                    <w:t>镇</w:t>
                  </w:r>
                  <w:r>
                    <w:rPr>
                      <w:rFonts w:hint="eastAsia"/>
                      <w:color w:val="auto"/>
                      <w:lang w:val="en-US" w:eastAsia="zh-CN"/>
                    </w:rPr>
                    <w:t>ZH13102320045</w:t>
                  </w:r>
                </w:p>
              </w:tc>
              <w:tc>
                <w:tcPr>
                  <w:tcW w:w="369" w:type="pct"/>
                  <w:vMerge w:val="restart"/>
                  <w:tcBorders>
                    <w:tl2br w:val="nil"/>
                    <w:tr2bl w:val="nil"/>
                  </w:tcBorders>
                  <w:shd w:val="clear" w:color="auto" w:fill="auto"/>
                  <w:vAlign w:val="center"/>
                </w:tcPr>
                <w:p w14:paraId="3DEB5FAC">
                  <w:pPr>
                    <w:pStyle w:val="94"/>
                    <w:ind w:left="105" w:leftChars="50" w:right="105" w:rightChars="50"/>
                    <w:jc w:val="center"/>
                    <w:rPr>
                      <w:color w:val="auto"/>
                    </w:rPr>
                  </w:pPr>
                  <w:r>
                    <w:rPr>
                      <w:rFonts w:hint="eastAsia"/>
                      <w:color w:val="auto"/>
                      <w:lang w:eastAsia="zh-CN"/>
                    </w:rPr>
                    <w:t>重点</w:t>
                  </w:r>
                  <w:r>
                    <w:rPr>
                      <w:color w:val="auto"/>
                    </w:rPr>
                    <w:t>管控单元</w:t>
                  </w:r>
                </w:p>
              </w:tc>
              <w:tc>
                <w:tcPr>
                  <w:tcW w:w="429" w:type="pct"/>
                  <w:tcBorders>
                    <w:tl2br w:val="nil"/>
                    <w:tr2bl w:val="nil"/>
                  </w:tcBorders>
                  <w:shd w:val="clear" w:color="auto" w:fill="auto"/>
                  <w:vAlign w:val="center"/>
                </w:tcPr>
                <w:p w14:paraId="7F248D41">
                  <w:pPr>
                    <w:pStyle w:val="94"/>
                    <w:ind w:left="105" w:leftChars="50" w:right="105" w:rightChars="50"/>
                    <w:jc w:val="center"/>
                    <w:rPr>
                      <w:color w:val="auto"/>
                    </w:rPr>
                  </w:pPr>
                  <w:r>
                    <w:rPr>
                      <w:color w:val="auto"/>
                    </w:rPr>
                    <w:t>空间布局约束</w:t>
                  </w:r>
                </w:p>
              </w:tc>
              <w:tc>
                <w:tcPr>
                  <w:tcW w:w="2805" w:type="dxa"/>
                  <w:tcBorders>
                    <w:tl2br w:val="nil"/>
                    <w:tr2bl w:val="nil"/>
                  </w:tcBorders>
                  <w:shd w:val="clear" w:color="auto" w:fill="auto"/>
                  <w:vAlign w:val="center"/>
                </w:tcPr>
                <w:p w14:paraId="1B5A390C">
                  <w:pPr>
                    <w:numPr>
                      <w:ilvl w:val="0"/>
                      <w:numId w:val="0"/>
                    </w:numPr>
                    <w:ind w:left="0" w:leftChars="0" w:right="105" w:rightChars="50" w:firstLine="0" w:firstLineChars="0"/>
                    <w:jc w:val="center"/>
                    <w:rPr>
                      <w:rFonts w:ascii="Times New Roman" w:hAnsi="Times New Roman" w:cs="Times New Roman"/>
                      <w:color w:val="auto"/>
                    </w:rPr>
                  </w:pPr>
                  <w:r>
                    <w:rPr>
                      <w:rFonts w:hint="eastAsia" w:ascii="Times New Roman" w:hAnsi="Times New Roman" w:cs="Times New Roman"/>
                      <w:color w:val="auto"/>
                      <w:szCs w:val="21"/>
                      <w:lang w:val="en-US" w:eastAsia="zh-CN"/>
                    </w:rPr>
                    <w:t>/</w:t>
                  </w:r>
                </w:p>
              </w:tc>
              <w:tc>
                <w:tcPr>
                  <w:tcW w:w="2145" w:type="dxa"/>
                  <w:tcBorders>
                    <w:tl2br w:val="nil"/>
                    <w:tr2bl w:val="nil"/>
                  </w:tcBorders>
                  <w:shd w:val="clear" w:color="auto" w:fill="auto"/>
                  <w:vAlign w:val="center"/>
                </w:tcPr>
                <w:p w14:paraId="46DD9825">
                  <w:pPr>
                    <w:pStyle w:val="9"/>
                    <w:jc w:val="center"/>
                    <w:rPr>
                      <w:rFonts w:hint="eastAsia" w:ascii="Times New Roman" w:hAnsi="Times New Roman" w:cs="Times New Roman" w:eastAsiaTheme="minorEastAsia"/>
                      <w:color w:val="auto"/>
                      <w:lang w:eastAsia="zh-CN"/>
                    </w:rPr>
                  </w:pPr>
                  <w:r>
                    <w:rPr>
                      <w:rFonts w:hint="eastAsia" w:ascii="Times New Roman" w:hAnsi="Times New Roman" w:cs="Times New Roman"/>
                      <w:color w:val="auto"/>
                      <w:szCs w:val="21"/>
                      <w:highlight w:val="none"/>
                      <w:lang w:val="en-US" w:eastAsia="zh-CN"/>
                    </w:rPr>
                    <w:t>不涉及</w:t>
                  </w:r>
                </w:p>
              </w:tc>
              <w:tc>
                <w:tcPr>
                  <w:tcW w:w="323" w:type="pct"/>
                  <w:tcBorders>
                    <w:right w:val="single" w:color="auto" w:sz="4" w:space="0"/>
                    <w:tl2br w:val="nil"/>
                    <w:tr2bl w:val="nil"/>
                  </w:tcBorders>
                  <w:shd w:val="clear" w:color="auto" w:fill="auto"/>
                  <w:vAlign w:val="center"/>
                </w:tcPr>
                <w:p w14:paraId="08BE58D6">
                  <w:pPr>
                    <w:pStyle w:val="94"/>
                    <w:ind w:left="105" w:leftChars="50" w:right="105" w:rightChars="50"/>
                    <w:jc w:val="center"/>
                    <w:rPr>
                      <w:color w:val="auto"/>
                    </w:rPr>
                  </w:pPr>
                  <w:r>
                    <w:rPr>
                      <w:color w:val="auto"/>
                    </w:rPr>
                    <w:t>符合</w:t>
                  </w:r>
                </w:p>
              </w:tc>
            </w:tr>
            <w:tr w14:paraId="774A3F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5A2511B2">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1B81FC56">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5DB82E82">
                  <w:pPr>
                    <w:pStyle w:val="94"/>
                    <w:ind w:left="105" w:leftChars="50" w:right="105" w:rightChars="50"/>
                    <w:jc w:val="center"/>
                    <w:rPr>
                      <w:color w:val="auto"/>
                    </w:rPr>
                  </w:pPr>
                  <w:r>
                    <w:rPr>
                      <w:color w:val="auto"/>
                      <w:kern w:val="0"/>
                    </w:rPr>
                    <w:t>污染物排放管控</w:t>
                  </w:r>
                </w:p>
              </w:tc>
              <w:tc>
                <w:tcPr>
                  <w:tcW w:w="1927" w:type="pct"/>
                  <w:tcBorders>
                    <w:tl2br w:val="nil"/>
                    <w:tr2bl w:val="nil"/>
                  </w:tcBorders>
                  <w:shd w:val="clear" w:color="auto" w:fill="auto"/>
                  <w:vAlign w:val="center"/>
                </w:tcPr>
                <w:p w14:paraId="535D3913">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1.加强涂料等行业 VOCs 治理。推动排放工序密闭化改造，加强无组织排放收集。</w:t>
                  </w:r>
                </w:p>
                <w:p w14:paraId="074C85B7">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2.涂料、油墨企业大气污染物排放执行《涂料、油墨及胶粘剂工业大气污染物排放标准》(GB37824)。其它涉 VOCs工业企业大气污染物排放执行《工业企业挥发性有机物排放控制标准》(DB13/2322)。</w:t>
                  </w:r>
                </w:p>
                <w:p w14:paraId="1156CEDE">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3.水泥制品企业大气污染物排放执行《水泥工业大气污染物超低排放标准》(DB13/2167)。</w:t>
                  </w:r>
                </w:p>
                <w:p w14:paraId="43AFA574">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4.针对木制家具、金属家具及软体家具企业，积极推广使用低 VOCs 含量或低反应活性的原辅材料，加快使用低 VOCs含量的涂料代替溶剂型涂料。</w:t>
                  </w:r>
                </w:p>
                <w:p w14:paraId="4B02B9FD">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5.完善雨污基础设施体系建设，加快推进城区老旧管网雨污分流改造</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lang w:val="en-US" w:eastAsia="zh-CN"/>
                    </w:rPr>
                    <w:t>加强河排污口整治，采取雨水与污水截流、调蓄与治理等措施;有序推动城区、园区周边区域城乡污水一体化建设，因地制宜推动农村污水设施建设。</w:t>
                  </w:r>
                </w:p>
              </w:tc>
              <w:tc>
                <w:tcPr>
                  <w:tcW w:w="1474" w:type="pct"/>
                  <w:tcBorders>
                    <w:tl2br w:val="nil"/>
                    <w:tr2bl w:val="nil"/>
                  </w:tcBorders>
                  <w:shd w:val="clear" w:color="auto" w:fill="auto"/>
                  <w:vAlign w:val="center"/>
                </w:tcPr>
                <w:p w14:paraId="362CEE91">
                  <w:pPr>
                    <w:pStyle w:val="9"/>
                    <w:jc w:val="center"/>
                    <w:rPr>
                      <w:rFonts w:hint="eastAsia" w:ascii="Times New Roman" w:hAnsi="Times New Roman" w:cs="Times New Roman" w:eastAsiaTheme="minorEastAsia"/>
                      <w:color w:val="auto"/>
                      <w:szCs w:val="21"/>
                      <w:highlight w:val="none"/>
                      <w:lang w:eastAsia="zh-CN"/>
                    </w:rPr>
                  </w:pPr>
                  <w:r>
                    <w:rPr>
                      <w:rFonts w:hint="eastAsia"/>
                      <w:color w:val="auto"/>
                      <w:lang w:val="en-US" w:eastAsia="zh-CN"/>
                    </w:rPr>
                    <w:t>本项目注塑工序废气经集气罩（带软帘）收集后经活性炭吸附/脱附+催化燃烧装置处理后，经15米高排气筒排放</w:t>
                  </w:r>
                  <w:r>
                    <w:rPr>
                      <w:rFonts w:hint="eastAsia"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eastAsia="zh-CN"/>
                    </w:rPr>
                    <w:t>本项目非甲烷总烃排放</w:t>
                  </w:r>
                  <w:r>
                    <w:rPr>
                      <w:rFonts w:hint="default" w:ascii="Times New Roman" w:hAnsi="Times New Roman" w:cs="Times New Roman"/>
                      <w:color w:val="auto"/>
                      <w:szCs w:val="21"/>
                      <w:lang w:val="en-US" w:eastAsia="zh-CN"/>
                    </w:rPr>
                    <w:t>执行</w:t>
                  </w:r>
                  <w:r>
                    <w:rPr>
                      <w:rFonts w:hint="eastAsia" w:ascii="Times New Roman" w:hAnsi="Times New Roman" w:eastAsia="宋体" w:cs="Times New Roman"/>
                      <w:color w:val="auto"/>
                      <w:kern w:val="2"/>
                      <w:sz w:val="21"/>
                      <w:szCs w:val="21"/>
                      <w:lang w:val="en-US" w:eastAsia="zh-CN" w:bidi="ar-SA"/>
                    </w:rPr>
                    <w:t>《工业企业挥发性有机物排放控制标准》（DB13/2322 -2016）及《合成树脂工业污染物排放标准》（GB31572-2015）中相关标准</w:t>
                  </w:r>
                  <w:r>
                    <w:rPr>
                      <w:rFonts w:hint="eastAsia"/>
                      <w:color w:val="auto"/>
                      <w:lang w:val="en-US" w:eastAsia="zh-CN"/>
                    </w:rPr>
                    <w:t>。本项目</w:t>
                  </w:r>
                  <w:r>
                    <w:rPr>
                      <w:rFonts w:hint="default" w:ascii="Times New Roman" w:hAnsi="Times New Roman" w:eastAsia="宋体" w:cs="Times New Roman"/>
                      <w:color w:val="auto"/>
                      <w:sz w:val="21"/>
                      <w:szCs w:val="21"/>
                      <w:lang w:val="en-US" w:eastAsia="zh-CN"/>
                    </w:rPr>
                    <w:t>生活污水经厂区化粪池处理</w:t>
                  </w:r>
                  <w:r>
                    <w:rPr>
                      <w:rFonts w:hint="eastAsia" w:ascii="Times New Roman" w:hAnsi="Times New Roman" w:eastAsia="宋体" w:cs="Times New Roman"/>
                      <w:color w:val="auto"/>
                      <w:sz w:val="21"/>
                      <w:szCs w:val="21"/>
                      <w:lang w:val="en-US" w:eastAsia="zh-CN"/>
                    </w:rPr>
                    <w:t>，化粪池定期清掏，不外排</w:t>
                  </w:r>
                  <w:r>
                    <w:rPr>
                      <w:rFonts w:hint="eastAsia" w:ascii="Times New Roman" w:hAnsi="Times New Roman" w:cs="Times New Roman"/>
                      <w:bCs/>
                      <w:color w:val="auto"/>
                      <w:szCs w:val="21"/>
                      <w:highlight w:val="none"/>
                      <w:lang w:eastAsia="zh-CN"/>
                    </w:rPr>
                    <w:t>。</w:t>
                  </w:r>
                </w:p>
              </w:tc>
              <w:tc>
                <w:tcPr>
                  <w:tcW w:w="323" w:type="pct"/>
                  <w:tcBorders>
                    <w:right w:val="single" w:color="auto" w:sz="4" w:space="0"/>
                    <w:tl2br w:val="nil"/>
                    <w:tr2bl w:val="nil"/>
                  </w:tcBorders>
                  <w:shd w:val="clear" w:color="auto" w:fill="auto"/>
                  <w:vAlign w:val="center"/>
                </w:tcPr>
                <w:p w14:paraId="62962965">
                  <w:pPr>
                    <w:pStyle w:val="94"/>
                    <w:ind w:left="105" w:leftChars="50" w:right="105" w:rightChars="50"/>
                    <w:jc w:val="center"/>
                    <w:rPr>
                      <w:color w:val="auto"/>
                    </w:rPr>
                  </w:pPr>
                  <w:r>
                    <w:rPr>
                      <w:color w:val="auto"/>
                    </w:rPr>
                    <w:t>符合</w:t>
                  </w:r>
                </w:p>
              </w:tc>
            </w:tr>
            <w:tr w14:paraId="4955DF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60014E5E">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001ACC70">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43BCD60B">
                  <w:pPr>
                    <w:pStyle w:val="94"/>
                    <w:ind w:left="105" w:leftChars="50" w:right="105" w:rightChars="50"/>
                    <w:jc w:val="center"/>
                    <w:rPr>
                      <w:color w:val="auto"/>
                      <w:kern w:val="0"/>
                    </w:rPr>
                  </w:pPr>
                  <w:r>
                    <w:rPr>
                      <w:rFonts w:hint="eastAsia"/>
                      <w:color w:val="auto"/>
                      <w:kern w:val="0"/>
                      <w:lang w:val="en-US" w:eastAsia="zh-CN"/>
                    </w:rPr>
                    <w:t>环境风险防控</w:t>
                  </w:r>
                </w:p>
              </w:tc>
              <w:tc>
                <w:tcPr>
                  <w:tcW w:w="1927" w:type="pct"/>
                  <w:tcBorders>
                    <w:tl2br w:val="nil"/>
                    <w:tr2bl w:val="nil"/>
                  </w:tcBorders>
                  <w:shd w:val="clear" w:color="auto" w:fill="auto"/>
                  <w:vAlign w:val="center"/>
                </w:tcPr>
                <w:p w14:paraId="5353BC83">
                  <w:pPr>
                    <w:numPr>
                      <w:ilvl w:val="0"/>
                      <w:numId w:val="0"/>
                    </w:numPr>
                    <w:ind w:right="105" w:rightChars="5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474" w:type="pct"/>
                  <w:tcBorders>
                    <w:tl2br w:val="nil"/>
                    <w:tr2bl w:val="nil"/>
                  </w:tcBorders>
                  <w:shd w:val="clear" w:color="auto" w:fill="auto"/>
                  <w:vAlign w:val="center"/>
                </w:tcPr>
                <w:p w14:paraId="57F8771D">
                  <w:pPr>
                    <w:pStyle w:val="9"/>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不涉及</w:t>
                  </w:r>
                </w:p>
              </w:tc>
              <w:tc>
                <w:tcPr>
                  <w:tcW w:w="323" w:type="pct"/>
                  <w:tcBorders>
                    <w:right w:val="single" w:color="auto" w:sz="4" w:space="0"/>
                    <w:tl2br w:val="nil"/>
                    <w:tr2bl w:val="nil"/>
                  </w:tcBorders>
                  <w:shd w:val="clear" w:color="auto" w:fill="auto"/>
                  <w:vAlign w:val="center"/>
                </w:tcPr>
                <w:p w14:paraId="7D2264C6">
                  <w:pPr>
                    <w:pStyle w:val="94"/>
                    <w:ind w:left="105" w:leftChars="50" w:right="105" w:rightChars="50"/>
                    <w:jc w:val="center"/>
                    <w:rPr>
                      <w:color w:val="auto"/>
                    </w:rPr>
                  </w:pPr>
                  <w:r>
                    <w:rPr>
                      <w:color w:val="auto"/>
                    </w:rPr>
                    <w:t>符合</w:t>
                  </w:r>
                </w:p>
              </w:tc>
            </w:tr>
            <w:tr w14:paraId="643B39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75" w:type="pct"/>
                  <w:vMerge w:val="continue"/>
                  <w:tcBorders>
                    <w:left w:val="single" w:color="auto" w:sz="4" w:space="0"/>
                    <w:tl2br w:val="nil"/>
                    <w:tr2bl w:val="nil"/>
                  </w:tcBorders>
                  <w:shd w:val="clear" w:color="auto" w:fill="auto"/>
                  <w:vAlign w:val="center"/>
                </w:tcPr>
                <w:p w14:paraId="1734FFF5">
                  <w:pPr>
                    <w:pStyle w:val="94"/>
                    <w:ind w:left="105" w:leftChars="50" w:right="105" w:rightChars="50"/>
                    <w:jc w:val="center"/>
                    <w:rPr>
                      <w:color w:val="auto"/>
                    </w:rPr>
                  </w:pPr>
                </w:p>
              </w:tc>
              <w:tc>
                <w:tcPr>
                  <w:tcW w:w="369" w:type="pct"/>
                  <w:vMerge w:val="continue"/>
                  <w:tcBorders>
                    <w:tl2br w:val="nil"/>
                    <w:tr2bl w:val="nil"/>
                  </w:tcBorders>
                  <w:shd w:val="clear" w:color="auto" w:fill="auto"/>
                  <w:vAlign w:val="center"/>
                </w:tcPr>
                <w:p w14:paraId="50833721">
                  <w:pPr>
                    <w:pStyle w:val="94"/>
                    <w:ind w:left="105" w:leftChars="50" w:right="105" w:rightChars="50"/>
                    <w:jc w:val="center"/>
                    <w:rPr>
                      <w:color w:val="auto"/>
                    </w:rPr>
                  </w:pPr>
                </w:p>
              </w:tc>
              <w:tc>
                <w:tcPr>
                  <w:tcW w:w="429" w:type="pct"/>
                  <w:tcBorders>
                    <w:tl2br w:val="nil"/>
                    <w:tr2bl w:val="nil"/>
                  </w:tcBorders>
                  <w:shd w:val="clear" w:color="auto" w:fill="auto"/>
                  <w:vAlign w:val="center"/>
                </w:tcPr>
                <w:p w14:paraId="1B529B08">
                  <w:pPr>
                    <w:pStyle w:val="94"/>
                    <w:ind w:left="105" w:leftChars="50" w:right="105" w:rightChars="50"/>
                    <w:jc w:val="center"/>
                    <w:rPr>
                      <w:color w:val="auto"/>
                    </w:rPr>
                  </w:pPr>
                  <w:r>
                    <w:rPr>
                      <w:rFonts w:hint="eastAsia"/>
                      <w:color w:val="auto"/>
                      <w:lang w:val="en-US" w:eastAsia="zh-CN"/>
                    </w:rPr>
                    <w:t>资源利用效率</w:t>
                  </w:r>
                </w:p>
              </w:tc>
              <w:tc>
                <w:tcPr>
                  <w:tcW w:w="2805" w:type="dxa"/>
                  <w:tcBorders>
                    <w:tl2br w:val="nil"/>
                    <w:tr2bl w:val="nil"/>
                  </w:tcBorders>
                  <w:shd w:val="clear" w:color="auto" w:fill="auto"/>
                  <w:vAlign w:val="center"/>
                </w:tcPr>
                <w:p w14:paraId="64756B54">
                  <w:pPr>
                    <w:numPr>
                      <w:ilvl w:val="0"/>
                      <w:numId w:val="0"/>
                    </w:numPr>
                    <w:ind w:left="0" w:leftChars="0" w:right="105" w:rightChars="50" w:firstLine="0" w:firstLineChars="0"/>
                    <w:jc w:val="center"/>
                    <w:rPr>
                      <w:rFonts w:ascii="Times New Roman" w:hAnsi="Times New Roman" w:eastAsia="宋体" w:cs="Times New Roman"/>
                      <w:color w:val="auto"/>
                    </w:rPr>
                  </w:pPr>
                  <w:r>
                    <w:rPr>
                      <w:rFonts w:hint="eastAsia" w:ascii="Times New Roman" w:hAnsi="Times New Roman" w:cs="Times New Roman"/>
                      <w:color w:val="auto"/>
                      <w:szCs w:val="21"/>
                      <w:lang w:val="en-US" w:eastAsia="zh-CN"/>
                    </w:rPr>
                    <w:t>/</w:t>
                  </w:r>
                </w:p>
              </w:tc>
              <w:tc>
                <w:tcPr>
                  <w:tcW w:w="2145" w:type="dxa"/>
                  <w:tcBorders>
                    <w:tl2br w:val="nil"/>
                    <w:tr2bl w:val="nil"/>
                  </w:tcBorders>
                  <w:shd w:val="clear" w:color="auto" w:fill="auto"/>
                  <w:vAlign w:val="center"/>
                </w:tcPr>
                <w:p w14:paraId="13F1C031">
                  <w:pPr>
                    <w:pStyle w:val="9"/>
                    <w:jc w:val="center"/>
                    <w:rPr>
                      <w:color w:val="auto"/>
                    </w:rPr>
                  </w:pPr>
                  <w:r>
                    <w:rPr>
                      <w:rFonts w:hint="eastAsia" w:ascii="Times New Roman" w:hAnsi="Times New Roman" w:cs="Times New Roman"/>
                      <w:color w:val="auto"/>
                      <w:szCs w:val="21"/>
                      <w:highlight w:val="none"/>
                      <w:lang w:val="en-US" w:eastAsia="zh-CN"/>
                    </w:rPr>
                    <w:t>不涉及</w:t>
                  </w:r>
                </w:p>
              </w:tc>
              <w:tc>
                <w:tcPr>
                  <w:tcW w:w="323" w:type="pct"/>
                  <w:tcBorders>
                    <w:right w:val="single" w:color="auto" w:sz="4" w:space="0"/>
                    <w:tl2br w:val="nil"/>
                    <w:tr2bl w:val="nil"/>
                  </w:tcBorders>
                  <w:shd w:val="clear" w:color="auto" w:fill="auto"/>
                  <w:vAlign w:val="center"/>
                </w:tcPr>
                <w:p w14:paraId="5D30C016">
                  <w:pPr>
                    <w:pStyle w:val="94"/>
                    <w:ind w:left="105" w:leftChars="50" w:right="105" w:rightChars="50"/>
                    <w:jc w:val="center"/>
                    <w:rPr>
                      <w:color w:val="auto"/>
                    </w:rPr>
                  </w:pPr>
                  <w:r>
                    <w:rPr>
                      <w:color w:val="auto"/>
                    </w:rPr>
                    <w:t>符合</w:t>
                  </w:r>
                </w:p>
              </w:tc>
            </w:tr>
          </w:tbl>
          <w:p w14:paraId="7FAEF678">
            <w:pPr>
              <w:spacing w:line="360" w:lineRule="auto"/>
              <w:ind w:left="105" w:leftChars="50" w:right="105" w:rightChars="50" w:firstLine="480" w:firstLineChars="200"/>
              <w:rPr>
                <w:rFonts w:hint="eastAsia" w:ascii="Times New Roman" w:hAnsi="Times New Roman" w:cs="Times New Roman"/>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综合以上分析，本项目符合“三线一单”要求</w:t>
            </w:r>
            <w:r>
              <w:rPr>
                <w:rFonts w:hint="eastAsia" w:ascii="Times New Roman" w:hAnsi="Times New Roman" w:cs="Times New Roman"/>
                <w:color w:val="auto"/>
                <w:kern w:val="2"/>
                <w:sz w:val="24"/>
                <w:szCs w:val="24"/>
                <w:lang w:val="en-US" w:eastAsia="zh-CN" w:bidi="ar-SA"/>
              </w:rPr>
              <w:t>。</w:t>
            </w:r>
          </w:p>
          <w:p w14:paraId="2227A813">
            <w:pPr>
              <w:adjustRightInd w:val="0"/>
              <w:snapToGrid w:val="0"/>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4、</w:t>
            </w:r>
            <w:r>
              <w:rPr>
                <w:rFonts w:ascii="Times New Roman" w:hAnsi="Times New Roman" w:eastAsia="宋体" w:cs="Times New Roman"/>
                <w:b/>
                <w:bCs/>
                <w:color w:val="auto"/>
                <w:sz w:val="24"/>
              </w:rPr>
              <w:t>与</w:t>
            </w:r>
            <w:r>
              <w:rPr>
                <w:rFonts w:hint="eastAsia" w:ascii="Times New Roman" w:hAnsi="Times New Roman" w:eastAsia="宋体" w:cs="Times New Roman"/>
                <w:b/>
                <w:bCs/>
                <w:color w:val="auto"/>
                <w:sz w:val="24"/>
              </w:rPr>
              <w:t>《河北省挥发性有机物污染整治专项实施方案》</w:t>
            </w:r>
            <w:r>
              <w:rPr>
                <w:rFonts w:ascii="Times New Roman" w:hAnsi="Times New Roman" w:eastAsia="宋体" w:cs="Times New Roman"/>
                <w:b/>
                <w:bCs/>
                <w:color w:val="auto"/>
                <w:sz w:val="24"/>
              </w:rPr>
              <w:t>相符性分析</w:t>
            </w:r>
          </w:p>
          <w:p w14:paraId="715021D4">
            <w:pPr>
              <w:spacing w:line="48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1-3</w:t>
            </w:r>
            <w:r>
              <w:rPr>
                <w:rFonts w:ascii="Times New Roman" w:hAnsi="Times New Roman" w:eastAsia="宋体" w:cs="Times New Roman"/>
                <w:b/>
                <w:bCs/>
                <w:color w:val="auto"/>
                <w:sz w:val="24"/>
                <w:szCs w:val="24"/>
              </w:rPr>
              <w:t xml:space="preserve"> 项目与</w:t>
            </w:r>
            <w:r>
              <w:rPr>
                <w:rFonts w:hint="eastAsia" w:ascii="Times New Roman" w:hAnsi="Times New Roman" w:eastAsia="宋体" w:cs="Times New Roman"/>
                <w:b/>
                <w:bCs/>
                <w:color w:val="auto"/>
                <w:sz w:val="24"/>
              </w:rPr>
              <w:t>《河北省挥发性有机物污染整治专项实施方案》</w:t>
            </w:r>
            <w:r>
              <w:rPr>
                <w:rFonts w:ascii="Times New Roman" w:hAnsi="Times New Roman" w:eastAsia="宋体" w:cs="Times New Roman"/>
                <w:b/>
                <w:bCs/>
                <w:color w:val="auto"/>
                <w:sz w:val="24"/>
                <w:szCs w:val="24"/>
              </w:rPr>
              <w:t>符合性分析表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93"/>
              <w:gridCol w:w="2577"/>
              <w:gridCol w:w="791"/>
            </w:tblGrid>
            <w:tr w14:paraId="30FDF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2681" w:type="pct"/>
                  <w:noWrap w:val="0"/>
                  <w:vAlign w:val="center"/>
                </w:tcPr>
                <w:p w14:paraId="44267A5C">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文件要求</w:t>
                  </w:r>
                </w:p>
              </w:tc>
              <w:tc>
                <w:tcPr>
                  <w:tcW w:w="1774" w:type="pct"/>
                  <w:noWrap w:val="0"/>
                  <w:vAlign w:val="center"/>
                </w:tcPr>
                <w:p w14:paraId="3963FB4F">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544" w:type="pct"/>
                  <w:noWrap w:val="0"/>
                  <w:vAlign w:val="center"/>
                </w:tcPr>
                <w:p w14:paraId="50990E0C">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符合性分析</w:t>
                  </w:r>
                </w:p>
              </w:tc>
            </w:tr>
            <w:tr w14:paraId="2A79E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2681" w:type="pct"/>
                  <w:noWrap w:val="0"/>
                  <w:vAlign w:val="center"/>
                </w:tcPr>
                <w:p w14:paraId="51F14659">
                  <w:pPr>
                    <w:pStyle w:val="94"/>
                    <w:jc w:val="both"/>
                    <w:rPr>
                      <w:color w:val="auto"/>
                    </w:rPr>
                  </w:pPr>
                  <w:r>
                    <w:rPr>
                      <w:rFonts w:hint="eastAsia"/>
                      <w:color w:val="auto"/>
                    </w:rPr>
                    <w:t>强化工业源挥发性有机物排放管控。</w:t>
                  </w:r>
                </w:p>
                <w:p w14:paraId="5FD44221">
                  <w:pPr>
                    <w:pStyle w:val="94"/>
                    <w:jc w:val="both"/>
                    <w:rPr>
                      <w:color w:val="auto"/>
                    </w:rPr>
                  </w:pPr>
                  <w:r>
                    <w:rPr>
                      <w:rFonts w:hint="eastAsia"/>
                      <w:color w:val="auto"/>
                    </w:rPr>
                    <w:t>实施化工行业综合治理。</w:t>
                  </w:r>
                </w:p>
                <w:p w14:paraId="1B94105D">
                  <w:pPr>
                    <w:pStyle w:val="94"/>
                    <w:jc w:val="both"/>
                    <w:rPr>
                      <w:rFonts w:hint="eastAsia"/>
                      <w:color w:val="auto"/>
                    </w:rPr>
                  </w:pPr>
                  <w:r>
                    <w:rPr>
                      <w:rFonts w:hint="eastAsia"/>
                      <w:color w:val="auto"/>
                    </w:rPr>
                    <w:t>1</w:t>
                  </w:r>
                  <w:r>
                    <w:rPr>
                      <w:color w:val="auto"/>
                    </w:rPr>
                    <w:t>.</w:t>
                  </w:r>
                  <w:r>
                    <w:rPr>
                      <w:rFonts w:hint="eastAsia"/>
                      <w:color w:val="auto"/>
                    </w:rPr>
                    <w:t>强化源头控制，减少卤化和芳香性溶剂等高VOCs含量原辅材料使用，其中，医药类企业推广使用低VOCs含量或低反应活性溶剂、溶媒，农药企业推广使用水基化类溶剂替代轻芳烃等溶剂。</w:t>
                  </w:r>
                </w:p>
                <w:p w14:paraId="4257D749">
                  <w:pPr>
                    <w:pStyle w:val="94"/>
                    <w:jc w:val="both"/>
                    <w:rPr>
                      <w:rFonts w:hint="eastAsia"/>
                      <w:color w:val="auto"/>
                    </w:rPr>
                  </w:pPr>
                  <w:r>
                    <w:rPr>
                      <w:color w:val="auto"/>
                    </w:rPr>
                    <w:t>2.</w:t>
                  </w:r>
                  <w:r>
                    <w:rPr>
                      <w:rFonts w:hint="eastAsia"/>
                      <w:color w:val="auto"/>
                    </w:rPr>
                    <w:t>严格过程管理，推广采用先进的干燥、固液分离及真空设备，以连续、自动、密闭生产工艺替代间歇式、敞开式生产工艺，并采取停工退料等措施，加强非正常工况的过程控制。</w:t>
                  </w:r>
                </w:p>
                <w:p w14:paraId="14959BD2">
                  <w:pPr>
                    <w:pStyle w:val="94"/>
                    <w:jc w:val="both"/>
                    <w:rPr>
                      <w:rFonts w:hint="default" w:ascii="Times New Roman" w:hAnsi="Times New Roman" w:cs="Times New Roman"/>
                      <w:b/>
                      <w:bCs/>
                      <w:color w:val="auto"/>
                      <w:szCs w:val="21"/>
                    </w:rPr>
                  </w:pPr>
                  <w:r>
                    <w:rPr>
                      <w:color w:val="auto"/>
                    </w:rPr>
                    <w:t>3.</w:t>
                  </w:r>
                  <w:r>
                    <w:rPr>
                      <w:rFonts w:hint="eastAsia"/>
                      <w:color w:val="auto"/>
                    </w:rPr>
                    <w:t>深化末端治理，在主要排放环节安装集气罩或密闭式负压收集装置，采取回收或焚烧等方式进行治理。</w:t>
                  </w:r>
                </w:p>
              </w:tc>
              <w:tc>
                <w:tcPr>
                  <w:tcW w:w="1774" w:type="pct"/>
                  <w:noWrap w:val="0"/>
                  <w:vAlign w:val="center"/>
                </w:tcPr>
                <w:p w14:paraId="3F2FDFB8">
                  <w:pPr>
                    <w:pStyle w:val="94"/>
                    <w:jc w:val="both"/>
                    <w:rPr>
                      <w:color w:val="auto"/>
                    </w:rPr>
                  </w:pPr>
                  <w:r>
                    <w:rPr>
                      <w:rFonts w:hint="eastAsia"/>
                      <w:color w:val="auto"/>
                    </w:rPr>
                    <w:t>1</w:t>
                  </w:r>
                  <w:r>
                    <w:rPr>
                      <w:color w:val="auto"/>
                    </w:rPr>
                    <w:t>.</w:t>
                  </w:r>
                  <w:r>
                    <w:rPr>
                      <w:rFonts w:hint="eastAsia"/>
                      <w:color w:val="auto"/>
                    </w:rPr>
                    <w:t>本项目原料主要为</w:t>
                  </w:r>
                  <w:r>
                    <w:rPr>
                      <w:rFonts w:hint="eastAsia"/>
                      <w:color w:val="auto"/>
                      <w:highlight w:val="none"/>
                      <w:lang w:val="en-US" w:eastAsia="zh-CN"/>
                    </w:rPr>
                    <w:t>PP</w:t>
                  </w:r>
                  <w:r>
                    <w:rPr>
                      <w:rFonts w:hint="eastAsia"/>
                      <w:color w:val="auto"/>
                      <w:highlight w:val="none"/>
                    </w:rPr>
                    <w:t>、P</w:t>
                  </w:r>
                  <w:r>
                    <w:rPr>
                      <w:color w:val="auto"/>
                      <w:highlight w:val="none"/>
                    </w:rPr>
                    <w:t>E</w:t>
                  </w:r>
                  <w:r>
                    <w:rPr>
                      <w:rFonts w:hint="eastAsia"/>
                      <w:color w:val="auto"/>
                      <w:highlight w:val="none"/>
                      <w:lang w:val="en-US" w:eastAsia="zh-CN"/>
                    </w:rPr>
                    <w:t>等，</w:t>
                  </w:r>
                  <w:r>
                    <w:rPr>
                      <w:rFonts w:hint="eastAsia"/>
                      <w:color w:val="auto"/>
                    </w:rPr>
                    <w:t>反应活性低，且VOCs含量较低。</w:t>
                  </w:r>
                </w:p>
                <w:p w14:paraId="5D6BA853">
                  <w:pPr>
                    <w:pStyle w:val="94"/>
                    <w:jc w:val="both"/>
                    <w:rPr>
                      <w:color w:val="auto"/>
                    </w:rPr>
                  </w:pPr>
                  <w:r>
                    <w:rPr>
                      <w:rFonts w:hint="eastAsia"/>
                      <w:color w:val="auto"/>
                    </w:rPr>
                    <w:t>2</w:t>
                  </w:r>
                  <w:r>
                    <w:rPr>
                      <w:color w:val="auto"/>
                    </w:rPr>
                    <w:t>.本项目</w:t>
                  </w:r>
                  <w:r>
                    <w:rPr>
                      <w:rFonts w:hint="eastAsia"/>
                      <w:color w:val="auto"/>
                      <w:highlight w:val="none"/>
                      <w:lang w:eastAsia="zh-CN"/>
                    </w:rPr>
                    <w:t>注塑</w:t>
                  </w:r>
                  <w:r>
                    <w:rPr>
                      <w:rFonts w:hint="eastAsia"/>
                      <w:color w:val="auto"/>
                      <w:highlight w:val="none"/>
                    </w:rPr>
                    <w:t>工序</w:t>
                  </w:r>
                  <w:r>
                    <w:rPr>
                      <w:rFonts w:hint="eastAsia"/>
                      <w:color w:val="auto"/>
                    </w:rPr>
                    <w:t>采用连续、自动、密闭生产，减少无组织废气排放。</w:t>
                  </w:r>
                </w:p>
                <w:p w14:paraId="53F082E2">
                  <w:pPr>
                    <w:pStyle w:val="94"/>
                    <w:jc w:val="both"/>
                    <w:rPr>
                      <w:rFonts w:hint="default" w:ascii="Times New Roman" w:hAnsi="Times New Roman" w:cs="Times New Roman"/>
                      <w:b/>
                      <w:bCs/>
                      <w:color w:val="auto"/>
                      <w:szCs w:val="21"/>
                    </w:rPr>
                  </w:pPr>
                  <w:r>
                    <w:rPr>
                      <w:rFonts w:hint="eastAsia"/>
                      <w:color w:val="auto"/>
                    </w:rPr>
                    <w:t>3</w:t>
                  </w:r>
                  <w:r>
                    <w:rPr>
                      <w:color w:val="auto"/>
                    </w:rPr>
                    <w:t>.本项目</w:t>
                  </w:r>
                  <w:r>
                    <w:rPr>
                      <w:rFonts w:hint="eastAsia"/>
                      <w:color w:val="auto"/>
                    </w:rPr>
                    <w:t>生产设备位于密闭车间内，废气经集气罩加装软帘</w:t>
                  </w:r>
                  <w:r>
                    <w:rPr>
                      <w:rFonts w:hint="eastAsia"/>
                      <w:color w:val="auto"/>
                      <w:lang w:eastAsia="zh-CN"/>
                    </w:rPr>
                    <w:t>等方式</w:t>
                  </w:r>
                  <w:r>
                    <w:rPr>
                      <w:rFonts w:hint="eastAsia"/>
                      <w:color w:val="auto"/>
                    </w:rPr>
                    <w:t>收集，废气收集后采用</w:t>
                  </w:r>
                  <w:r>
                    <w:rPr>
                      <w:rFonts w:hint="eastAsia"/>
                      <w:color w:val="auto"/>
                      <w:lang w:eastAsia="zh-CN"/>
                    </w:rPr>
                    <w:t>活性炭吸附/脱附+催化燃烧装置</w:t>
                  </w:r>
                  <w:r>
                    <w:rPr>
                      <w:rFonts w:hint="eastAsia"/>
                      <w:color w:val="auto"/>
                    </w:rPr>
                    <w:t>进行治理，可保证达标排放。</w:t>
                  </w:r>
                </w:p>
              </w:tc>
              <w:tc>
                <w:tcPr>
                  <w:tcW w:w="544" w:type="pct"/>
                  <w:noWrap w:val="0"/>
                  <w:vAlign w:val="center"/>
                </w:tcPr>
                <w:p w14:paraId="191113A1">
                  <w:pPr>
                    <w:pStyle w:val="94"/>
                    <w:rPr>
                      <w:rFonts w:hint="default" w:ascii="Times New Roman" w:hAnsi="Times New Roman" w:cs="Times New Roman"/>
                      <w:b/>
                      <w:bCs/>
                      <w:color w:val="auto"/>
                      <w:szCs w:val="21"/>
                    </w:rPr>
                  </w:pPr>
                  <w:r>
                    <w:rPr>
                      <w:rFonts w:hint="eastAsia"/>
                      <w:color w:val="auto"/>
                    </w:rPr>
                    <w:t>符合</w:t>
                  </w:r>
                </w:p>
              </w:tc>
            </w:tr>
          </w:tbl>
          <w:p w14:paraId="5231B603">
            <w:pPr>
              <w:adjustRightInd w:val="0"/>
              <w:snapToGrid w:val="0"/>
              <w:spacing w:line="480" w:lineRule="exact"/>
              <w:ind w:firstLine="480" w:firstLineChars="200"/>
              <w:rPr>
                <w:rFonts w:hint="eastAsia" w:ascii="Times New Roman" w:hAnsi="Times New Roman" w:cs="Times New Roman"/>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综合以上分析，本项目符合</w:t>
            </w:r>
            <w:r>
              <w:rPr>
                <w:rFonts w:hint="eastAsia" w:ascii="Times New Roman" w:hAnsi="Times New Roman" w:cs="Times New Roman" w:eastAsiaTheme="minorEastAsia"/>
                <w:color w:val="auto"/>
                <w:kern w:val="2"/>
                <w:sz w:val="24"/>
                <w:szCs w:val="24"/>
                <w:lang w:val="en-US" w:eastAsia="zh-CN" w:bidi="ar-SA"/>
              </w:rPr>
              <w:t>《河北省挥发性有机物污染整治专项实施方案》</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p w14:paraId="439021D8">
            <w:pPr>
              <w:adjustRightInd w:val="0"/>
              <w:snapToGrid w:val="0"/>
              <w:spacing w:line="480" w:lineRule="exact"/>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5、</w:t>
            </w:r>
            <w:r>
              <w:rPr>
                <w:rFonts w:ascii="Times New Roman" w:hAnsi="Times New Roman" w:eastAsia="宋体" w:cs="Times New Roman"/>
                <w:b/>
                <w:bCs/>
                <w:color w:val="auto"/>
                <w:sz w:val="24"/>
                <w:highlight w:val="none"/>
              </w:rPr>
              <w:t>与</w:t>
            </w:r>
            <w:r>
              <w:rPr>
                <w:rFonts w:hint="default" w:ascii="Times New Roman" w:hAnsi="Times New Roman" w:eastAsia="宋体" w:cs="Times New Roman"/>
                <w:b/>
                <w:bCs/>
                <w:color w:val="auto"/>
                <w:sz w:val="24"/>
                <w:highlight w:val="none"/>
              </w:rPr>
              <w:t>《廊坊市工业企业挥发性有机物综合治理工作方案》</w:t>
            </w:r>
            <w:r>
              <w:rPr>
                <w:rFonts w:ascii="Times New Roman" w:hAnsi="Times New Roman" w:eastAsia="宋体" w:cs="Times New Roman"/>
                <w:b/>
                <w:bCs/>
                <w:color w:val="auto"/>
                <w:sz w:val="24"/>
                <w:highlight w:val="none"/>
              </w:rPr>
              <w:t>相符性分析</w:t>
            </w:r>
          </w:p>
          <w:p w14:paraId="78C44676">
            <w:pPr>
              <w:spacing w:line="240" w:lineRule="auto"/>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1-4</w:t>
            </w:r>
            <w:r>
              <w:rPr>
                <w:rFonts w:ascii="Times New Roman" w:hAnsi="Times New Roman" w:eastAsia="宋体" w:cs="Times New Roman"/>
                <w:b/>
                <w:bCs/>
                <w:color w:val="auto"/>
                <w:sz w:val="24"/>
                <w:szCs w:val="24"/>
                <w:highlight w:val="none"/>
              </w:rPr>
              <w:t xml:space="preserve"> 项目与</w:t>
            </w:r>
            <w:r>
              <w:rPr>
                <w:rFonts w:hint="default" w:ascii="Times New Roman" w:hAnsi="Times New Roman" w:eastAsia="宋体" w:cs="Times New Roman"/>
                <w:b/>
                <w:bCs/>
                <w:color w:val="auto"/>
                <w:sz w:val="24"/>
                <w:szCs w:val="24"/>
                <w:highlight w:val="none"/>
              </w:rPr>
              <w:t>《廊坊市工业企业挥发性有机物综合治理工作方案》</w:t>
            </w:r>
            <w:r>
              <w:rPr>
                <w:rFonts w:ascii="Times New Roman" w:hAnsi="Times New Roman" w:eastAsia="宋体" w:cs="Times New Roman"/>
                <w:b/>
                <w:bCs/>
                <w:color w:val="auto"/>
                <w:sz w:val="24"/>
                <w:szCs w:val="24"/>
                <w:highlight w:val="none"/>
              </w:rPr>
              <w:t>符合性分析表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5"/>
              <w:gridCol w:w="3621"/>
              <w:gridCol w:w="2064"/>
              <w:gridCol w:w="790"/>
            </w:tblGrid>
            <w:tr w14:paraId="03501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3034" w:type="pct"/>
                  <w:gridSpan w:val="2"/>
                  <w:noWrap w:val="0"/>
                  <w:vAlign w:val="center"/>
                </w:tcPr>
                <w:p w14:paraId="03072658">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文件要求</w:t>
                  </w:r>
                </w:p>
              </w:tc>
              <w:tc>
                <w:tcPr>
                  <w:tcW w:w="1421" w:type="pct"/>
                  <w:noWrap w:val="0"/>
                  <w:vAlign w:val="center"/>
                </w:tcPr>
                <w:p w14:paraId="1C6F2DDA">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本项目情况</w:t>
                  </w:r>
                </w:p>
              </w:tc>
              <w:tc>
                <w:tcPr>
                  <w:tcW w:w="544" w:type="pct"/>
                  <w:noWrap w:val="0"/>
                  <w:vAlign w:val="center"/>
                </w:tcPr>
                <w:p w14:paraId="656C5201">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符合性分析</w:t>
                  </w:r>
                </w:p>
              </w:tc>
            </w:tr>
            <w:tr w14:paraId="27960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0" w:type="pct"/>
                  <w:vMerge w:val="restart"/>
                  <w:noWrap w:val="0"/>
                  <w:vAlign w:val="center"/>
                </w:tcPr>
                <w:p w14:paraId="1CF5A6D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Cs w:val="21"/>
                      <w:highlight w:val="none"/>
                    </w:rPr>
                  </w:pPr>
                  <w:r>
                    <w:rPr>
                      <w:rFonts w:hint="eastAsia"/>
                      <w:color w:val="auto"/>
                      <w:lang w:val="en-US" w:eastAsia="zh-CN"/>
                    </w:rPr>
                    <w:t>（四）塑料制品及其他化学品制造</w:t>
                  </w:r>
                </w:p>
              </w:tc>
              <w:tc>
                <w:tcPr>
                  <w:tcW w:w="2493" w:type="pct"/>
                  <w:noWrap w:val="0"/>
                  <w:vAlign w:val="center"/>
                </w:tcPr>
                <w:p w14:paraId="3D307F60">
                  <w:pPr>
                    <w:pStyle w:val="94"/>
                    <w:jc w:val="center"/>
                    <w:rPr>
                      <w:rFonts w:hint="default" w:ascii="Times New Roman" w:hAnsi="Times New Roman" w:eastAsia="宋体" w:cs="Times New Roman"/>
                      <w:color w:val="auto"/>
                      <w:szCs w:val="21"/>
                      <w:highlight w:val="none"/>
                    </w:rPr>
                  </w:pPr>
                  <w:r>
                    <w:rPr>
                      <w:rFonts w:hint="eastAsia"/>
                      <w:color w:val="auto"/>
                    </w:rPr>
                    <w:t>1、塑料行业优先采用环保型原辅料，禁止使用附带污染、有毒有害物质的废塑料作为生产原辅料。限制使用加工过程中产生较大臭味的原料(如聚甲醛等)。增塑剂等含有 VOCs 组分的物料应密闭储存</w:t>
                  </w:r>
                  <w:r>
                    <w:rPr>
                      <w:rFonts w:hint="eastAsia"/>
                      <w:color w:val="auto"/>
                      <w:lang w:eastAsia="zh-CN"/>
                    </w:rPr>
                    <w:t>；</w:t>
                  </w:r>
                  <w:r>
                    <w:rPr>
                      <w:rFonts w:hint="eastAsia"/>
                      <w:color w:val="auto"/>
                    </w:rPr>
                    <w:t>涉及大宗有机物料使用的应采用储罐储存，并优先采用管道输送</w:t>
                  </w:r>
                  <w:r>
                    <w:rPr>
                      <w:color w:val="auto"/>
                    </w:rPr>
                    <w:t>。</w:t>
                  </w:r>
                </w:p>
              </w:tc>
              <w:tc>
                <w:tcPr>
                  <w:tcW w:w="1421" w:type="pct"/>
                  <w:noWrap w:val="0"/>
                  <w:vAlign w:val="center"/>
                </w:tcPr>
                <w:p w14:paraId="0B4DB937">
                  <w:pPr>
                    <w:pStyle w:val="94"/>
                    <w:jc w:val="center"/>
                    <w:rPr>
                      <w:rFonts w:hint="eastAsia" w:ascii="Times New Roman" w:hAnsi="Times New Roman" w:eastAsia="宋体" w:cs="Times New Roman"/>
                      <w:color w:val="auto"/>
                      <w:szCs w:val="21"/>
                      <w:highlight w:val="none"/>
                      <w:lang w:eastAsia="zh-CN"/>
                    </w:rPr>
                  </w:pPr>
                  <w:r>
                    <w:rPr>
                      <w:color w:val="auto"/>
                    </w:rPr>
                    <w:t>本项目</w:t>
                  </w:r>
                  <w:r>
                    <w:rPr>
                      <w:rFonts w:hint="eastAsia"/>
                      <w:color w:val="auto"/>
                      <w:lang w:eastAsia="zh-CN"/>
                    </w:rPr>
                    <w:t>使用的</w:t>
                  </w:r>
                  <w:r>
                    <w:rPr>
                      <w:rFonts w:hint="eastAsia" w:ascii="Times New Roman" w:hAnsi="Times New Roman"/>
                      <w:color w:val="auto"/>
                      <w:szCs w:val="21"/>
                      <w:lang w:val="en-US" w:eastAsia="zh-CN"/>
                    </w:rPr>
                    <w:t>PP</w:t>
                  </w:r>
                  <w:r>
                    <w:rPr>
                      <w:rFonts w:hint="eastAsia" w:ascii="Times New Roman" w:hAnsi="Times New Roman"/>
                      <w:color w:val="auto"/>
                      <w:szCs w:val="21"/>
                      <w:highlight w:val="none"/>
                      <w:lang w:val="en-US" w:eastAsia="zh-CN"/>
                    </w:rPr>
                    <w:t>颗粒</w:t>
                  </w:r>
                  <w:r>
                    <w:rPr>
                      <w:rFonts w:hint="eastAsia"/>
                      <w:color w:val="auto"/>
                      <w:szCs w:val="21"/>
                      <w:highlight w:val="none"/>
                      <w:lang w:val="en-US" w:eastAsia="zh-CN"/>
                    </w:rPr>
                    <w:t>、PE颗粒均为</w:t>
                  </w:r>
                  <w:r>
                    <w:rPr>
                      <w:rFonts w:hint="eastAsia" w:ascii="Times New Roman" w:hAnsi="Times New Roman"/>
                      <w:color w:val="auto"/>
                      <w:szCs w:val="21"/>
                      <w:highlight w:val="none"/>
                      <w:lang w:val="en-US" w:eastAsia="zh-CN"/>
                    </w:rPr>
                    <w:t>原包料</w:t>
                  </w:r>
                  <w:r>
                    <w:rPr>
                      <w:rFonts w:hint="eastAsia"/>
                      <w:color w:val="auto"/>
                      <w:szCs w:val="21"/>
                      <w:highlight w:val="none"/>
                      <w:lang w:val="en-US" w:eastAsia="zh-CN"/>
                    </w:rPr>
                    <w:t>，本项目不涉及</w:t>
                  </w:r>
                  <w:r>
                    <w:rPr>
                      <w:rFonts w:hint="eastAsia"/>
                      <w:color w:val="auto"/>
                    </w:rPr>
                    <w:t>增塑剂</w:t>
                  </w:r>
                  <w:r>
                    <w:rPr>
                      <w:rFonts w:hint="eastAsia"/>
                      <w:color w:val="auto"/>
                      <w:lang w:eastAsia="zh-CN"/>
                    </w:rPr>
                    <w:t>、</w:t>
                  </w:r>
                  <w:r>
                    <w:rPr>
                      <w:rFonts w:hint="eastAsia"/>
                      <w:color w:val="auto"/>
                    </w:rPr>
                    <w:t>大宗有机物料</w:t>
                  </w:r>
                  <w:r>
                    <w:rPr>
                      <w:rFonts w:hint="eastAsia"/>
                      <w:color w:val="auto"/>
                      <w:lang w:eastAsia="zh-CN"/>
                    </w:rPr>
                    <w:t>的</w:t>
                  </w:r>
                  <w:r>
                    <w:rPr>
                      <w:rFonts w:hint="eastAsia"/>
                      <w:color w:val="auto"/>
                    </w:rPr>
                    <w:t>使用</w:t>
                  </w:r>
                  <w:r>
                    <w:rPr>
                      <w:color w:val="auto"/>
                    </w:rPr>
                    <w:t>。</w:t>
                  </w:r>
                </w:p>
              </w:tc>
              <w:tc>
                <w:tcPr>
                  <w:tcW w:w="544" w:type="pct"/>
                  <w:noWrap w:val="0"/>
                  <w:vAlign w:val="center"/>
                </w:tcPr>
                <w:p w14:paraId="2CA8B26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auto"/>
                      <w:szCs w:val="21"/>
                      <w:highlight w:val="none"/>
                    </w:rPr>
                  </w:pPr>
                  <w:r>
                    <w:rPr>
                      <w:rFonts w:hint="eastAsia"/>
                      <w:color w:val="auto"/>
                      <w:lang w:val="en-US" w:eastAsia="zh-CN"/>
                    </w:rPr>
                    <w:t>符合要求</w:t>
                  </w:r>
                </w:p>
              </w:tc>
            </w:tr>
            <w:tr w14:paraId="3E091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0" w:type="pct"/>
                  <w:vMerge w:val="continue"/>
                  <w:noWrap w:val="0"/>
                  <w:vAlign w:val="center"/>
                </w:tcPr>
                <w:p w14:paraId="0AF3EFE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auto"/>
                      <w:lang w:val="en-US" w:eastAsia="zh-CN"/>
                    </w:rPr>
                  </w:pPr>
                </w:p>
              </w:tc>
              <w:tc>
                <w:tcPr>
                  <w:tcW w:w="2493" w:type="pct"/>
                  <w:noWrap w:val="0"/>
                  <w:vAlign w:val="center"/>
                </w:tcPr>
                <w:p w14:paraId="5AA1B544">
                  <w:pPr>
                    <w:pStyle w:val="94"/>
                    <w:jc w:val="center"/>
                    <w:rPr>
                      <w:color w:val="auto"/>
                    </w:rPr>
                  </w:pPr>
                  <w:r>
                    <w:rPr>
                      <w:rFonts w:hint="eastAsia"/>
                      <w:color w:val="auto"/>
                      <w:lang w:val="en-US" w:eastAsia="zh-CN"/>
                    </w:rPr>
                    <w:t>2、</w:t>
                  </w:r>
                  <w:r>
                    <w:rPr>
                      <w:color w:val="auto"/>
                    </w:rPr>
                    <w:t>熔融、塑化挤出工序（包括注塑、挤塑、吸塑、吹塑、滚塑、发泡等）应设置废气收集系统，经降温、除油、除尘等预处理措施后，可采用活性炭吸附、“吸附浓缩+燃烧”、催化燃烧等适用技术。在反应期间，反应设备的进料口、出料口、检修口、搅拌口、观察孔等开口（扎）在不操作时应保持密闭。未采用密闭设备的，应在密闭空间内操作，或进行局部气体收集，废气应排至 VOCs 废气收集处理系统。</w:t>
                  </w:r>
                </w:p>
              </w:tc>
              <w:tc>
                <w:tcPr>
                  <w:tcW w:w="1421" w:type="pct"/>
                  <w:noWrap w:val="0"/>
                  <w:vAlign w:val="center"/>
                </w:tcPr>
                <w:p w14:paraId="6570C24D">
                  <w:pPr>
                    <w:pStyle w:val="94"/>
                    <w:jc w:val="center"/>
                    <w:rPr>
                      <w:color w:val="auto"/>
                    </w:rPr>
                  </w:pPr>
                  <w:r>
                    <w:rPr>
                      <w:color w:val="auto"/>
                    </w:rPr>
                    <w:t>本项目</w:t>
                  </w:r>
                  <w:r>
                    <w:rPr>
                      <w:rFonts w:hint="eastAsia"/>
                      <w:color w:val="auto"/>
                      <w:highlight w:val="none"/>
                      <w:lang w:eastAsia="zh-CN"/>
                    </w:rPr>
                    <w:t>注塑</w:t>
                  </w:r>
                  <w:r>
                    <w:rPr>
                      <w:color w:val="auto"/>
                    </w:rPr>
                    <w:t>均采用连续、自动生产工艺，配备废气收集系统，VOCs采取“集气罩</w:t>
                  </w:r>
                  <w:r>
                    <w:rPr>
                      <w:rFonts w:hint="eastAsia"/>
                      <w:color w:val="auto"/>
                      <w:lang w:eastAsia="zh-CN"/>
                    </w:rPr>
                    <w:t>（带软帘）</w:t>
                  </w:r>
                  <w:r>
                    <w:rPr>
                      <w:rFonts w:hint="eastAsia"/>
                      <w:color w:val="auto"/>
                    </w:rPr>
                    <w:t>+</w:t>
                  </w:r>
                  <w:r>
                    <w:rPr>
                      <w:rFonts w:hint="eastAsia"/>
                      <w:color w:val="auto"/>
                      <w:lang w:eastAsia="zh-CN"/>
                    </w:rPr>
                    <w:t>活性炭吸附/脱附+催化燃烧装置</w:t>
                  </w:r>
                  <w:r>
                    <w:rPr>
                      <w:color w:val="auto"/>
                    </w:rPr>
                    <w:t>+</w:t>
                  </w:r>
                  <w:r>
                    <w:rPr>
                      <w:rFonts w:hint="eastAsia"/>
                      <w:color w:val="auto"/>
                      <w:lang w:val="en-US" w:eastAsia="zh-CN"/>
                    </w:rPr>
                    <w:t>15</w:t>
                  </w:r>
                  <w:r>
                    <w:rPr>
                      <w:rFonts w:hint="eastAsia"/>
                      <w:color w:val="auto"/>
                      <w:lang w:eastAsia="zh-CN"/>
                    </w:rPr>
                    <w:t>m</w:t>
                  </w:r>
                  <w:r>
                    <w:rPr>
                      <w:color w:val="auto"/>
                    </w:rPr>
                    <w:t>排气筒排放”的方式处理。</w:t>
                  </w:r>
                </w:p>
              </w:tc>
              <w:tc>
                <w:tcPr>
                  <w:tcW w:w="544" w:type="pct"/>
                  <w:noWrap w:val="0"/>
                  <w:vAlign w:val="center"/>
                </w:tcPr>
                <w:p w14:paraId="3DBF8D4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auto"/>
                      <w:lang w:val="en-US" w:eastAsia="zh-CN"/>
                    </w:rPr>
                  </w:pPr>
                  <w:r>
                    <w:rPr>
                      <w:rFonts w:hint="eastAsia"/>
                      <w:color w:val="auto"/>
                      <w:lang w:val="en-US" w:eastAsia="zh-CN"/>
                    </w:rPr>
                    <w:t>符合要求</w:t>
                  </w:r>
                </w:p>
              </w:tc>
            </w:tr>
          </w:tbl>
          <w:p w14:paraId="7B74CBCB">
            <w:pPr>
              <w:adjustRightInd w:val="0"/>
              <w:snapToGrid w:val="0"/>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ascii="Times New Roman" w:hAnsi="Times New Roman" w:cs="Times New Roman" w:eastAsiaTheme="minorEastAsia"/>
                <w:color w:val="auto"/>
                <w:kern w:val="2"/>
                <w:sz w:val="24"/>
                <w:szCs w:val="24"/>
                <w:lang w:val="en-US" w:eastAsia="zh-CN" w:bidi="ar-SA"/>
              </w:rPr>
              <w:t>综合以上分析，本项目符合</w:t>
            </w:r>
            <w:r>
              <w:rPr>
                <w:rFonts w:hint="default" w:ascii="Times New Roman" w:hAnsi="Times New Roman" w:cs="Times New Roman" w:eastAsiaTheme="minorEastAsia"/>
                <w:color w:val="auto"/>
                <w:kern w:val="2"/>
                <w:sz w:val="24"/>
                <w:szCs w:val="24"/>
                <w:lang w:val="en-US" w:eastAsia="zh-CN" w:bidi="ar-SA"/>
              </w:rPr>
              <w:t>《廊坊市工业企业挥发性有机物综合治理工作方案》</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p w14:paraId="483F485E">
            <w:pPr>
              <w:adjustRightInd w:val="0"/>
              <w:snapToGrid w:val="0"/>
              <w:spacing w:line="480" w:lineRule="exact"/>
              <w:ind w:firstLine="482" w:firstLineChars="200"/>
              <w:rPr>
                <w:rFonts w:hint="eastAsia" w:ascii="Times New Roman" w:hAnsi="Times New Roman" w:eastAsia="宋体" w:cs="Times New Roman"/>
                <w:b/>
                <w:bCs/>
                <w:color w:val="auto"/>
                <w:sz w:val="24"/>
                <w:highlight w:val="none"/>
                <w:lang w:val="en-US" w:eastAsia="zh-CN"/>
              </w:rPr>
            </w:pPr>
          </w:p>
          <w:p w14:paraId="0249F321">
            <w:pPr>
              <w:numPr>
                <w:ilvl w:val="0"/>
                <w:numId w:val="0"/>
              </w:numPr>
              <w:adjustRightInd w:val="0"/>
              <w:snapToGrid w:val="0"/>
              <w:spacing w:line="360" w:lineRule="auto"/>
              <w:ind w:firstLine="420" w:firstLineChars="200"/>
              <w:rPr>
                <w:rFonts w:ascii="Times New Roman" w:hAnsi="Times New Roman" w:cs="Times New Roman"/>
                <w:color w:val="000000" w:themeColor="text1"/>
                <w:szCs w:val="21"/>
                <w14:textFill>
                  <w14:solidFill>
                    <w14:schemeClr w14:val="tx1"/>
                  </w14:solidFill>
                </w14:textFill>
              </w:rPr>
            </w:pPr>
          </w:p>
        </w:tc>
      </w:tr>
    </w:tbl>
    <w:p w14:paraId="0F3649FB">
      <w:pPr>
        <w:widowControl/>
        <w:spacing w:before="100" w:beforeAutospacing="1" w:after="100" w:afterAutospacing="1"/>
        <w:outlineLvl w:val="0"/>
        <w:rPr>
          <w:rFonts w:ascii="黑体" w:hAnsi="宋体" w:eastAsia="黑体" w:cs="黑体"/>
          <w:snapToGrid w:val="0"/>
          <w:color w:val="000000" w:themeColor="text1"/>
          <w:kern w:val="0"/>
          <w:sz w:val="30"/>
          <w:szCs w:val="30"/>
          <w:lang w:bidi="ar"/>
          <w14:textFill>
            <w14:solidFill>
              <w14:schemeClr w14:val="tx1"/>
            </w14:solidFill>
          </w14:textFill>
        </w:rPr>
        <w:sectPr>
          <w:footerReference r:id="rId4" w:type="default"/>
          <w:pgSz w:w="11915" w:h="16840"/>
          <w:pgMar w:top="1702" w:right="1531" w:bottom="2127" w:left="1531" w:header="851" w:footer="851" w:gutter="0"/>
          <w:pgNumType w:start="1"/>
          <w:cols w:space="425" w:num="1"/>
          <w:docGrid w:type="lines" w:linePitch="312" w:charSpace="0"/>
        </w:sectPr>
      </w:pPr>
    </w:p>
    <w:p w14:paraId="34B57267">
      <w:pPr>
        <w:widowControl/>
        <w:spacing w:before="100" w:beforeAutospacing="1" w:after="100" w:afterAutospacing="1"/>
        <w:jc w:val="center"/>
        <w:outlineLvl w:val="0"/>
        <w:rPr>
          <w:rFonts w:ascii="黑体" w:hAnsi="宋体" w:eastAsia="黑体" w:cs="黑体"/>
          <w:color w:val="000000" w:themeColor="text1"/>
          <w:kern w:val="0"/>
          <w:sz w:val="30"/>
          <w:szCs w:val="30"/>
          <w:lang w:bidi="ar"/>
          <w14:textFill>
            <w14:solidFill>
              <w14:schemeClr w14:val="tx1"/>
            </w14:solidFill>
          </w14:textFill>
        </w:rPr>
      </w:pPr>
      <w:r>
        <w:rPr>
          <w:rFonts w:hint="eastAsia" w:ascii="黑体" w:hAnsi="宋体" w:eastAsia="黑体" w:cs="黑体"/>
          <w:snapToGrid w:val="0"/>
          <w:color w:val="000000" w:themeColor="text1"/>
          <w:kern w:val="0"/>
          <w:sz w:val="30"/>
          <w:szCs w:val="30"/>
          <w:lang w:bidi="ar"/>
          <w14:textFill>
            <w14:solidFill>
              <w14:schemeClr w14:val="tx1"/>
            </w14:solidFill>
          </w14:textFill>
        </w:rPr>
        <w:t>二、建设项目工程分析</w:t>
      </w:r>
    </w:p>
    <w:tbl>
      <w:tblPr>
        <w:tblStyle w:val="37"/>
        <w:tblW w:w="100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658"/>
      </w:tblGrid>
      <w:tr w14:paraId="6E606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3" w:hRule="atLeast"/>
          <w:jc w:val="center"/>
        </w:trPr>
        <w:tc>
          <w:tcPr>
            <w:tcW w:w="456" w:type="dxa"/>
            <w:tcBorders>
              <w:top w:val="single" w:color="auto" w:sz="8" w:space="0"/>
              <w:left w:val="single" w:color="auto" w:sz="8" w:space="0"/>
              <w:bottom w:val="single" w:color="auto" w:sz="4" w:space="0"/>
              <w:right w:val="single" w:color="auto" w:sz="4" w:space="0"/>
            </w:tcBorders>
            <w:shd w:val="clear" w:color="auto" w:fill="auto"/>
            <w:vAlign w:val="center"/>
          </w:tcPr>
          <w:p w14:paraId="350133E0">
            <w:pPr>
              <w:widowControl/>
              <w:adjustRightInd w:val="0"/>
              <w:snapToGrid w:val="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建设内容</w:t>
            </w:r>
          </w:p>
        </w:tc>
        <w:tc>
          <w:tcPr>
            <w:tcW w:w="9595" w:type="dxa"/>
            <w:tcBorders>
              <w:top w:val="single" w:color="auto" w:sz="8" w:space="0"/>
              <w:left w:val="single" w:color="auto" w:sz="4" w:space="0"/>
              <w:bottom w:val="single" w:color="auto" w:sz="4" w:space="0"/>
              <w:right w:val="single" w:color="auto" w:sz="8" w:space="0"/>
            </w:tcBorders>
            <w:shd w:val="clear" w:color="auto" w:fill="auto"/>
          </w:tcPr>
          <w:p w14:paraId="0B1DF993">
            <w:pPr>
              <w:spacing w:line="360" w:lineRule="auto"/>
              <w:ind w:firstLine="590" w:firstLineChars="245"/>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1</w:t>
            </w:r>
            <w:r>
              <w:rPr>
                <w:rFonts w:ascii="Times New Roman" w:hAnsi="Times New Roman" w:eastAsia="宋体" w:cs="Times New Roman"/>
                <w:b/>
                <w:bCs/>
                <w:color w:val="000000" w:themeColor="text1"/>
                <w:sz w:val="24"/>
                <w:highlight w:val="none"/>
                <w14:textFill>
                  <w14:solidFill>
                    <w14:schemeClr w14:val="tx1"/>
                  </w14:solidFill>
                </w14:textFill>
              </w:rPr>
              <w:t>、建设规模及内容</w:t>
            </w:r>
          </w:p>
          <w:p w14:paraId="47DA0B28">
            <w:pPr>
              <w:pStyle w:val="27"/>
              <w:spacing w:beforeAutospacing="0" w:afterAutospacing="0" w:line="360" w:lineRule="auto"/>
              <w:ind w:firstLine="480" w:firstLineChars="200"/>
              <w:rPr>
                <w:rFonts w:hint="eastAsia" w:ascii="Times New Roman" w:hAnsi="Times New Roman" w:eastAsia="宋体" w:cs="Times New Roman"/>
                <w:color w:val="auto"/>
                <w:szCs w:val="24"/>
                <w:highlight w:val="none"/>
                <w:lang w:val="en-US" w:eastAsia="zh-CN"/>
              </w:rPr>
            </w:pPr>
            <w:r>
              <w:rPr>
                <w:rFonts w:hint="default" w:ascii="Times New Roman" w:hAnsi="Times New Roman" w:eastAsia="宋体" w:cs="Times New Roman"/>
                <w:color w:val="auto"/>
                <w:szCs w:val="24"/>
                <w:highlight w:val="none"/>
              </w:rPr>
              <w:t>本项目</w:t>
            </w:r>
            <w:r>
              <w:rPr>
                <w:rFonts w:hint="eastAsia" w:ascii="Times New Roman" w:hAnsi="Times New Roman" w:cs="Times New Roman"/>
                <w:color w:val="auto"/>
                <w:szCs w:val="24"/>
                <w:highlight w:val="none"/>
                <w:lang w:eastAsia="zh-CN"/>
              </w:rPr>
              <w:t>租用现有厂房及办公用房，</w:t>
            </w:r>
            <w:r>
              <w:rPr>
                <w:rFonts w:hint="eastAsia" w:ascii="Times New Roman" w:hAnsi="Times New Roman" w:cs="Times New Roman"/>
                <w:color w:val="auto"/>
                <w:szCs w:val="24"/>
                <w:highlight w:val="none"/>
                <w:lang w:eastAsia="zh-CN"/>
              </w:rPr>
              <w:t>占地面积为</w:t>
            </w:r>
            <w:r>
              <w:rPr>
                <w:rFonts w:hint="eastAsia" w:ascii="Times New Roman" w:hAnsi="Times New Roman" w:cs="Times New Roman"/>
                <w:color w:val="auto"/>
                <w:szCs w:val="24"/>
                <w:highlight w:val="none"/>
                <w:lang w:val="en-US" w:eastAsia="zh-CN"/>
              </w:rPr>
              <w:t>1896.8</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eastAsia="zh-CN"/>
              </w:rPr>
              <w:t>，建筑面积为</w:t>
            </w:r>
            <w:r>
              <w:rPr>
                <w:rFonts w:hint="eastAsia" w:ascii="Times New Roman" w:hAnsi="Times New Roman" w:cs="Times New Roman"/>
                <w:color w:val="auto"/>
                <w:szCs w:val="24"/>
                <w:highlight w:val="none"/>
                <w:lang w:val="en-US" w:eastAsia="zh-CN"/>
              </w:rPr>
              <w:t>1896.8</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eastAsia="zh-CN"/>
              </w:rPr>
              <w:t>，包括生产车间</w:t>
            </w:r>
            <w:r>
              <w:rPr>
                <w:rFonts w:hint="eastAsia" w:ascii="Times New Roman" w:hAnsi="Times New Roman" w:cs="Times New Roman"/>
                <w:color w:val="auto"/>
                <w:szCs w:val="24"/>
                <w:highlight w:val="none"/>
                <w:lang w:val="en-US" w:eastAsia="zh-CN"/>
              </w:rPr>
              <w:t>1座、办公用房1座。</w:t>
            </w:r>
            <w:r>
              <w:rPr>
                <w:rFonts w:hint="default" w:ascii="Times New Roman" w:hAnsi="Times New Roman" w:eastAsia="宋体" w:cs="Times New Roman"/>
                <w:color w:val="auto"/>
                <w:szCs w:val="24"/>
                <w:highlight w:val="none"/>
                <w:lang w:eastAsia="zh-CN"/>
              </w:rPr>
              <w:t>主要建、构筑物</w:t>
            </w:r>
            <w:r>
              <w:rPr>
                <w:rFonts w:hint="default" w:ascii="Times New Roman" w:hAnsi="Times New Roman" w:eastAsia="宋体" w:cs="Times New Roman"/>
                <w:color w:val="auto"/>
                <w:szCs w:val="24"/>
                <w:highlight w:val="none"/>
                <w:lang w:val="en-US" w:eastAsia="zh-CN"/>
              </w:rPr>
              <w:t>情况及</w:t>
            </w:r>
            <w:r>
              <w:rPr>
                <w:rFonts w:hint="default" w:ascii="Times New Roman" w:hAnsi="Times New Roman" w:eastAsia="宋体" w:cs="Times New Roman"/>
                <w:color w:val="auto"/>
                <w:szCs w:val="24"/>
                <w:highlight w:val="none"/>
              </w:rPr>
              <w:t>组成具体情况如下</w:t>
            </w:r>
            <w:r>
              <w:rPr>
                <w:rFonts w:hint="eastAsia" w:ascii="Times New Roman" w:hAnsi="Times New Roman" w:eastAsia="宋体" w:cs="Times New Roman"/>
                <w:color w:val="auto"/>
                <w:szCs w:val="24"/>
                <w:highlight w:val="none"/>
                <w:lang w:eastAsia="zh-CN"/>
              </w:rPr>
              <w:t>。</w:t>
            </w:r>
          </w:p>
          <w:p w14:paraId="268C76D7">
            <w:pPr>
              <w:pStyle w:val="27"/>
              <w:spacing w:before="156" w:beforeLines="50" w:beforeAutospacing="0" w:afterAutospacing="0"/>
              <w:jc w:val="center"/>
              <w:rPr>
                <w:rFonts w:hint="default" w:ascii="Times New Roman" w:hAnsi="Times New Roman" w:eastAsia="宋体" w:cs="Times New Roman"/>
                <w:b/>
                <w:color w:val="auto"/>
                <w:szCs w:val="24"/>
                <w:highlight w:val="none"/>
              </w:rPr>
            </w:pPr>
            <w:r>
              <w:rPr>
                <w:rFonts w:hint="default" w:ascii="Times New Roman" w:hAnsi="Times New Roman" w:eastAsia="宋体" w:cs="Times New Roman"/>
                <w:b/>
                <w:color w:val="auto"/>
                <w:szCs w:val="24"/>
                <w:highlight w:val="none"/>
              </w:rPr>
              <w:t>表</w:t>
            </w:r>
            <w:r>
              <w:rPr>
                <w:rFonts w:hint="eastAsia" w:ascii="Times New Roman" w:hAnsi="Times New Roman" w:eastAsia="宋体" w:cs="Times New Roman"/>
                <w:b/>
                <w:color w:val="auto"/>
                <w:szCs w:val="24"/>
                <w:highlight w:val="none"/>
                <w:lang w:val="en-US" w:eastAsia="zh-CN"/>
              </w:rPr>
              <w:t>2-1</w:t>
            </w:r>
            <w:r>
              <w:rPr>
                <w:rFonts w:hint="default" w:ascii="Times New Roman" w:hAnsi="Times New Roman" w:eastAsia="宋体" w:cs="Times New Roman"/>
                <w:b/>
                <w:color w:val="auto"/>
                <w:szCs w:val="24"/>
                <w:highlight w:val="none"/>
              </w:rPr>
              <w:t xml:space="preserve">  项目主要建</w:t>
            </w:r>
            <w:r>
              <w:rPr>
                <w:rFonts w:hint="eastAsia" w:ascii="Times New Roman" w:hAnsi="Times New Roman" w:eastAsia="宋体" w:cs="Times New Roman"/>
                <w:b/>
                <w:color w:val="auto"/>
                <w:szCs w:val="24"/>
                <w:highlight w:val="none"/>
                <w:lang w:eastAsia="zh-CN"/>
              </w:rPr>
              <w:t>、</w:t>
            </w:r>
            <w:r>
              <w:rPr>
                <w:rFonts w:hint="default" w:ascii="Times New Roman" w:hAnsi="Times New Roman" w:eastAsia="宋体" w:cs="Times New Roman"/>
                <w:b/>
                <w:color w:val="auto"/>
                <w:szCs w:val="24"/>
                <w:highlight w:val="none"/>
              </w:rPr>
              <w:t>构筑物一览表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0"/>
              <w:gridCol w:w="1173"/>
              <w:gridCol w:w="1096"/>
              <w:gridCol w:w="1371"/>
              <w:gridCol w:w="1514"/>
              <w:gridCol w:w="1120"/>
              <w:gridCol w:w="1411"/>
              <w:gridCol w:w="1158"/>
            </w:tblGrid>
            <w:tr w14:paraId="3DE6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8" w:type="pct"/>
                  <w:tcBorders>
                    <w:tl2br w:val="nil"/>
                    <w:tr2bl w:val="nil"/>
                  </w:tcBorders>
                  <w:vAlign w:val="center"/>
                </w:tcPr>
                <w:p w14:paraId="22196BED">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序号</w:t>
                  </w:r>
                </w:p>
              </w:tc>
              <w:tc>
                <w:tcPr>
                  <w:tcW w:w="621" w:type="pct"/>
                  <w:tcBorders>
                    <w:tl2br w:val="nil"/>
                    <w:tr2bl w:val="nil"/>
                  </w:tcBorders>
                  <w:vAlign w:val="center"/>
                </w:tcPr>
                <w:p w14:paraId="21B41773">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名称</w:t>
                  </w:r>
                </w:p>
              </w:tc>
              <w:tc>
                <w:tcPr>
                  <w:tcW w:w="581" w:type="pct"/>
                  <w:tcBorders>
                    <w:tl2br w:val="nil"/>
                    <w:tr2bl w:val="nil"/>
                  </w:tcBorders>
                  <w:vAlign w:val="center"/>
                </w:tcPr>
                <w:p w14:paraId="584ECFBC">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占地面积（m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727" w:type="pct"/>
                  <w:tcBorders>
                    <w:tl2br w:val="nil"/>
                    <w:tr2bl w:val="nil"/>
                  </w:tcBorders>
                  <w:vAlign w:val="center"/>
                </w:tcPr>
                <w:p w14:paraId="685EA5B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建筑面积（m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803" w:type="pct"/>
                  <w:tcBorders>
                    <w:tl2br w:val="nil"/>
                    <w:tr2bl w:val="nil"/>
                  </w:tcBorders>
                  <w:vAlign w:val="center"/>
                </w:tcPr>
                <w:p w14:paraId="606688C1">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层数</w:t>
                  </w:r>
                </w:p>
              </w:tc>
              <w:tc>
                <w:tcPr>
                  <w:tcW w:w="594" w:type="pct"/>
                  <w:tcBorders>
                    <w:tl2br w:val="nil"/>
                    <w:tr2bl w:val="nil"/>
                  </w:tcBorders>
                  <w:vAlign w:val="center"/>
                </w:tcPr>
                <w:p w14:paraId="5C9EE212">
                  <w:pPr>
                    <w:spacing w:line="300" w:lineRule="exact"/>
                    <w:jc w:val="center"/>
                    <w:rPr>
                      <w:rFonts w:hint="eastAsia" w:ascii="Times New Roman" w:hAnsi="Times New Roman" w:cs="Times New Roman" w:eastAsiaTheme="minorEastAsia"/>
                      <w:b/>
                      <w:color w:val="auto"/>
                      <w:szCs w:val="21"/>
                      <w:highlight w:val="none"/>
                      <w:lang w:eastAsia="zh-CN"/>
                    </w:rPr>
                  </w:pPr>
                  <w:r>
                    <w:rPr>
                      <w:rFonts w:hint="eastAsia" w:ascii="Times New Roman" w:hAnsi="Times New Roman" w:cs="Times New Roman"/>
                      <w:b/>
                      <w:color w:val="auto"/>
                      <w:szCs w:val="21"/>
                      <w:highlight w:val="none"/>
                      <w:lang w:eastAsia="zh-CN"/>
                    </w:rPr>
                    <w:t>层高</w:t>
                  </w:r>
                </w:p>
              </w:tc>
              <w:tc>
                <w:tcPr>
                  <w:tcW w:w="748" w:type="pct"/>
                  <w:tcBorders>
                    <w:tl2br w:val="nil"/>
                    <w:tr2bl w:val="nil"/>
                  </w:tcBorders>
                  <w:vAlign w:val="center"/>
                </w:tcPr>
                <w:p w14:paraId="6DB2568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结构形式</w:t>
                  </w:r>
                </w:p>
              </w:tc>
              <w:tc>
                <w:tcPr>
                  <w:tcW w:w="614" w:type="pct"/>
                  <w:tcBorders>
                    <w:tl2br w:val="nil"/>
                    <w:tr2bl w:val="nil"/>
                  </w:tcBorders>
                  <w:vAlign w:val="center"/>
                </w:tcPr>
                <w:p w14:paraId="0FFC40CE">
                  <w:pPr>
                    <w:spacing w:line="300" w:lineRule="exact"/>
                    <w:jc w:val="center"/>
                    <w:rPr>
                      <w:rFonts w:hint="eastAsia" w:ascii="Times New Roman" w:hAnsi="Times New Roman" w:cs="Times New Roman" w:eastAsiaTheme="minorEastAsia"/>
                      <w:b/>
                      <w:color w:val="auto"/>
                      <w:szCs w:val="21"/>
                      <w:highlight w:val="none"/>
                      <w:lang w:eastAsia="zh-CN"/>
                    </w:rPr>
                  </w:pPr>
                  <w:r>
                    <w:rPr>
                      <w:rFonts w:hint="eastAsia" w:ascii="Times New Roman" w:hAnsi="Times New Roman" w:cs="Times New Roman"/>
                      <w:b/>
                      <w:color w:val="auto"/>
                      <w:szCs w:val="21"/>
                      <w:highlight w:val="none"/>
                      <w:lang w:eastAsia="zh-CN"/>
                    </w:rPr>
                    <w:t>备注</w:t>
                  </w:r>
                </w:p>
              </w:tc>
            </w:tr>
            <w:tr w14:paraId="6348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08" w:type="pct"/>
                  <w:tcBorders>
                    <w:tl2br w:val="nil"/>
                    <w:tr2bl w:val="nil"/>
                  </w:tcBorders>
                  <w:vAlign w:val="center"/>
                </w:tcPr>
                <w:p w14:paraId="71B16155">
                  <w:pPr>
                    <w:adjustRightInd w:val="0"/>
                    <w:snapToGrid w:val="0"/>
                    <w:spacing w:line="400" w:lineRule="exact"/>
                    <w:jc w:val="center"/>
                    <w:textAlignment w:val="center"/>
                    <w:rPr>
                      <w:rFonts w:hint="eastAsia"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w:t>
                  </w:r>
                </w:p>
              </w:tc>
              <w:tc>
                <w:tcPr>
                  <w:tcW w:w="621" w:type="pct"/>
                  <w:tcBorders>
                    <w:tl2br w:val="nil"/>
                    <w:tr2bl w:val="nil"/>
                  </w:tcBorders>
                  <w:vAlign w:val="center"/>
                </w:tcPr>
                <w:p w14:paraId="6DC4CD82">
                  <w:pPr>
                    <w:tabs>
                      <w:tab w:val="left" w:pos="1028"/>
                    </w:tabs>
                    <w:spacing w:line="32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生产车间</w:t>
                  </w:r>
                </w:p>
              </w:tc>
              <w:tc>
                <w:tcPr>
                  <w:tcW w:w="581" w:type="pct"/>
                  <w:tcBorders>
                    <w:tl2br w:val="nil"/>
                    <w:tr2bl w:val="nil"/>
                  </w:tcBorders>
                  <w:vAlign w:val="center"/>
                </w:tcPr>
                <w:p w14:paraId="69109E93">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1696.8</w:t>
                  </w:r>
                </w:p>
              </w:tc>
              <w:tc>
                <w:tcPr>
                  <w:tcW w:w="727" w:type="pct"/>
                  <w:tcBorders>
                    <w:tl2br w:val="nil"/>
                    <w:tr2bl w:val="nil"/>
                  </w:tcBorders>
                  <w:vAlign w:val="center"/>
                </w:tcPr>
                <w:p w14:paraId="7C471C4E">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1696.8</w:t>
                  </w:r>
                </w:p>
              </w:tc>
              <w:tc>
                <w:tcPr>
                  <w:tcW w:w="803" w:type="pct"/>
                  <w:tcBorders>
                    <w:tl2br w:val="nil"/>
                    <w:tr2bl w:val="nil"/>
                  </w:tcBorders>
                  <w:vAlign w:val="center"/>
                </w:tcPr>
                <w:p w14:paraId="18ADAD40">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1层</w:t>
                  </w:r>
                </w:p>
              </w:tc>
              <w:tc>
                <w:tcPr>
                  <w:tcW w:w="594" w:type="pct"/>
                  <w:tcBorders>
                    <w:tl2br w:val="nil"/>
                    <w:tr2bl w:val="nil"/>
                  </w:tcBorders>
                  <w:vAlign w:val="center"/>
                </w:tcPr>
                <w:p w14:paraId="0D6AB7BC">
                  <w:pPr>
                    <w:adjustRightInd w:val="0"/>
                    <w:snapToGrid w:val="0"/>
                    <w:spacing w:line="40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48" w:type="pct"/>
                  <w:tcBorders>
                    <w:tl2br w:val="nil"/>
                    <w:tr2bl w:val="nil"/>
                  </w:tcBorders>
                  <w:vAlign w:val="center"/>
                </w:tcPr>
                <w:p w14:paraId="1BFE84CA">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彩钢+砖混</w:t>
                  </w:r>
                </w:p>
              </w:tc>
              <w:tc>
                <w:tcPr>
                  <w:tcW w:w="614" w:type="pct"/>
                  <w:tcBorders>
                    <w:tl2br w:val="nil"/>
                    <w:tr2bl w:val="nil"/>
                  </w:tcBorders>
                  <w:vAlign w:val="center"/>
                </w:tcPr>
                <w:p w14:paraId="74D34DB7">
                  <w:pPr>
                    <w:adjustRightInd w:val="0"/>
                    <w:snapToGrid w:val="0"/>
                    <w:spacing w:line="400" w:lineRule="exact"/>
                    <w:jc w:val="center"/>
                    <w:rPr>
                      <w:rFonts w:hint="eastAsia" w:ascii="Times New Roman" w:hAnsi="Times New Roman" w:cs="Times New Roman" w:eastAsiaTheme="minorEastAsia"/>
                      <w:bCs/>
                      <w:color w:val="auto"/>
                      <w:szCs w:val="21"/>
                      <w:highlight w:val="none"/>
                      <w:lang w:eastAsia="zh-CN"/>
                    </w:rPr>
                  </w:pPr>
                  <w:r>
                    <w:rPr>
                      <w:rFonts w:hint="eastAsia" w:ascii="Times New Roman" w:hAnsi="Times New Roman" w:cs="Times New Roman"/>
                      <w:bCs/>
                      <w:color w:val="auto"/>
                      <w:szCs w:val="21"/>
                      <w:highlight w:val="none"/>
                      <w:lang w:eastAsia="zh-CN"/>
                    </w:rPr>
                    <w:t>现有厂房</w:t>
                  </w:r>
                </w:p>
              </w:tc>
            </w:tr>
            <w:tr w14:paraId="1C4F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08" w:type="pct"/>
                  <w:tcBorders>
                    <w:tl2br w:val="nil"/>
                    <w:tr2bl w:val="nil"/>
                  </w:tcBorders>
                  <w:vAlign w:val="center"/>
                </w:tcPr>
                <w:p w14:paraId="02AD948D">
                  <w:pPr>
                    <w:adjustRightInd w:val="0"/>
                    <w:snapToGrid w:val="0"/>
                    <w:spacing w:line="400" w:lineRule="exact"/>
                    <w:jc w:val="center"/>
                    <w:textAlignment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2</w:t>
                  </w:r>
                </w:p>
              </w:tc>
              <w:tc>
                <w:tcPr>
                  <w:tcW w:w="621" w:type="pct"/>
                  <w:tcBorders>
                    <w:tl2br w:val="nil"/>
                    <w:tr2bl w:val="nil"/>
                  </w:tcBorders>
                  <w:vAlign w:val="center"/>
                </w:tcPr>
                <w:p w14:paraId="5B34F814">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办公用房</w:t>
                  </w:r>
                </w:p>
              </w:tc>
              <w:tc>
                <w:tcPr>
                  <w:tcW w:w="581" w:type="pct"/>
                  <w:tcBorders>
                    <w:tl2br w:val="nil"/>
                    <w:tr2bl w:val="nil"/>
                  </w:tcBorders>
                  <w:vAlign w:val="center"/>
                </w:tcPr>
                <w:p w14:paraId="6656A87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200</w:t>
                  </w:r>
                </w:p>
              </w:tc>
              <w:tc>
                <w:tcPr>
                  <w:tcW w:w="727" w:type="pct"/>
                  <w:tcBorders>
                    <w:tl2br w:val="nil"/>
                    <w:tr2bl w:val="nil"/>
                  </w:tcBorders>
                  <w:vAlign w:val="center"/>
                </w:tcPr>
                <w:p w14:paraId="4D6AB2E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200</w:t>
                  </w:r>
                </w:p>
              </w:tc>
              <w:tc>
                <w:tcPr>
                  <w:tcW w:w="803" w:type="pct"/>
                  <w:tcBorders>
                    <w:tl2br w:val="nil"/>
                    <w:tr2bl w:val="nil"/>
                  </w:tcBorders>
                  <w:vAlign w:val="center"/>
                </w:tcPr>
                <w:p w14:paraId="324A395C">
                  <w:pPr>
                    <w:adjustRightInd w:val="0"/>
                    <w:snapToGrid w:val="0"/>
                    <w:spacing w:line="40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3层（本项目租用1层）</w:t>
                  </w:r>
                </w:p>
              </w:tc>
              <w:tc>
                <w:tcPr>
                  <w:tcW w:w="594" w:type="pct"/>
                  <w:tcBorders>
                    <w:tl2br w:val="nil"/>
                    <w:tr2bl w:val="nil"/>
                  </w:tcBorders>
                  <w:vAlign w:val="center"/>
                </w:tcPr>
                <w:p w14:paraId="3B26E821">
                  <w:pPr>
                    <w:adjustRightInd w:val="0"/>
                    <w:snapToGrid w:val="0"/>
                    <w:spacing w:line="40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48" w:type="pct"/>
                  <w:tcBorders>
                    <w:tl2br w:val="nil"/>
                    <w:tr2bl w:val="nil"/>
                  </w:tcBorders>
                  <w:vAlign w:val="center"/>
                </w:tcPr>
                <w:p w14:paraId="7F26A312">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砖混</w:t>
                  </w:r>
                </w:p>
              </w:tc>
              <w:tc>
                <w:tcPr>
                  <w:tcW w:w="614" w:type="pct"/>
                  <w:tcBorders>
                    <w:tl2br w:val="nil"/>
                    <w:tr2bl w:val="nil"/>
                  </w:tcBorders>
                  <w:vAlign w:val="center"/>
                </w:tcPr>
                <w:p w14:paraId="6D65C793">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eastAsia="zh-CN"/>
                    </w:rPr>
                    <w:t>现有厂房</w:t>
                  </w:r>
                </w:p>
              </w:tc>
            </w:tr>
            <w:tr w14:paraId="74428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930" w:type="pct"/>
                  <w:gridSpan w:val="2"/>
                  <w:tcBorders>
                    <w:tl2br w:val="nil"/>
                    <w:tr2bl w:val="nil"/>
                  </w:tcBorders>
                  <w:vAlign w:val="center"/>
                </w:tcPr>
                <w:p w14:paraId="2596545D">
                  <w:pPr>
                    <w:tabs>
                      <w:tab w:val="left" w:pos="1028"/>
                    </w:tabs>
                    <w:spacing w:line="320" w:lineRule="exact"/>
                    <w:jc w:val="center"/>
                    <w:rPr>
                      <w:rFonts w:hint="eastAsia" w:ascii="Times New Roman" w:hAnsi="Times New Roman" w:cs="Times New Roman"/>
                      <w:bCs/>
                      <w:color w:val="auto"/>
                      <w:szCs w:val="21"/>
                      <w:highlight w:val="none"/>
                      <w:lang w:eastAsia="zh-CN"/>
                    </w:rPr>
                  </w:pPr>
                  <w:r>
                    <w:rPr>
                      <w:rFonts w:hint="eastAsia" w:ascii="Times New Roman" w:hAnsi="Times New Roman" w:cs="Times New Roman"/>
                      <w:bCs/>
                      <w:color w:val="auto"/>
                      <w:szCs w:val="21"/>
                      <w:highlight w:val="none"/>
                      <w:lang w:val="en-US" w:eastAsia="zh-CN"/>
                    </w:rPr>
                    <w:t>合计</w:t>
                  </w:r>
                </w:p>
              </w:tc>
              <w:tc>
                <w:tcPr>
                  <w:tcW w:w="581" w:type="pct"/>
                  <w:tcBorders>
                    <w:tl2br w:val="nil"/>
                    <w:tr2bl w:val="nil"/>
                  </w:tcBorders>
                  <w:vAlign w:val="center"/>
                </w:tcPr>
                <w:p w14:paraId="34B2DD11">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1896.8</w:t>
                  </w:r>
                </w:p>
              </w:tc>
              <w:tc>
                <w:tcPr>
                  <w:tcW w:w="727" w:type="pct"/>
                  <w:tcBorders>
                    <w:tl2br w:val="nil"/>
                    <w:tr2bl w:val="nil"/>
                  </w:tcBorders>
                  <w:vAlign w:val="center"/>
                </w:tcPr>
                <w:p w14:paraId="1B0A1CD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1896.8</w:t>
                  </w:r>
                </w:p>
              </w:tc>
              <w:tc>
                <w:tcPr>
                  <w:tcW w:w="803" w:type="pct"/>
                  <w:tcBorders>
                    <w:tl2br w:val="nil"/>
                    <w:tr2bl w:val="nil"/>
                  </w:tcBorders>
                  <w:vAlign w:val="center"/>
                </w:tcPr>
                <w:p w14:paraId="50D62CF7">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c>
                <w:tcPr>
                  <w:tcW w:w="594" w:type="pct"/>
                  <w:tcBorders>
                    <w:tl2br w:val="nil"/>
                    <w:tr2bl w:val="nil"/>
                  </w:tcBorders>
                  <w:vAlign w:val="center"/>
                </w:tcPr>
                <w:p w14:paraId="1A94502B">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748" w:type="pct"/>
                  <w:tcBorders>
                    <w:tl2br w:val="nil"/>
                    <w:tr2bl w:val="nil"/>
                  </w:tcBorders>
                  <w:vAlign w:val="center"/>
                </w:tcPr>
                <w:p w14:paraId="45E76C53">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614" w:type="pct"/>
                  <w:tcBorders>
                    <w:tl2br w:val="nil"/>
                    <w:tr2bl w:val="nil"/>
                  </w:tcBorders>
                  <w:vAlign w:val="center"/>
                </w:tcPr>
                <w:p w14:paraId="0AE5BDF5">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r>
          </w:tbl>
          <w:p w14:paraId="1BE873A3">
            <w:pPr>
              <w:pStyle w:val="27"/>
              <w:spacing w:before="156" w:beforeLines="50" w:beforeAutospacing="0" w:afterAutospacing="0"/>
              <w:jc w:val="center"/>
              <w:rPr>
                <w:rFonts w:hint="default" w:ascii="Times New Roman" w:hAnsi="Times New Roman"/>
                <w:b/>
                <w:color w:val="000000" w:themeColor="text1"/>
                <w:szCs w:val="24"/>
                <w:highlight w:val="none"/>
                <w14:textFill>
                  <w14:solidFill>
                    <w14:schemeClr w14:val="tx1"/>
                  </w14:solidFill>
                </w14:textFill>
              </w:rPr>
            </w:pPr>
            <w:r>
              <w:rPr>
                <w:rFonts w:hint="default" w:ascii="Times New Roman" w:hAnsi="Times New Roman"/>
                <w:b/>
                <w:color w:val="000000" w:themeColor="text1"/>
                <w:szCs w:val="24"/>
                <w:highlight w:val="none"/>
                <w14:textFill>
                  <w14:solidFill>
                    <w14:schemeClr w14:val="tx1"/>
                  </w14:solidFill>
                </w14:textFill>
              </w:rPr>
              <w:t>表2-</w:t>
            </w:r>
            <w:r>
              <w:rPr>
                <w:rFonts w:hint="eastAsia" w:ascii="Times New Roman" w:hAnsi="Times New Roman"/>
                <w:b/>
                <w:color w:val="000000" w:themeColor="text1"/>
                <w:szCs w:val="24"/>
                <w:highlight w:val="none"/>
                <w:lang w:val="en-US" w:eastAsia="zh-CN"/>
                <w14:textFill>
                  <w14:solidFill>
                    <w14:schemeClr w14:val="tx1"/>
                  </w14:solidFill>
                </w14:textFill>
              </w:rPr>
              <w:t>2</w:t>
            </w:r>
            <w:r>
              <w:rPr>
                <w:rFonts w:hint="default" w:ascii="Times New Roman" w:hAnsi="Times New Roman"/>
                <w:b/>
                <w:color w:val="000000" w:themeColor="text1"/>
                <w:szCs w:val="24"/>
                <w:highlight w:val="none"/>
                <w14:textFill>
                  <w14:solidFill>
                    <w14:schemeClr w14:val="tx1"/>
                  </w14:solidFill>
                </w14:textFill>
              </w:rPr>
              <w:t xml:space="preserve">  项目组成一览表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320"/>
              <w:gridCol w:w="6987"/>
            </w:tblGrid>
            <w:tr w14:paraId="333F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Align w:val="center"/>
                </w:tcPr>
                <w:p w14:paraId="77286E7F">
                  <w:pPr>
                    <w:tabs>
                      <w:tab w:val="left" w:pos="1028"/>
                    </w:tabs>
                    <w:spacing w:line="320" w:lineRule="exact"/>
                    <w:jc w:val="center"/>
                    <w:rPr>
                      <w:rFonts w:ascii="Times New Roman" w:hAnsi="Times New Roman" w:cs="Times New Roman"/>
                      <w:b/>
                      <w:bCs/>
                      <w:szCs w:val="21"/>
                      <w:highlight w:val="none"/>
                    </w:rPr>
                  </w:pPr>
                  <w:r>
                    <w:rPr>
                      <w:rFonts w:ascii="Times New Roman" w:hAnsi="Times New Roman" w:cs="Times New Roman"/>
                      <w:b/>
                      <w:bCs/>
                      <w:szCs w:val="21"/>
                      <w:highlight w:val="none"/>
                    </w:rPr>
                    <w:t>类别</w:t>
                  </w:r>
                </w:p>
              </w:tc>
              <w:tc>
                <w:tcPr>
                  <w:tcW w:w="700" w:type="pct"/>
                  <w:vAlign w:val="center"/>
                </w:tcPr>
                <w:p w14:paraId="6F90EA80">
                  <w:pPr>
                    <w:tabs>
                      <w:tab w:val="left" w:pos="1028"/>
                    </w:tabs>
                    <w:spacing w:line="320" w:lineRule="exact"/>
                    <w:jc w:val="center"/>
                    <w:rPr>
                      <w:rFonts w:ascii="Times New Roman" w:hAnsi="Times New Roman" w:cs="Times New Roman"/>
                      <w:b/>
                      <w:bCs/>
                      <w:szCs w:val="21"/>
                      <w:highlight w:val="none"/>
                    </w:rPr>
                  </w:pPr>
                  <w:r>
                    <w:rPr>
                      <w:rFonts w:ascii="Times New Roman" w:hAnsi="Times New Roman" w:cs="Times New Roman"/>
                      <w:b/>
                      <w:bCs/>
                      <w:szCs w:val="21"/>
                      <w:highlight w:val="none"/>
                    </w:rPr>
                    <w:t>工程名称</w:t>
                  </w:r>
                </w:p>
              </w:tc>
              <w:tc>
                <w:tcPr>
                  <w:tcW w:w="3706" w:type="pct"/>
                  <w:vAlign w:val="center"/>
                </w:tcPr>
                <w:p w14:paraId="3BD8A47D">
                  <w:pPr>
                    <w:tabs>
                      <w:tab w:val="left" w:pos="1028"/>
                    </w:tabs>
                    <w:spacing w:line="320" w:lineRule="exact"/>
                    <w:jc w:val="center"/>
                    <w:rPr>
                      <w:rFonts w:ascii="Times New Roman" w:hAnsi="Times New Roman" w:cs="Times New Roman"/>
                      <w:b/>
                      <w:bCs/>
                      <w:szCs w:val="21"/>
                      <w:highlight w:val="none"/>
                    </w:rPr>
                  </w:pPr>
                  <w:r>
                    <w:rPr>
                      <w:rFonts w:ascii="Times New Roman" w:hAnsi="Times New Roman" w:cs="Times New Roman"/>
                      <w:b/>
                      <w:bCs/>
                      <w:szCs w:val="21"/>
                      <w:highlight w:val="none"/>
                    </w:rPr>
                    <w:t>工程内容</w:t>
                  </w:r>
                </w:p>
              </w:tc>
            </w:tr>
            <w:tr w14:paraId="5091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Align w:val="center"/>
                </w:tcPr>
                <w:p w14:paraId="3E50BDE2">
                  <w:pPr>
                    <w:tabs>
                      <w:tab w:val="left" w:pos="1028"/>
                    </w:tabs>
                    <w:spacing w:line="320" w:lineRule="exact"/>
                    <w:jc w:val="center"/>
                    <w:rPr>
                      <w:rFonts w:ascii="Times New Roman" w:hAnsi="Times New Roman" w:cs="Times New Roman"/>
                      <w:bCs/>
                      <w:szCs w:val="21"/>
                    </w:rPr>
                  </w:pPr>
                  <w:r>
                    <w:rPr>
                      <w:rFonts w:ascii="Times New Roman" w:hAnsi="Times New Roman" w:cs="Times New Roman"/>
                      <w:bCs/>
                      <w:szCs w:val="21"/>
                    </w:rPr>
                    <w:t>主体工程</w:t>
                  </w:r>
                </w:p>
              </w:tc>
              <w:tc>
                <w:tcPr>
                  <w:tcW w:w="700" w:type="pct"/>
                  <w:vAlign w:val="center"/>
                </w:tcPr>
                <w:p w14:paraId="0F713DE0">
                  <w:pPr>
                    <w:tabs>
                      <w:tab w:val="left" w:pos="1028"/>
                    </w:tabs>
                    <w:spacing w:line="320" w:lineRule="exact"/>
                    <w:jc w:val="center"/>
                    <w:rPr>
                      <w:rFonts w:ascii="Times New Roman" w:hAnsi="Times New Roman" w:cs="Times New Roman"/>
                      <w:color w:val="auto"/>
                      <w:szCs w:val="21"/>
                      <w:highlight w:val="none"/>
                    </w:rPr>
                  </w:pPr>
                  <w:r>
                    <w:rPr>
                      <w:rFonts w:hint="eastAsia" w:ascii="Times New Roman" w:hAnsi="Times New Roman" w:cs="Times New Roman"/>
                      <w:bCs/>
                      <w:color w:val="auto"/>
                      <w:szCs w:val="21"/>
                      <w:highlight w:val="none"/>
                      <w:lang w:val="en-US" w:eastAsia="zh-CN"/>
                    </w:rPr>
                    <w:t>生产车间</w:t>
                  </w:r>
                </w:p>
              </w:tc>
              <w:tc>
                <w:tcPr>
                  <w:tcW w:w="3706" w:type="pct"/>
                  <w:vAlign w:val="center"/>
                </w:tcPr>
                <w:p w14:paraId="33E336D7">
                  <w:pPr>
                    <w:tabs>
                      <w:tab w:val="left" w:pos="1028"/>
                    </w:tabs>
                    <w:spacing w:line="320" w:lineRule="exact"/>
                    <w:jc w:val="left"/>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主要设置注塑区、组装区、粉碎区、原料存放区和产品存放区</w:t>
                  </w:r>
                </w:p>
              </w:tc>
            </w:tr>
            <w:tr w14:paraId="2762C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restart"/>
                  <w:vAlign w:val="center"/>
                </w:tcPr>
                <w:p w14:paraId="4066AE6D">
                  <w:pPr>
                    <w:tabs>
                      <w:tab w:val="left" w:pos="1028"/>
                    </w:tabs>
                    <w:spacing w:line="320" w:lineRule="exact"/>
                    <w:jc w:val="center"/>
                    <w:rPr>
                      <w:rFonts w:ascii="Times New Roman" w:hAnsi="Times New Roman" w:cs="Times New Roman"/>
                      <w:bCs/>
                      <w:szCs w:val="21"/>
                      <w:highlight w:val="yellow"/>
                    </w:rPr>
                  </w:pPr>
                  <w:r>
                    <w:rPr>
                      <w:rFonts w:hint="eastAsia"/>
                      <w:lang w:eastAsia="zh-CN"/>
                    </w:rPr>
                    <w:t>辅助工程</w:t>
                  </w:r>
                </w:p>
              </w:tc>
              <w:tc>
                <w:tcPr>
                  <w:tcW w:w="700" w:type="pct"/>
                  <w:vAlign w:val="center"/>
                </w:tcPr>
                <w:p w14:paraId="330CC1C4">
                  <w:pPr>
                    <w:pStyle w:val="94"/>
                    <w:rPr>
                      <w:rFonts w:hint="default" w:eastAsia="宋体"/>
                      <w:color w:val="auto"/>
                      <w:highlight w:val="none"/>
                      <w:lang w:val="en-US" w:eastAsia="zh-CN"/>
                    </w:rPr>
                  </w:pPr>
                  <w:r>
                    <w:rPr>
                      <w:rFonts w:hint="eastAsia"/>
                      <w:bCs/>
                      <w:color w:val="auto"/>
                      <w:highlight w:val="none"/>
                      <w:lang w:eastAsia="zh-CN"/>
                    </w:rPr>
                    <w:t>办公用房</w:t>
                  </w:r>
                </w:p>
              </w:tc>
              <w:tc>
                <w:tcPr>
                  <w:tcW w:w="3706" w:type="pct"/>
                  <w:vAlign w:val="center"/>
                </w:tcPr>
                <w:p w14:paraId="67968319">
                  <w:pPr>
                    <w:pStyle w:val="94"/>
                    <w:jc w:val="left"/>
                    <w:rPr>
                      <w:rFonts w:hint="default"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eastAsia="zh-CN"/>
                    </w:rPr>
                    <w:t>租用办公楼的</w:t>
                  </w:r>
                  <w:r>
                    <w:rPr>
                      <w:rFonts w:hint="eastAsia" w:cs="Times New Roman"/>
                      <w:bCs/>
                      <w:color w:val="auto"/>
                      <w:szCs w:val="21"/>
                      <w:highlight w:val="none"/>
                      <w:lang w:val="en-US" w:eastAsia="zh-CN"/>
                    </w:rPr>
                    <w:t>1楼</w:t>
                  </w:r>
                  <w:r>
                    <w:rPr>
                      <w:rFonts w:hint="default" w:ascii="Times New Roman" w:hAnsi="Times New Roman" w:cs="Times New Roman"/>
                      <w:bCs/>
                      <w:color w:val="auto"/>
                      <w:szCs w:val="21"/>
                      <w:highlight w:val="none"/>
                      <w:lang w:eastAsia="zh-CN"/>
                    </w:rPr>
                    <w:t>，</w:t>
                  </w:r>
                  <w:r>
                    <w:rPr>
                      <w:rFonts w:hint="default" w:ascii="Times New Roman" w:hAnsi="Times New Roman" w:cs="Times New Roman"/>
                      <w:bCs/>
                      <w:color w:val="auto"/>
                      <w:szCs w:val="21"/>
                      <w:highlight w:val="none"/>
                      <w:lang w:val="en-US" w:eastAsia="zh-CN"/>
                    </w:rPr>
                    <w:t>2</w:t>
                  </w:r>
                  <w:r>
                    <w:rPr>
                      <w:rFonts w:hint="eastAsia" w:cs="Times New Roman"/>
                      <w:bCs/>
                      <w:color w:val="auto"/>
                      <w:szCs w:val="21"/>
                      <w:highlight w:val="none"/>
                      <w:lang w:val="en-US" w:eastAsia="zh-CN"/>
                    </w:rPr>
                    <w:t>0</w:t>
                  </w:r>
                  <w:r>
                    <w:rPr>
                      <w:rFonts w:hint="default" w:ascii="Times New Roman" w:hAnsi="Times New Roman" w:cs="Times New Roman"/>
                      <w:bCs/>
                      <w:color w:val="auto"/>
                      <w:szCs w:val="21"/>
                      <w:highlight w:val="none"/>
                      <w:lang w:val="en-US" w:eastAsia="zh-CN"/>
                    </w:rPr>
                    <w:t>0m</w:t>
                  </w:r>
                  <w:r>
                    <w:rPr>
                      <w:rFonts w:hint="default" w:ascii="Times New Roman" w:hAnsi="Times New Roman" w:cs="Times New Roman"/>
                      <w:bCs/>
                      <w:color w:val="auto"/>
                      <w:szCs w:val="21"/>
                      <w:highlight w:val="none"/>
                      <w:vertAlign w:val="superscript"/>
                      <w:lang w:val="en-US" w:eastAsia="zh-CN"/>
                    </w:rPr>
                    <w:t>2</w:t>
                  </w:r>
                  <w:r>
                    <w:rPr>
                      <w:rFonts w:hint="default" w:ascii="Times New Roman" w:hAnsi="Times New Roman" w:cs="Times New Roman"/>
                      <w:bCs/>
                      <w:color w:val="auto"/>
                      <w:szCs w:val="21"/>
                      <w:highlight w:val="none"/>
                      <w:vertAlign w:val="baseline"/>
                      <w:lang w:val="en-US" w:eastAsia="zh-CN"/>
                    </w:rPr>
                    <w:t>，</w:t>
                  </w:r>
                  <w:r>
                    <w:rPr>
                      <w:rFonts w:hint="default" w:ascii="Times New Roman" w:hAnsi="Times New Roman" w:cs="Times New Roman"/>
                      <w:bCs/>
                      <w:color w:val="auto"/>
                      <w:szCs w:val="21"/>
                      <w:highlight w:val="none"/>
                      <w:lang w:eastAsia="zh-CN"/>
                    </w:rPr>
                    <w:t>用于员工办公</w:t>
                  </w:r>
                </w:p>
              </w:tc>
            </w:tr>
            <w:tr w14:paraId="1CA4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032D791C">
                  <w:pPr>
                    <w:tabs>
                      <w:tab w:val="left" w:pos="1028"/>
                    </w:tabs>
                    <w:spacing w:line="320" w:lineRule="exact"/>
                    <w:jc w:val="center"/>
                    <w:rPr>
                      <w:rFonts w:hint="eastAsia"/>
                      <w:lang w:eastAsia="zh-CN"/>
                    </w:rPr>
                  </w:pPr>
                </w:p>
              </w:tc>
              <w:tc>
                <w:tcPr>
                  <w:tcW w:w="700" w:type="pct"/>
                  <w:vAlign w:val="center"/>
                </w:tcPr>
                <w:p w14:paraId="49B68F97">
                  <w:pPr>
                    <w:pStyle w:val="94"/>
                    <w:rPr>
                      <w:rFonts w:hint="eastAsia"/>
                      <w:bCs/>
                      <w:color w:val="auto"/>
                      <w:highlight w:val="none"/>
                      <w:lang w:eastAsia="zh-CN"/>
                    </w:rPr>
                  </w:pPr>
                  <w:r>
                    <w:rPr>
                      <w:rFonts w:hint="eastAsia"/>
                      <w:bCs/>
                      <w:color w:val="auto"/>
                      <w:highlight w:val="none"/>
                      <w:lang w:eastAsia="zh-CN"/>
                    </w:rPr>
                    <w:t>危废间</w:t>
                  </w:r>
                </w:p>
              </w:tc>
              <w:tc>
                <w:tcPr>
                  <w:tcW w:w="3706" w:type="pct"/>
                  <w:vAlign w:val="center"/>
                </w:tcPr>
                <w:p w14:paraId="43283734">
                  <w:pPr>
                    <w:pStyle w:val="94"/>
                    <w:jc w:val="left"/>
                    <w:rPr>
                      <w:rFonts w:hint="default" w:cs="Times New Roman"/>
                      <w:bCs/>
                      <w:color w:val="auto"/>
                      <w:szCs w:val="21"/>
                      <w:highlight w:val="none"/>
                      <w:vertAlign w:val="baseline"/>
                      <w:lang w:val="en-US" w:eastAsia="zh-CN"/>
                    </w:rPr>
                  </w:pPr>
                  <w:r>
                    <w:rPr>
                      <w:rFonts w:hint="eastAsia" w:cs="Times New Roman"/>
                      <w:bCs/>
                      <w:color w:val="auto"/>
                      <w:szCs w:val="21"/>
                      <w:highlight w:val="none"/>
                      <w:lang w:val="en-US" w:eastAsia="zh-CN"/>
                    </w:rPr>
                    <w:t>位于生产车间内，10m</w:t>
                  </w:r>
                  <w:r>
                    <w:rPr>
                      <w:rFonts w:hint="eastAsia" w:cs="Times New Roman"/>
                      <w:bCs/>
                      <w:color w:val="auto"/>
                      <w:szCs w:val="21"/>
                      <w:highlight w:val="none"/>
                      <w:vertAlign w:val="superscript"/>
                      <w:lang w:val="en-US" w:eastAsia="zh-CN"/>
                    </w:rPr>
                    <w:t>2</w:t>
                  </w:r>
                  <w:r>
                    <w:rPr>
                      <w:rFonts w:hint="eastAsia" w:cs="Times New Roman"/>
                      <w:bCs/>
                      <w:color w:val="auto"/>
                      <w:szCs w:val="21"/>
                      <w:highlight w:val="none"/>
                      <w:vertAlign w:val="baseline"/>
                      <w:lang w:val="en-US" w:eastAsia="zh-CN"/>
                    </w:rPr>
                    <w:t>，用于危险废物的暂存</w:t>
                  </w:r>
                </w:p>
              </w:tc>
            </w:tr>
            <w:tr w14:paraId="3BA9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restart"/>
                  <w:vAlign w:val="center"/>
                </w:tcPr>
                <w:p w14:paraId="6238619B">
                  <w:pPr>
                    <w:tabs>
                      <w:tab w:val="left" w:pos="1028"/>
                    </w:tabs>
                    <w:spacing w:line="320" w:lineRule="exact"/>
                    <w:jc w:val="center"/>
                    <w:rPr>
                      <w:rFonts w:ascii="Times New Roman" w:hAnsi="Times New Roman" w:cs="Times New Roman"/>
                      <w:bCs/>
                      <w:szCs w:val="21"/>
                    </w:rPr>
                  </w:pPr>
                  <w:r>
                    <w:rPr>
                      <w:rFonts w:ascii="Times New Roman" w:hAnsi="Times New Roman" w:cs="Times New Roman"/>
                      <w:bCs/>
                      <w:szCs w:val="21"/>
                    </w:rPr>
                    <w:t>公用工程</w:t>
                  </w:r>
                </w:p>
              </w:tc>
              <w:tc>
                <w:tcPr>
                  <w:tcW w:w="700" w:type="pct"/>
                  <w:vAlign w:val="center"/>
                </w:tcPr>
                <w:p w14:paraId="2D24282D">
                  <w:pPr>
                    <w:tabs>
                      <w:tab w:val="left" w:pos="1028"/>
                    </w:tabs>
                    <w:spacing w:line="320" w:lineRule="exact"/>
                    <w:jc w:val="center"/>
                    <w:rPr>
                      <w:rFonts w:ascii="Times New Roman" w:hAnsi="Times New Roman" w:cs="Times New Roman"/>
                      <w:bCs/>
                      <w:szCs w:val="21"/>
                    </w:rPr>
                  </w:pPr>
                  <w:r>
                    <w:rPr>
                      <w:rFonts w:ascii="Times New Roman" w:hAnsi="Times New Roman" w:cs="Times New Roman"/>
                      <w:bCs/>
                      <w:szCs w:val="21"/>
                    </w:rPr>
                    <w:t>供水</w:t>
                  </w:r>
                </w:p>
              </w:tc>
              <w:tc>
                <w:tcPr>
                  <w:tcW w:w="3706" w:type="pct"/>
                  <w:vAlign w:val="center"/>
                </w:tcPr>
                <w:p w14:paraId="52864B5A">
                  <w:pPr>
                    <w:tabs>
                      <w:tab w:val="left" w:pos="1028"/>
                    </w:tabs>
                    <w:spacing w:line="320" w:lineRule="exact"/>
                    <w:jc w:val="left"/>
                    <w:rPr>
                      <w:rFonts w:ascii="Times New Roman" w:hAnsi="Times New Roman" w:cs="Times New Roman"/>
                      <w:bCs/>
                      <w:szCs w:val="21"/>
                    </w:rPr>
                  </w:pPr>
                  <w:r>
                    <w:t>由</w:t>
                  </w:r>
                  <w:r>
                    <w:rPr>
                      <w:rFonts w:hint="eastAsia"/>
                      <w:lang w:eastAsia="zh-CN"/>
                    </w:rPr>
                    <w:t>当地</w:t>
                  </w:r>
                  <w:r>
                    <w:t>供水管网进行</w:t>
                  </w:r>
                  <w:r>
                    <w:rPr>
                      <w:rFonts w:hint="eastAsia"/>
                    </w:rPr>
                    <w:t>供给</w:t>
                  </w:r>
                </w:p>
              </w:tc>
            </w:tr>
            <w:tr w14:paraId="6426F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7F3F7F14">
                  <w:pPr>
                    <w:tabs>
                      <w:tab w:val="left" w:pos="1028"/>
                    </w:tabs>
                    <w:spacing w:line="320" w:lineRule="exact"/>
                    <w:jc w:val="center"/>
                    <w:rPr>
                      <w:rFonts w:ascii="Times New Roman" w:hAnsi="Times New Roman" w:cs="Times New Roman"/>
                      <w:kern w:val="0"/>
                      <w:szCs w:val="21"/>
                    </w:rPr>
                  </w:pPr>
                </w:p>
              </w:tc>
              <w:tc>
                <w:tcPr>
                  <w:tcW w:w="700" w:type="pct"/>
                  <w:vAlign w:val="center"/>
                </w:tcPr>
                <w:p w14:paraId="6279DB99">
                  <w:pPr>
                    <w:tabs>
                      <w:tab w:val="left" w:pos="1028"/>
                    </w:tabs>
                    <w:spacing w:line="320" w:lineRule="exact"/>
                    <w:jc w:val="center"/>
                    <w:rPr>
                      <w:rFonts w:ascii="Times New Roman" w:hAnsi="Times New Roman" w:cs="Times New Roman"/>
                      <w:bCs/>
                      <w:szCs w:val="21"/>
                    </w:rPr>
                  </w:pPr>
                  <w:r>
                    <w:rPr>
                      <w:rFonts w:ascii="Times New Roman" w:hAnsi="Times New Roman" w:cs="Times New Roman"/>
                      <w:bCs/>
                      <w:szCs w:val="21"/>
                    </w:rPr>
                    <w:t>供电</w:t>
                  </w:r>
                </w:p>
              </w:tc>
              <w:tc>
                <w:tcPr>
                  <w:tcW w:w="3706" w:type="pct"/>
                  <w:vAlign w:val="center"/>
                </w:tcPr>
                <w:p w14:paraId="19CA042C">
                  <w:pPr>
                    <w:tabs>
                      <w:tab w:val="left" w:pos="1028"/>
                    </w:tabs>
                    <w:spacing w:line="320" w:lineRule="exact"/>
                    <w:jc w:val="left"/>
                    <w:rPr>
                      <w:rFonts w:ascii="Times New Roman" w:hAnsi="Times New Roman" w:eastAsia="宋体" w:cs="Times New Roman"/>
                      <w:bCs/>
                      <w:szCs w:val="21"/>
                    </w:rPr>
                  </w:pPr>
                  <w:r>
                    <w:t>由</w:t>
                  </w:r>
                  <w:r>
                    <w:rPr>
                      <w:rFonts w:hint="eastAsia"/>
                      <w:lang w:eastAsia="zh-CN"/>
                    </w:rPr>
                    <w:t>当地</w:t>
                  </w:r>
                  <w:r>
                    <w:t>电网进行供应</w:t>
                  </w:r>
                </w:p>
              </w:tc>
            </w:tr>
            <w:tr w14:paraId="5032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2" w:type="pct"/>
                  <w:vMerge w:val="continue"/>
                  <w:vAlign w:val="center"/>
                </w:tcPr>
                <w:p w14:paraId="6FA2B2ED">
                  <w:pPr>
                    <w:tabs>
                      <w:tab w:val="left" w:pos="1028"/>
                    </w:tabs>
                    <w:spacing w:line="320" w:lineRule="exact"/>
                    <w:jc w:val="center"/>
                    <w:rPr>
                      <w:rFonts w:ascii="Times New Roman" w:hAnsi="Times New Roman" w:cs="Times New Roman"/>
                      <w:kern w:val="0"/>
                      <w:szCs w:val="21"/>
                    </w:rPr>
                  </w:pPr>
                </w:p>
              </w:tc>
              <w:tc>
                <w:tcPr>
                  <w:tcW w:w="700" w:type="pct"/>
                  <w:vAlign w:val="center"/>
                </w:tcPr>
                <w:p w14:paraId="509CF6C6">
                  <w:pPr>
                    <w:tabs>
                      <w:tab w:val="left" w:pos="1028"/>
                    </w:tabs>
                    <w:spacing w:line="320" w:lineRule="exact"/>
                    <w:jc w:val="center"/>
                    <w:rPr>
                      <w:rFonts w:ascii="Times New Roman" w:hAnsi="Times New Roman" w:cs="Times New Roman"/>
                      <w:bCs/>
                      <w:szCs w:val="21"/>
                      <w:highlight w:val="none"/>
                    </w:rPr>
                  </w:pPr>
                  <w:r>
                    <w:rPr>
                      <w:rFonts w:ascii="Times New Roman" w:hAnsi="Times New Roman" w:cs="Times New Roman"/>
                      <w:bCs/>
                      <w:szCs w:val="21"/>
                      <w:highlight w:val="none"/>
                    </w:rPr>
                    <w:t>供热</w:t>
                  </w:r>
                </w:p>
              </w:tc>
              <w:tc>
                <w:tcPr>
                  <w:tcW w:w="3706" w:type="pct"/>
                  <w:vAlign w:val="center"/>
                </w:tcPr>
                <w:p w14:paraId="1F91C179">
                  <w:pPr>
                    <w:tabs>
                      <w:tab w:val="left" w:pos="900"/>
                      <w:tab w:val="left" w:pos="4860"/>
                    </w:tabs>
                    <w:spacing w:line="320" w:lineRule="exact"/>
                    <w:jc w:val="left"/>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生产用热</w:t>
                  </w:r>
                  <w:r>
                    <w:rPr>
                      <w:rFonts w:hint="eastAsia" w:ascii="Times New Roman" w:hAnsi="Times New Roman" w:cs="Times New Roman"/>
                      <w:szCs w:val="21"/>
                      <w:highlight w:val="none"/>
                      <w:lang w:eastAsia="zh-CN"/>
                    </w:rPr>
                    <w:t>采用电加热</w:t>
                  </w:r>
                </w:p>
              </w:tc>
            </w:tr>
            <w:tr w14:paraId="567D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4BB88C90">
                  <w:pPr>
                    <w:tabs>
                      <w:tab w:val="left" w:pos="1028"/>
                    </w:tabs>
                    <w:spacing w:line="320" w:lineRule="exact"/>
                    <w:jc w:val="center"/>
                    <w:rPr>
                      <w:rFonts w:ascii="Times New Roman" w:hAnsi="Times New Roman" w:cs="Times New Roman"/>
                      <w:kern w:val="0"/>
                      <w:szCs w:val="21"/>
                    </w:rPr>
                  </w:pPr>
                </w:p>
              </w:tc>
              <w:tc>
                <w:tcPr>
                  <w:tcW w:w="700" w:type="pct"/>
                  <w:vAlign w:val="center"/>
                </w:tcPr>
                <w:p w14:paraId="4F2A1C74">
                  <w:pPr>
                    <w:tabs>
                      <w:tab w:val="left" w:pos="1028"/>
                    </w:tabs>
                    <w:spacing w:line="320" w:lineRule="exact"/>
                    <w:jc w:val="center"/>
                    <w:rPr>
                      <w:rFonts w:hint="eastAsia" w:ascii="Times New Roman" w:hAnsi="Times New Roman" w:cs="Times New Roman" w:eastAsiaTheme="minorEastAsia"/>
                      <w:bCs/>
                      <w:szCs w:val="21"/>
                      <w:lang w:eastAsia="zh-CN"/>
                    </w:rPr>
                  </w:pPr>
                  <w:r>
                    <w:rPr>
                      <w:rFonts w:ascii="Times New Roman" w:hAnsi="Times New Roman" w:cs="Times New Roman"/>
                      <w:bCs/>
                      <w:szCs w:val="21"/>
                    </w:rPr>
                    <w:t>供暖</w:t>
                  </w:r>
                  <w:r>
                    <w:rPr>
                      <w:rFonts w:hint="eastAsia" w:ascii="Times New Roman" w:hAnsi="Times New Roman" w:cs="Times New Roman"/>
                      <w:bCs/>
                      <w:szCs w:val="21"/>
                      <w:lang w:eastAsia="zh-CN"/>
                    </w:rPr>
                    <w:t>与制冷</w:t>
                  </w:r>
                </w:p>
              </w:tc>
              <w:tc>
                <w:tcPr>
                  <w:tcW w:w="3706" w:type="pct"/>
                  <w:vAlign w:val="center"/>
                </w:tcPr>
                <w:p w14:paraId="60EBBFE5">
                  <w:pPr>
                    <w:tabs>
                      <w:tab w:val="left" w:pos="900"/>
                      <w:tab w:val="left" w:pos="4860"/>
                    </w:tabs>
                    <w:spacing w:line="320" w:lineRule="exact"/>
                    <w:jc w:val="left"/>
                    <w:rPr>
                      <w:rFonts w:ascii="Times New Roman" w:hAnsi="Times New Roman" w:cs="Times New Roman"/>
                      <w:szCs w:val="21"/>
                    </w:rPr>
                  </w:pPr>
                  <w:r>
                    <w:rPr>
                      <w:rFonts w:hint="eastAsia" w:ascii="Times New Roman" w:hAnsi="Times New Roman" w:cs="Times New Roman"/>
                      <w:szCs w:val="21"/>
                      <w:lang w:val="en-US" w:eastAsia="zh-CN"/>
                    </w:rPr>
                    <w:t>办公生活冬季采暖和夏季制冷由空调提供</w:t>
                  </w:r>
                </w:p>
              </w:tc>
            </w:tr>
            <w:tr w14:paraId="6D9C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92" w:type="pct"/>
                  <w:vMerge w:val="restart"/>
                  <w:vAlign w:val="center"/>
                </w:tcPr>
                <w:p w14:paraId="77230FB6">
                  <w:pPr>
                    <w:tabs>
                      <w:tab w:val="left" w:pos="1028"/>
                    </w:tabs>
                    <w:spacing w:line="320" w:lineRule="exact"/>
                    <w:jc w:val="center"/>
                    <w:rPr>
                      <w:rFonts w:ascii="Times New Roman" w:hAnsi="Times New Roman" w:cs="Times New Roman"/>
                      <w:kern w:val="0"/>
                      <w:szCs w:val="21"/>
                    </w:rPr>
                  </w:pPr>
                  <w:r>
                    <w:rPr>
                      <w:rFonts w:ascii="Times New Roman" w:hAnsi="Times New Roman" w:cs="Times New Roman"/>
                      <w:kern w:val="0"/>
                      <w:szCs w:val="21"/>
                    </w:rPr>
                    <w:t>环保工程</w:t>
                  </w:r>
                </w:p>
              </w:tc>
              <w:tc>
                <w:tcPr>
                  <w:tcW w:w="700" w:type="pct"/>
                  <w:vAlign w:val="center"/>
                </w:tcPr>
                <w:p w14:paraId="1EE28FA6">
                  <w:pPr>
                    <w:tabs>
                      <w:tab w:val="left" w:pos="1028"/>
                    </w:tabs>
                    <w:spacing w:line="320" w:lineRule="exact"/>
                    <w:jc w:val="center"/>
                    <w:rPr>
                      <w:rFonts w:ascii="Times New Roman" w:hAnsi="Times New Roman" w:cs="Times New Roman"/>
                      <w:bCs/>
                      <w:szCs w:val="21"/>
                      <w:highlight w:val="none"/>
                    </w:rPr>
                  </w:pPr>
                  <w:r>
                    <w:rPr>
                      <w:rFonts w:ascii="Times New Roman" w:hAnsi="Times New Roman" w:cs="Times New Roman"/>
                      <w:bCs/>
                      <w:szCs w:val="21"/>
                      <w:highlight w:val="none"/>
                    </w:rPr>
                    <w:t>废水</w:t>
                  </w:r>
                </w:p>
              </w:tc>
              <w:tc>
                <w:tcPr>
                  <w:tcW w:w="3706" w:type="pct"/>
                  <w:vAlign w:val="center"/>
                </w:tcPr>
                <w:p w14:paraId="3270C8A5">
                  <w:pPr>
                    <w:spacing w:line="300" w:lineRule="exact"/>
                    <w:jc w:val="left"/>
                    <w:rPr>
                      <w:rFonts w:hint="eastAsia"/>
                      <w:bCs/>
                      <w:snapToGrid w:val="0"/>
                      <w:szCs w:val="21"/>
                      <w:highlight w:val="none"/>
                      <w:lang w:eastAsia="zh-CN"/>
                    </w:rPr>
                  </w:pPr>
                  <w:r>
                    <w:rPr>
                      <w:rFonts w:hint="eastAsia"/>
                      <w:bCs/>
                      <w:snapToGrid w:val="0"/>
                      <w:szCs w:val="21"/>
                      <w:highlight w:val="none"/>
                    </w:rPr>
                    <w:t>冷却用水循环使用，定期补充，不外排</w:t>
                  </w:r>
                  <w:r>
                    <w:rPr>
                      <w:rFonts w:hint="eastAsia"/>
                      <w:bCs/>
                      <w:snapToGrid w:val="0"/>
                      <w:szCs w:val="21"/>
                      <w:highlight w:val="none"/>
                      <w:lang w:eastAsia="zh-CN"/>
                    </w:rPr>
                    <w:t>；</w:t>
                  </w:r>
                </w:p>
                <w:p w14:paraId="5DE11D04">
                  <w:pPr>
                    <w:spacing w:line="320" w:lineRule="exact"/>
                    <w:jc w:val="left"/>
                    <w:rPr>
                      <w:rFonts w:hint="eastAsia" w:ascii="Times New Roman" w:hAnsi="Times New Roman" w:cs="Times New Roman" w:eastAsiaTheme="minorEastAsia"/>
                      <w:bCs/>
                      <w:color w:val="auto"/>
                      <w:szCs w:val="21"/>
                      <w:highlight w:val="none"/>
                      <w:lang w:eastAsia="zh-CN"/>
                    </w:rPr>
                  </w:pPr>
                  <w:r>
                    <w:rPr>
                      <w:rFonts w:hint="eastAsia" w:ascii="Times New Roman" w:hAnsi="Times New Roman" w:cs="Times New Roman" w:eastAsiaTheme="minorEastAsia"/>
                      <w:bCs/>
                      <w:color w:val="auto"/>
                      <w:szCs w:val="21"/>
                      <w:highlight w:val="none"/>
                      <w:lang w:val="en-US" w:eastAsia="zh-CN"/>
                    </w:rPr>
                    <w:t>生活污水经厂区化粪池处理，化粪池定期清掏，不外排</w:t>
                  </w:r>
                </w:p>
              </w:tc>
            </w:tr>
            <w:tr w14:paraId="66F6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62D76B7B">
                  <w:pPr>
                    <w:tabs>
                      <w:tab w:val="left" w:pos="1028"/>
                    </w:tabs>
                    <w:spacing w:line="320" w:lineRule="exact"/>
                    <w:rPr>
                      <w:rFonts w:ascii="Times New Roman" w:hAnsi="Times New Roman" w:cs="Times New Roman"/>
                      <w:kern w:val="0"/>
                      <w:szCs w:val="21"/>
                    </w:rPr>
                  </w:pPr>
                </w:p>
              </w:tc>
              <w:tc>
                <w:tcPr>
                  <w:tcW w:w="700" w:type="pct"/>
                  <w:vMerge w:val="restart"/>
                  <w:vAlign w:val="center"/>
                </w:tcPr>
                <w:p w14:paraId="615EBE6B">
                  <w:pPr>
                    <w:tabs>
                      <w:tab w:val="left" w:pos="1028"/>
                    </w:tabs>
                    <w:spacing w:line="320" w:lineRule="exact"/>
                    <w:jc w:val="center"/>
                    <w:rPr>
                      <w:rFonts w:ascii="Times New Roman" w:hAnsi="Times New Roman" w:cs="Times New Roman"/>
                      <w:bCs/>
                      <w:szCs w:val="21"/>
                      <w:highlight w:val="none"/>
                    </w:rPr>
                  </w:pPr>
                  <w:r>
                    <w:rPr>
                      <w:rFonts w:ascii="Times New Roman" w:hAnsi="Times New Roman" w:cs="Times New Roman"/>
                      <w:bCs/>
                      <w:szCs w:val="21"/>
                      <w:highlight w:val="none"/>
                    </w:rPr>
                    <w:t>废气</w:t>
                  </w:r>
                </w:p>
              </w:tc>
              <w:tc>
                <w:tcPr>
                  <w:tcW w:w="3706" w:type="pct"/>
                  <w:vAlign w:val="center"/>
                </w:tcPr>
                <w:p w14:paraId="4C68079F">
                  <w:pPr>
                    <w:tabs>
                      <w:tab w:val="left" w:pos="1028"/>
                    </w:tabs>
                    <w:spacing w:line="320" w:lineRule="exact"/>
                    <w:jc w:val="left"/>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注塑工序废气：经集气罩（带软帘）收集后经</w:t>
                  </w:r>
                  <w:r>
                    <w:rPr>
                      <w:rFonts w:hint="eastAsia" w:ascii="Times New Roman" w:hAnsi="Times New Roman" w:eastAsia="宋体"/>
                      <w:sz w:val="21"/>
                      <w:szCs w:val="21"/>
                      <w:highlight w:val="none"/>
                      <w:lang w:val="en-US" w:eastAsia="zh-CN"/>
                    </w:rPr>
                    <w:t>“活性炭吸附/脱附+催化燃烧装置”</w:t>
                  </w:r>
                  <w:r>
                    <w:rPr>
                      <w:rFonts w:hint="eastAsia" w:ascii="Times New Roman" w:hAnsi="Times New Roman" w:cs="Times New Roman"/>
                      <w:color w:val="auto"/>
                      <w:szCs w:val="21"/>
                      <w:highlight w:val="none"/>
                      <w:lang w:val="en-US" w:eastAsia="zh-CN"/>
                    </w:rPr>
                    <w:t>（TA001）处理，处理后经15m高排气筒DA001排放</w:t>
                  </w:r>
                </w:p>
              </w:tc>
            </w:tr>
            <w:tr w14:paraId="2396B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3B9D6742">
                  <w:pPr>
                    <w:tabs>
                      <w:tab w:val="left" w:pos="1028"/>
                    </w:tabs>
                    <w:spacing w:line="320" w:lineRule="exact"/>
                    <w:rPr>
                      <w:rFonts w:ascii="Times New Roman" w:hAnsi="Times New Roman" w:cs="Times New Roman"/>
                      <w:kern w:val="0"/>
                      <w:szCs w:val="21"/>
                    </w:rPr>
                  </w:pPr>
                </w:p>
              </w:tc>
              <w:tc>
                <w:tcPr>
                  <w:tcW w:w="700" w:type="pct"/>
                  <w:vMerge w:val="continue"/>
                  <w:vAlign w:val="center"/>
                </w:tcPr>
                <w:p w14:paraId="265A3067">
                  <w:pPr>
                    <w:tabs>
                      <w:tab w:val="left" w:pos="1028"/>
                    </w:tabs>
                    <w:spacing w:line="320" w:lineRule="exact"/>
                    <w:jc w:val="center"/>
                    <w:rPr>
                      <w:rFonts w:ascii="Times New Roman" w:hAnsi="Times New Roman" w:cs="Times New Roman"/>
                      <w:bCs/>
                      <w:szCs w:val="21"/>
                      <w:highlight w:val="none"/>
                    </w:rPr>
                  </w:pPr>
                </w:p>
              </w:tc>
              <w:tc>
                <w:tcPr>
                  <w:tcW w:w="3706" w:type="pct"/>
                  <w:vAlign w:val="center"/>
                </w:tcPr>
                <w:p w14:paraId="13567E5C">
                  <w:pPr>
                    <w:tabs>
                      <w:tab w:val="left" w:pos="1028"/>
                    </w:tabs>
                    <w:spacing w:line="320" w:lineRule="exact"/>
                    <w:jc w:val="left"/>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粉碎工序废气：经集气罩（带软帘）收集后经布袋除尘器（TA002）处理，处理后经15m高排气筒DA002排放</w:t>
                  </w:r>
                </w:p>
              </w:tc>
            </w:tr>
            <w:tr w14:paraId="3F9B1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481FCEC0">
                  <w:pPr>
                    <w:tabs>
                      <w:tab w:val="left" w:pos="1028"/>
                    </w:tabs>
                    <w:spacing w:line="320" w:lineRule="exact"/>
                    <w:rPr>
                      <w:rFonts w:ascii="Times New Roman" w:hAnsi="Times New Roman" w:cs="Times New Roman"/>
                      <w:kern w:val="0"/>
                      <w:szCs w:val="21"/>
                    </w:rPr>
                  </w:pPr>
                </w:p>
              </w:tc>
              <w:tc>
                <w:tcPr>
                  <w:tcW w:w="700" w:type="pct"/>
                  <w:vAlign w:val="center"/>
                </w:tcPr>
                <w:p w14:paraId="694C7BE9">
                  <w:pPr>
                    <w:tabs>
                      <w:tab w:val="left" w:pos="1028"/>
                    </w:tabs>
                    <w:spacing w:line="320" w:lineRule="exact"/>
                    <w:jc w:val="center"/>
                    <w:rPr>
                      <w:rFonts w:ascii="Times New Roman" w:hAnsi="Times New Roman" w:cs="Times New Roman"/>
                      <w:bCs/>
                      <w:szCs w:val="21"/>
                      <w:highlight w:val="none"/>
                    </w:rPr>
                  </w:pPr>
                  <w:r>
                    <w:rPr>
                      <w:rFonts w:ascii="Times New Roman" w:hAnsi="Times New Roman" w:cs="Times New Roman"/>
                      <w:bCs/>
                      <w:szCs w:val="21"/>
                      <w:highlight w:val="none"/>
                    </w:rPr>
                    <w:t>噪声</w:t>
                  </w:r>
                </w:p>
              </w:tc>
              <w:tc>
                <w:tcPr>
                  <w:tcW w:w="3706" w:type="pct"/>
                  <w:vAlign w:val="center"/>
                </w:tcPr>
                <w:p w14:paraId="50D833F5">
                  <w:pPr>
                    <w:tabs>
                      <w:tab w:val="left" w:pos="1028"/>
                    </w:tabs>
                    <w:spacing w:line="320" w:lineRule="exact"/>
                    <w:jc w:val="left"/>
                    <w:rPr>
                      <w:rFonts w:ascii="Times New Roman" w:hAnsi="Times New Roman" w:cs="Times New Roman"/>
                      <w:bCs/>
                      <w:color w:val="auto"/>
                      <w:szCs w:val="21"/>
                      <w:highlight w:val="none"/>
                    </w:rPr>
                  </w:pPr>
                  <w:r>
                    <w:rPr>
                      <w:rFonts w:ascii="Times New Roman" w:hAnsi="Times New Roman" w:cs="Times New Roman"/>
                      <w:color w:val="auto"/>
                      <w:kern w:val="21"/>
                      <w:szCs w:val="21"/>
                      <w:highlight w:val="none"/>
                    </w:rPr>
                    <w:t>选用低噪声设备，</w:t>
                  </w:r>
                  <w:r>
                    <w:rPr>
                      <w:rFonts w:ascii="Times New Roman" w:hAnsi="Times New Roman" w:cs="Times New Roman"/>
                      <w:bCs/>
                      <w:color w:val="auto"/>
                      <w:szCs w:val="21"/>
                      <w:highlight w:val="none"/>
                    </w:rPr>
                    <w:t>基础减振、厂房隔声等降噪措施；</w:t>
                  </w:r>
                  <w:r>
                    <w:rPr>
                      <w:rFonts w:ascii="Times New Roman" w:hAnsi="Times New Roman" w:cs="Times New Roman"/>
                      <w:color w:val="auto"/>
                      <w:kern w:val="21"/>
                      <w:szCs w:val="21"/>
                      <w:highlight w:val="none"/>
                    </w:rPr>
                    <w:t>设备定期维护和保养</w:t>
                  </w:r>
                </w:p>
              </w:tc>
            </w:tr>
            <w:tr w14:paraId="19C0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pct"/>
                  <w:vMerge w:val="continue"/>
                  <w:vAlign w:val="center"/>
                </w:tcPr>
                <w:p w14:paraId="1DEB654A">
                  <w:pPr>
                    <w:tabs>
                      <w:tab w:val="left" w:pos="1028"/>
                    </w:tabs>
                    <w:spacing w:line="320" w:lineRule="exact"/>
                    <w:rPr>
                      <w:rFonts w:ascii="Times New Roman" w:hAnsi="Times New Roman" w:cs="Times New Roman"/>
                      <w:kern w:val="0"/>
                      <w:szCs w:val="21"/>
                    </w:rPr>
                  </w:pPr>
                </w:p>
              </w:tc>
              <w:tc>
                <w:tcPr>
                  <w:tcW w:w="700" w:type="pct"/>
                  <w:vAlign w:val="center"/>
                </w:tcPr>
                <w:p w14:paraId="5BBE8BD3">
                  <w:pPr>
                    <w:tabs>
                      <w:tab w:val="left" w:pos="1028"/>
                    </w:tabs>
                    <w:spacing w:line="320" w:lineRule="exact"/>
                    <w:jc w:val="center"/>
                    <w:rPr>
                      <w:rFonts w:ascii="Times New Roman" w:hAnsi="Times New Roman" w:cs="Times New Roman"/>
                      <w:bCs/>
                      <w:szCs w:val="21"/>
                      <w:highlight w:val="none"/>
                    </w:rPr>
                  </w:pPr>
                  <w:r>
                    <w:rPr>
                      <w:rFonts w:ascii="Times New Roman" w:hAnsi="Times New Roman" w:cs="Times New Roman"/>
                      <w:bCs/>
                      <w:szCs w:val="21"/>
                      <w:highlight w:val="none"/>
                    </w:rPr>
                    <w:t>固废</w:t>
                  </w:r>
                </w:p>
              </w:tc>
              <w:tc>
                <w:tcPr>
                  <w:tcW w:w="3706" w:type="pct"/>
                  <w:vAlign w:val="center"/>
                </w:tcPr>
                <w:p w14:paraId="2997A78D">
                  <w:pPr>
                    <w:pStyle w:val="108"/>
                    <w:spacing w:line="288" w:lineRule="auto"/>
                    <w:ind w:firstLine="0" w:firstLineChars="0"/>
                    <w:jc w:val="left"/>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一</w:t>
                  </w:r>
                  <w:r>
                    <w:rPr>
                      <w:rFonts w:hint="default" w:ascii="Times New Roman" w:hAnsi="Times New Roman" w:eastAsia="宋体" w:cs="Times New Roman"/>
                      <w:color w:val="auto"/>
                      <w:sz w:val="21"/>
                      <w:lang w:val="en-US" w:eastAsia="zh-CN"/>
                    </w:rPr>
                    <w:t>般工业固废：</w:t>
                  </w:r>
                  <w:r>
                    <w:rPr>
                      <w:rFonts w:hint="eastAsia" w:ascii="Times New Roman" w:hAnsi="Times New Roman" w:eastAsia="宋体"/>
                      <w:color w:val="auto"/>
                      <w:sz w:val="21"/>
                      <w:szCs w:val="21"/>
                      <w:highlight w:val="none"/>
                      <w:lang w:eastAsia="zh-CN"/>
                    </w:rPr>
                    <w:t>废边角料经低速断料机剪切后回用于生产，不合格品及退货订单产品经粉碎机粉碎后回用于生产；布袋除尘器收集尘、废布袋、</w:t>
                  </w:r>
                  <w:r>
                    <w:rPr>
                      <w:rFonts w:ascii="Times New Roman" w:hAnsi="Times New Roman" w:eastAsia="宋体"/>
                      <w:color w:val="auto"/>
                      <w:sz w:val="21"/>
                      <w:szCs w:val="21"/>
                      <w:highlight w:val="none"/>
                    </w:rPr>
                    <w:t>废包装</w:t>
                  </w:r>
                  <w:r>
                    <w:rPr>
                      <w:rFonts w:hint="eastAsia" w:ascii="Times New Roman" w:hAnsi="Times New Roman" w:eastAsia="宋体"/>
                      <w:color w:val="auto"/>
                      <w:sz w:val="21"/>
                      <w:szCs w:val="21"/>
                      <w:highlight w:val="none"/>
                      <w:lang w:eastAsia="zh-CN"/>
                    </w:rPr>
                    <w:t>物</w:t>
                  </w:r>
                  <w:r>
                    <w:rPr>
                      <w:rFonts w:ascii="Times New Roman" w:hAnsi="Times New Roman" w:eastAsia="宋体"/>
                      <w:color w:val="auto"/>
                      <w:sz w:val="21"/>
                      <w:szCs w:val="21"/>
                      <w:highlight w:val="none"/>
                    </w:rPr>
                    <w:t>外售综合利用</w:t>
                  </w:r>
                  <w:r>
                    <w:rPr>
                      <w:rFonts w:hint="eastAsia" w:ascii="Times New Roman" w:hAnsi="Times New Roman" w:eastAsia="宋体"/>
                      <w:color w:val="auto"/>
                      <w:sz w:val="21"/>
                      <w:szCs w:val="21"/>
                      <w:highlight w:val="none"/>
                    </w:rPr>
                    <w:t>；</w:t>
                  </w:r>
                </w:p>
                <w:p w14:paraId="26F3E301">
                  <w:pPr>
                    <w:pStyle w:val="108"/>
                    <w:spacing w:line="288" w:lineRule="auto"/>
                    <w:ind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危险废物：</w:t>
                  </w:r>
                  <w:r>
                    <w:rPr>
                      <w:rFonts w:hint="eastAsia" w:ascii="Times New Roman" w:hAnsi="Times New Roman" w:eastAsia="宋体" w:cs="Times New Roman"/>
                      <w:color w:val="auto"/>
                      <w:sz w:val="21"/>
                      <w:lang w:val="en-US" w:eastAsia="zh-CN"/>
                    </w:rPr>
                    <w:t>废机油、废机油桶、</w:t>
                  </w:r>
                  <w:r>
                    <w:rPr>
                      <w:rFonts w:hint="eastAsia" w:ascii="Times New Roman" w:hAnsi="Times New Roman" w:eastAsia="宋体"/>
                      <w:color w:val="auto"/>
                      <w:sz w:val="21"/>
                      <w:szCs w:val="21"/>
                      <w:highlight w:val="none"/>
                    </w:rPr>
                    <w:t>废活性炭、</w:t>
                  </w:r>
                  <w:r>
                    <w:rPr>
                      <w:rFonts w:hint="eastAsia" w:ascii="Times New Roman" w:hAnsi="Times New Roman" w:eastAsia="宋体"/>
                      <w:color w:val="auto"/>
                      <w:sz w:val="21"/>
                      <w:szCs w:val="21"/>
                      <w:highlight w:val="none"/>
                      <w:lang w:eastAsia="zh-CN"/>
                    </w:rPr>
                    <w:t>废催</w:t>
                  </w:r>
                  <w:r>
                    <w:rPr>
                      <w:rFonts w:hint="eastAsia" w:ascii="Times New Roman" w:hAnsi="Times New Roman" w:eastAsia="宋体"/>
                      <w:sz w:val="21"/>
                      <w:szCs w:val="21"/>
                      <w:highlight w:val="none"/>
                      <w:lang w:eastAsia="zh-CN"/>
                    </w:rPr>
                    <w:t>化剂</w:t>
                  </w:r>
                  <w:r>
                    <w:rPr>
                      <w:rFonts w:hint="default" w:ascii="Times New Roman" w:hAnsi="Times New Roman" w:eastAsia="宋体" w:cs="Times New Roman"/>
                      <w:color w:val="auto"/>
                      <w:sz w:val="21"/>
                      <w:lang w:val="en-US" w:eastAsia="zh-CN"/>
                    </w:rPr>
                    <w:t>暂存于危废间，定期交有资质单位处理；</w:t>
                  </w:r>
                </w:p>
                <w:p w14:paraId="07D55799">
                  <w:pPr>
                    <w:pStyle w:val="108"/>
                    <w:spacing w:line="288" w:lineRule="auto"/>
                    <w:ind w:firstLine="0" w:firstLineChars="0"/>
                    <w:jc w:val="left"/>
                    <w:rPr>
                      <w:rFonts w:ascii="Times New Roman" w:hAnsi="Times New Roman" w:cs="Times New Roman"/>
                      <w:color w:val="auto"/>
                      <w:kern w:val="21"/>
                      <w:szCs w:val="21"/>
                      <w:highlight w:val="none"/>
                    </w:rPr>
                  </w:pPr>
                  <w:r>
                    <w:rPr>
                      <w:rFonts w:hint="default" w:ascii="Times New Roman" w:hAnsi="Times New Roman" w:eastAsia="宋体" w:cs="Times New Roman"/>
                      <w:color w:val="auto"/>
                      <w:sz w:val="21"/>
                      <w:lang w:val="en-US" w:eastAsia="zh-CN"/>
                    </w:rPr>
                    <w:t>生活垃圾：</w:t>
                  </w:r>
                  <w:r>
                    <w:rPr>
                      <w:rFonts w:hint="default" w:ascii="Times New Roman" w:hAnsi="Times New Roman" w:eastAsia="宋体" w:cs="Times New Roman"/>
                      <w:color w:val="auto"/>
                      <w:sz w:val="21"/>
                    </w:rPr>
                    <w:t>生活垃圾交由当地环卫部门统一清运处理。</w:t>
                  </w:r>
                </w:p>
              </w:tc>
            </w:tr>
          </w:tbl>
          <w:p w14:paraId="24C4346F">
            <w:pPr>
              <w:spacing w:line="360" w:lineRule="auto"/>
              <w:ind w:firstLine="590" w:firstLineChars="245"/>
              <w:rPr>
                <w:rFonts w:hint="eastAsia" w:ascii="Times New Roman" w:hAnsi="Times New Roman" w:eastAsia="宋体" w:cs="Times New Roman"/>
                <w:b/>
                <w:bCs/>
                <w:color w:val="auto"/>
                <w:sz w:val="24"/>
                <w:highlight w:val="none"/>
                <w:lang w:val="en-US" w:eastAsia="zh-CN"/>
              </w:rPr>
            </w:pPr>
          </w:p>
          <w:p w14:paraId="12E02275">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主要产品及产能</w:t>
            </w:r>
          </w:p>
          <w:p w14:paraId="425012F5">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本项目建成后，产能为年产塑料制品2000万套，主要为垃圾桶、拖把等各种清洁日用品。其中需要的金属配件外购进场组装。</w:t>
            </w:r>
          </w:p>
          <w:p w14:paraId="0A9DF765">
            <w:pPr>
              <w:spacing w:line="360" w:lineRule="auto"/>
              <w:ind w:firstLine="590" w:firstLineChars="245"/>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4、</w:t>
            </w:r>
            <w:r>
              <w:rPr>
                <w:rFonts w:ascii="Times New Roman" w:hAnsi="Times New Roman" w:eastAsia="宋体" w:cs="Times New Roman"/>
                <w:b/>
                <w:bCs/>
                <w:color w:val="000000" w:themeColor="text1"/>
                <w:sz w:val="24"/>
                <w:highlight w:val="none"/>
                <w14:textFill>
                  <w14:solidFill>
                    <w14:schemeClr w14:val="tx1"/>
                  </w14:solidFill>
                </w14:textFill>
              </w:rPr>
              <w:t>主要生产设备</w:t>
            </w:r>
          </w:p>
          <w:p w14:paraId="41369483">
            <w:pPr>
              <w:spacing w:line="360" w:lineRule="auto"/>
              <w:ind w:firstLine="470" w:firstLineChars="196"/>
              <w:rPr>
                <w:rFonts w:hint="default" w:ascii="Times New Roman" w:hAnsi="Times New Roman"/>
                <w:b/>
                <w:color w:val="auto"/>
                <w:szCs w:val="24"/>
                <w:highlight w:val="none"/>
              </w:rPr>
            </w:pPr>
            <w:r>
              <w:rPr>
                <w:rFonts w:ascii="Times New Roman" w:hAnsi="Times New Roman" w:eastAsia="宋体" w:cs="Times New Roman"/>
                <w:color w:val="000000" w:themeColor="text1"/>
                <w:sz w:val="24"/>
                <w:highlight w:val="none"/>
                <w14:textFill>
                  <w14:solidFill>
                    <w14:schemeClr w14:val="tx1"/>
                  </w14:solidFill>
                </w14:textFill>
              </w:rPr>
              <w:t>项目主要设备见下表。</w:t>
            </w:r>
          </w:p>
          <w:p w14:paraId="51C5D391">
            <w:pPr>
              <w:pStyle w:val="27"/>
              <w:spacing w:before="156" w:beforeLines="50" w:beforeAutospacing="0" w:afterAutospacing="0"/>
              <w:ind w:firstLine="482" w:firstLineChars="20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3</w:t>
            </w:r>
            <w:r>
              <w:rPr>
                <w:rFonts w:hint="default" w:ascii="Times New Roman" w:hAnsi="Times New Roman"/>
                <w:b/>
                <w:color w:val="auto"/>
                <w:szCs w:val="24"/>
                <w:highlight w:val="none"/>
              </w:rPr>
              <w:t xml:space="preserve">  项目主要生产设备清单</w:t>
            </w:r>
          </w:p>
          <w:tbl>
            <w:tblPr>
              <w:tblStyle w:val="161"/>
              <w:tblW w:w="4995"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1846"/>
              <w:gridCol w:w="2118"/>
              <w:gridCol w:w="1072"/>
              <w:gridCol w:w="1389"/>
              <w:gridCol w:w="2571"/>
            </w:tblGrid>
            <w:tr w14:paraId="37B115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14" w:hRule="atLeast"/>
                <w:tblHeader/>
              </w:trPr>
              <w:tc>
                <w:tcPr>
                  <w:tcW w:w="226" w:type="pct"/>
                  <w:vAlign w:val="center"/>
                </w:tcPr>
                <w:p w14:paraId="3AFD9BF9">
                  <w:pPr>
                    <w:pStyle w:val="160"/>
                    <w:spacing w:line="240" w:lineRule="atLeast"/>
                    <w:rPr>
                      <w:rFonts w:hint="default"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lang w:eastAsia="zh-CN"/>
                    </w:rPr>
                    <w:t>序号</w:t>
                  </w:r>
                </w:p>
              </w:tc>
              <w:tc>
                <w:tcPr>
                  <w:tcW w:w="980" w:type="pct"/>
                  <w:vAlign w:val="center"/>
                </w:tcPr>
                <w:p w14:paraId="0558EDB3">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设备名称</w:t>
                  </w:r>
                </w:p>
              </w:tc>
              <w:tc>
                <w:tcPr>
                  <w:tcW w:w="1124" w:type="pct"/>
                  <w:vAlign w:val="center"/>
                </w:tcPr>
                <w:p w14:paraId="312D9EF8">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型号规格</w:t>
                  </w:r>
                </w:p>
              </w:tc>
              <w:tc>
                <w:tcPr>
                  <w:tcW w:w="567" w:type="pct"/>
                  <w:tcBorders>
                    <w:right w:val="single" w:color="auto" w:sz="4" w:space="0"/>
                  </w:tcBorders>
                  <w:vAlign w:val="center"/>
                </w:tcPr>
                <w:p w14:paraId="650CC05B">
                  <w:pPr>
                    <w:pStyle w:val="160"/>
                    <w:spacing w:line="240" w:lineRule="atLeast"/>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单位</w:t>
                  </w:r>
                </w:p>
              </w:tc>
              <w:tc>
                <w:tcPr>
                  <w:tcW w:w="737" w:type="pct"/>
                  <w:tcBorders>
                    <w:right w:val="single" w:color="auto" w:sz="4" w:space="0"/>
                  </w:tcBorders>
                  <w:vAlign w:val="center"/>
                </w:tcPr>
                <w:p w14:paraId="726C9D90">
                  <w:pPr>
                    <w:pStyle w:val="160"/>
                    <w:spacing w:line="240" w:lineRule="atLeast"/>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rPr>
                    <w:t>数量</w:t>
                  </w:r>
                </w:p>
              </w:tc>
              <w:tc>
                <w:tcPr>
                  <w:tcW w:w="1363" w:type="pct"/>
                  <w:tcBorders>
                    <w:left w:val="single" w:color="auto" w:sz="4" w:space="0"/>
                    <w:right w:val="single" w:color="auto" w:sz="4" w:space="0"/>
                  </w:tcBorders>
                  <w:vAlign w:val="center"/>
                </w:tcPr>
                <w:p w14:paraId="1EAC86BA">
                  <w:pPr>
                    <w:pStyle w:val="160"/>
                    <w:spacing w:line="240" w:lineRule="atLeast"/>
                    <w:rPr>
                      <w:rFonts w:hint="default" w:ascii="Times New Roman" w:hAnsi="Times New Roman" w:cs="Times New Roman"/>
                      <w:b/>
                      <w:bCs/>
                      <w:color w:val="auto"/>
                      <w:highlight w:val="none"/>
                      <w:lang w:eastAsia="zh-CN"/>
                    </w:rPr>
                  </w:pPr>
                  <w:r>
                    <w:rPr>
                      <w:rFonts w:hint="eastAsia" w:cs="Times New Roman"/>
                      <w:b/>
                      <w:bCs/>
                      <w:color w:val="auto"/>
                      <w:highlight w:val="none"/>
                      <w:lang w:eastAsia="zh-CN"/>
                    </w:rPr>
                    <w:t>备注</w:t>
                  </w:r>
                </w:p>
              </w:tc>
            </w:tr>
            <w:tr w14:paraId="36BE66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1" w:hRule="atLeast"/>
                <w:tblHeader/>
              </w:trPr>
              <w:tc>
                <w:tcPr>
                  <w:tcW w:w="5000" w:type="pct"/>
                  <w:gridSpan w:val="6"/>
                  <w:tcBorders>
                    <w:right w:val="single" w:color="auto" w:sz="4" w:space="0"/>
                  </w:tcBorders>
                  <w:vAlign w:val="center"/>
                </w:tcPr>
                <w:p w14:paraId="28B57E43">
                  <w:pPr>
                    <w:pStyle w:val="160"/>
                    <w:spacing w:line="240" w:lineRule="atLeast"/>
                    <w:rPr>
                      <w:rFonts w:hint="eastAsia" w:cs="Times New Roman"/>
                      <w:b/>
                      <w:bCs/>
                      <w:color w:val="auto"/>
                      <w:highlight w:val="none"/>
                      <w:lang w:eastAsia="zh-CN"/>
                    </w:rPr>
                  </w:pPr>
                  <w:r>
                    <w:rPr>
                      <w:rFonts w:hint="eastAsia" w:cs="Times New Roman"/>
                      <w:b/>
                      <w:bCs/>
                      <w:color w:val="auto"/>
                      <w:highlight w:val="none"/>
                      <w:lang w:eastAsia="zh-CN"/>
                    </w:rPr>
                    <w:t>主要生产设备</w:t>
                  </w:r>
                </w:p>
              </w:tc>
            </w:tr>
            <w:tr w14:paraId="07F236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69D91967">
                  <w:pPr>
                    <w:numPr>
                      <w:ilvl w:val="0"/>
                      <w:numId w:val="0"/>
                    </w:numPr>
                    <w:spacing w:line="240" w:lineRule="atLeast"/>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vertAlign w:val="baseline"/>
                      <w:lang w:val="en-US" w:eastAsia="zh-CN"/>
                    </w:rPr>
                    <w:t>1</w:t>
                  </w:r>
                </w:p>
              </w:tc>
              <w:tc>
                <w:tcPr>
                  <w:tcW w:w="980" w:type="pct"/>
                  <w:vAlign w:val="center"/>
                </w:tcPr>
                <w:p w14:paraId="34131C9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混料机</w:t>
                  </w:r>
                </w:p>
              </w:tc>
              <w:tc>
                <w:tcPr>
                  <w:tcW w:w="1124" w:type="pct"/>
                  <w:vAlign w:val="center"/>
                </w:tcPr>
                <w:p w14:paraId="146E4524">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生产能力：0.25t/h</w:t>
                  </w:r>
                </w:p>
              </w:tc>
              <w:tc>
                <w:tcPr>
                  <w:tcW w:w="567" w:type="pct"/>
                  <w:vAlign w:val="center"/>
                </w:tcPr>
                <w:p w14:paraId="4CF66934">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27E941EB">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6</w:t>
                  </w:r>
                </w:p>
              </w:tc>
              <w:tc>
                <w:tcPr>
                  <w:tcW w:w="1363" w:type="pct"/>
                  <w:vAlign w:val="center"/>
                </w:tcPr>
                <w:p w14:paraId="7751E3E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w:t>
                  </w:r>
                  <w:r>
                    <w:rPr>
                      <w:rFonts w:hint="eastAsia" w:cs="Times New Roman"/>
                      <w:color w:val="auto"/>
                      <w:highlight w:val="none"/>
                      <w:lang w:val="en-US" w:eastAsia="zh-CN"/>
                    </w:rPr>
                    <w:t>混料</w:t>
                  </w:r>
                  <w:r>
                    <w:rPr>
                      <w:rFonts w:hint="default" w:ascii="Times New Roman" w:hAnsi="Times New Roman" w:cs="Times New Roman"/>
                      <w:color w:val="auto"/>
                      <w:highlight w:val="none"/>
                      <w:lang w:val="en-US" w:eastAsia="zh-CN"/>
                    </w:rPr>
                    <w:t>工序</w:t>
                  </w:r>
                </w:p>
              </w:tc>
            </w:tr>
            <w:tr w14:paraId="094627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Merge w:val="restart"/>
                  <w:vAlign w:val="center"/>
                </w:tcPr>
                <w:p w14:paraId="2A6B73A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980" w:type="pct"/>
                  <w:vMerge w:val="restart"/>
                  <w:vAlign w:val="center"/>
                </w:tcPr>
                <w:p w14:paraId="6748D29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注塑机</w:t>
                  </w:r>
                </w:p>
              </w:tc>
              <w:tc>
                <w:tcPr>
                  <w:tcW w:w="1124" w:type="pct"/>
                  <w:vAlign w:val="center"/>
                </w:tcPr>
                <w:p w14:paraId="460D8BF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生产能力：0.04t/h</w:t>
                  </w:r>
                </w:p>
              </w:tc>
              <w:tc>
                <w:tcPr>
                  <w:tcW w:w="567" w:type="pct"/>
                  <w:vAlign w:val="center"/>
                </w:tcPr>
                <w:p w14:paraId="6882E57F">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75B07A54">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w:t>
                  </w:r>
                  <w:r>
                    <w:rPr>
                      <w:rFonts w:hint="eastAsia" w:ascii="Times New Roman" w:hAnsi="Times New Roman" w:cs="Times New Roman"/>
                      <w:b w:val="0"/>
                      <w:bCs w:val="0"/>
                      <w:color w:val="auto"/>
                      <w:highlight w:val="none"/>
                      <w:lang w:val="en-US" w:eastAsia="zh-CN"/>
                    </w:rPr>
                    <w:t>0</w:t>
                  </w:r>
                </w:p>
              </w:tc>
              <w:tc>
                <w:tcPr>
                  <w:tcW w:w="1363" w:type="pct"/>
                  <w:vMerge w:val="restart"/>
                  <w:vAlign w:val="center"/>
                </w:tcPr>
                <w:p w14:paraId="7AD53D52">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w:t>
                  </w:r>
                  <w:r>
                    <w:rPr>
                      <w:rFonts w:hint="eastAsia" w:cs="Times New Roman"/>
                      <w:color w:val="auto"/>
                      <w:highlight w:val="none"/>
                      <w:lang w:val="en-US" w:eastAsia="zh-CN"/>
                    </w:rPr>
                    <w:t>注塑</w:t>
                  </w:r>
                  <w:r>
                    <w:rPr>
                      <w:rFonts w:hint="default" w:ascii="Times New Roman" w:hAnsi="Times New Roman" w:cs="Times New Roman"/>
                      <w:color w:val="auto"/>
                      <w:highlight w:val="none"/>
                      <w:lang w:val="en-US" w:eastAsia="zh-CN"/>
                    </w:rPr>
                    <w:t>工序</w:t>
                  </w:r>
                </w:p>
              </w:tc>
            </w:tr>
            <w:tr w14:paraId="6AC5C4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Merge w:val="continue"/>
                  <w:vAlign w:val="center"/>
                </w:tcPr>
                <w:p w14:paraId="7467F694">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p>
              </w:tc>
              <w:tc>
                <w:tcPr>
                  <w:tcW w:w="980" w:type="pct"/>
                  <w:vMerge w:val="continue"/>
                  <w:vAlign w:val="center"/>
                </w:tcPr>
                <w:p w14:paraId="3FD16812">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p>
              </w:tc>
              <w:tc>
                <w:tcPr>
                  <w:tcW w:w="1124" w:type="pct"/>
                  <w:vAlign w:val="center"/>
                </w:tcPr>
                <w:p w14:paraId="322FD66C">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生产能力：0.05t/h</w:t>
                  </w:r>
                </w:p>
              </w:tc>
              <w:tc>
                <w:tcPr>
                  <w:tcW w:w="567" w:type="pct"/>
                  <w:vAlign w:val="center"/>
                </w:tcPr>
                <w:p w14:paraId="0EAAD73B">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09C42951">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1363" w:type="pct"/>
                  <w:vMerge w:val="continue"/>
                  <w:vAlign w:val="center"/>
                </w:tcPr>
                <w:p w14:paraId="239A68E6">
                  <w:pPr>
                    <w:pStyle w:val="160"/>
                    <w:spacing w:line="240" w:lineRule="atLeast"/>
                    <w:rPr>
                      <w:rFonts w:hint="default" w:ascii="Times New Roman" w:hAnsi="Times New Roman" w:cs="Times New Roman"/>
                      <w:color w:val="auto"/>
                      <w:highlight w:val="none"/>
                      <w:lang w:val="en-US" w:eastAsia="zh-CN"/>
                    </w:rPr>
                  </w:pPr>
                </w:p>
              </w:tc>
            </w:tr>
            <w:tr w14:paraId="7BB806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Merge w:val="continue"/>
                  <w:vAlign w:val="center"/>
                </w:tcPr>
                <w:p w14:paraId="1849EFD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p>
              </w:tc>
              <w:tc>
                <w:tcPr>
                  <w:tcW w:w="980" w:type="pct"/>
                  <w:vMerge w:val="continue"/>
                  <w:vAlign w:val="center"/>
                </w:tcPr>
                <w:p w14:paraId="33B98B7E">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p>
              </w:tc>
              <w:tc>
                <w:tcPr>
                  <w:tcW w:w="1124" w:type="pct"/>
                  <w:vAlign w:val="center"/>
                </w:tcPr>
                <w:p w14:paraId="04501D95">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生产能力：0.06t/h</w:t>
                  </w:r>
                </w:p>
              </w:tc>
              <w:tc>
                <w:tcPr>
                  <w:tcW w:w="567" w:type="pct"/>
                  <w:vAlign w:val="center"/>
                </w:tcPr>
                <w:p w14:paraId="04F307E0">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6A65D0DD">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1363" w:type="pct"/>
                  <w:vMerge w:val="continue"/>
                  <w:vAlign w:val="center"/>
                </w:tcPr>
                <w:p w14:paraId="563A4B61">
                  <w:pPr>
                    <w:pStyle w:val="160"/>
                    <w:spacing w:line="240" w:lineRule="atLeast"/>
                    <w:rPr>
                      <w:rFonts w:hint="default" w:ascii="Times New Roman" w:hAnsi="Times New Roman" w:cs="Times New Roman"/>
                      <w:color w:val="auto"/>
                      <w:highlight w:val="none"/>
                      <w:lang w:val="en-US" w:eastAsia="zh-CN"/>
                    </w:rPr>
                  </w:pPr>
                </w:p>
              </w:tc>
            </w:tr>
            <w:tr w14:paraId="4DCCAA6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553AA86B">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980" w:type="pct"/>
                  <w:vAlign w:val="center"/>
                </w:tcPr>
                <w:p w14:paraId="125DA1D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低速断料机</w:t>
                  </w:r>
                </w:p>
              </w:tc>
              <w:tc>
                <w:tcPr>
                  <w:tcW w:w="1124" w:type="pct"/>
                  <w:vAlign w:val="center"/>
                </w:tcPr>
                <w:p w14:paraId="5C372290">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567" w:type="pct"/>
                  <w:vAlign w:val="center"/>
                </w:tcPr>
                <w:p w14:paraId="339CBD58">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065F8D5A">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30</w:t>
                  </w:r>
                </w:p>
              </w:tc>
              <w:tc>
                <w:tcPr>
                  <w:tcW w:w="1363" w:type="pct"/>
                  <w:vAlign w:val="center"/>
                </w:tcPr>
                <w:p w14:paraId="089DAFF9">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为注塑机配套设备，</w:t>
                  </w:r>
                  <w:r>
                    <w:rPr>
                      <w:rFonts w:hint="default" w:ascii="Times New Roman" w:hAnsi="Times New Roman" w:cs="Times New Roman"/>
                      <w:color w:val="auto"/>
                      <w:highlight w:val="none"/>
                      <w:lang w:val="en-US" w:eastAsia="zh-CN"/>
                    </w:rPr>
                    <w:t>用于</w:t>
                  </w:r>
                  <w:r>
                    <w:rPr>
                      <w:rFonts w:hint="eastAsia" w:cs="Times New Roman"/>
                      <w:color w:val="auto"/>
                      <w:highlight w:val="none"/>
                      <w:lang w:val="en-US" w:eastAsia="zh-CN"/>
                    </w:rPr>
                    <w:t>边角料剪切工序</w:t>
                  </w:r>
                </w:p>
              </w:tc>
            </w:tr>
            <w:tr w14:paraId="52225C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tcBorders>
                    <w:right w:val="single" w:color="auto" w:sz="4" w:space="0"/>
                  </w:tcBorders>
                  <w:vAlign w:val="center"/>
                </w:tcPr>
                <w:p w14:paraId="36EB2D8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980" w:type="pct"/>
                  <w:tcBorders>
                    <w:left w:val="single" w:color="auto" w:sz="4" w:space="0"/>
                    <w:right w:val="single" w:color="auto" w:sz="4" w:space="0"/>
                  </w:tcBorders>
                  <w:vAlign w:val="center"/>
                </w:tcPr>
                <w:p w14:paraId="2E509634">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粉碎机</w:t>
                  </w:r>
                </w:p>
              </w:tc>
              <w:tc>
                <w:tcPr>
                  <w:tcW w:w="1124" w:type="pct"/>
                  <w:tcBorders>
                    <w:left w:val="single" w:color="auto" w:sz="4" w:space="0"/>
                  </w:tcBorders>
                  <w:vAlign w:val="center"/>
                </w:tcPr>
                <w:p w14:paraId="50A75B7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生产能力：0.25t/h</w:t>
                  </w:r>
                </w:p>
              </w:tc>
              <w:tc>
                <w:tcPr>
                  <w:tcW w:w="567" w:type="pct"/>
                  <w:vAlign w:val="center"/>
                </w:tcPr>
                <w:p w14:paraId="70B86D8B">
                  <w:pPr>
                    <w:numPr>
                      <w:ilvl w:val="0"/>
                      <w:numId w:val="0"/>
                    </w:numPr>
                    <w:spacing w:line="240" w:lineRule="atLeast"/>
                    <w:ind w:left="0" w:leftChars="0" w:firstLine="0" w:firstLineChars="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015790E3">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w:t>
                  </w:r>
                </w:p>
              </w:tc>
              <w:tc>
                <w:tcPr>
                  <w:tcW w:w="1363" w:type="pct"/>
                  <w:vAlign w:val="center"/>
                </w:tcPr>
                <w:p w14:paraId="6D2BEC5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w:t>
                  </w:r>
                  <w:r>
                    <w:rPr>
                      <w:rFonts w:hint="eastAsia" w:cs="Times New Roman"/>
                      <w:color w:val="auto"/>
                      <w:highlight w:val="none"/>
                      <w:lang w:val="en-US" w:eastAsia="zh-CN"/>
                    </w:rPr>
                    <w:t>不合格品及退货订单产品粉碎工序</w:t>
                  </w:r>
                </w:p>
              </w:tc>
            </w:tr>
            <w:tr w14:paraId="774D74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899" w:type="pct"/>
                  <w:gridSpan w:val="4"/>
                  <w:tcBorders>
                    <w:right w:val="single" w:color="auto" w:sz="4" w:space="0"/>
                  </w:tcBorders>
                  <w:vAlign w:val="center"/>
                </w:tcPr>
                <w:p w14:paraId="2BA122CD">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合计</w:t>
                  </w:r>
                </w:p>
              </w:tc>
              <w:tc>
                <w:tcPr>
                  <w:tcW w:w="737" w:type="pct"/>
                  <w:tcBorders>
                    <w:left w:val="single" w:color="auto" w:sz="4" w:space="0"/>
                    <w:right w:val="single" w:color="auto" w:sz="4" w:space="0"/>
                  </w:tcBorders>
                  <w:vAlign w:val="center"/>
                </w:tcPr>
                <w:p w14:paraId="0B1D1420">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68</w:t>
                  </w:r>
                </w:p>
              </w:tc>
              <w:tc>
                <w:tcPr>
                  <w:tcW w:w="1363" w:type="pct"/>
                  <w:tcBorders>
                    <w:left w:val="single" w:color="auto" w:sz="4" w:space="0"/>
                  </w:tcBorders>
                  <w:vAlign w:val="center"/>
                </w:tcPr>
                <w:p w14:paraId="0D40DB1B">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0B6966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5000" w:type="pct"/>
                  <w:gridSpan w:val="6"/>
                  <w:vAlign w:val="center"/>
                </w:tcPr>
                <w:p w14:paraId="4E19278F">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配套设备及环保设备</w:t>
                  </w:r>
                </w:p>
              </w:tc>
            </w:tr>
            <w:tr w14:paraId="4737A2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tcBorders>
                    <w:right w:val="single" w:color="auto" w:sz="4" w:space="0"/>
                  </w:tcBorders>
                  <w:vAlign w:val="center"/>
                </w:tcPr>
                <w:p w14:paraId="4ECC1AF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980" w:type="pct"/>
                  <w:tcBorders>
                    <w:left w:val="single" w:color="auto" w:sz="4" w:space="0"/>
                    <w:right w:val="single" w:color="auto" w:sz="4" w:space="0"/>
                  </w:tcBorders>
                  <w:vAlign w:val="center"/>
                </w:tcPr>
                <w:p w14:paraId="7BC10CFB">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循环冷却机</w:t>
                  </w:r>
                </w:p>
              </w:tc>
              <w:tc>
                <w:tcPr>
                  <w:tcW w:w="1124" w:type="pct"/>
                  <w:tcBorders>
                    <w:left w:val="single" w:color="auto" w:sz="4" w:space="0"/>
                  </w:tcBorders>
                  <w:vAlign w:val="center"/>
                </w:tcPr>
                <w:p w14:paraId="6BAA644A">
                  <w:pPr>
                    <w:pStyle w:val="160"/>
                    <w:spacing w:line="240" w:lineRule="atLeast"/>
                    <w:rPr>
                      <w:rFonts w:hint="eastAsia" w:cs="Times New Roman"/>
                      <w:color w:val="auto"/>
                      <w:highlight w:val="none"/>
                      <w:lang w:val="en-US" w:eastAsia="zh-CN"/>
                    </w:rPr>
                  </w:pPr>
                  <w:r>
                    <w:rPr>
                      <w:rFonts w:hint="eastAsia" w:ascii="Times New Roman" w:hAnsi="Times New Roman" w:cs="Times New Roman"/>
                      <w:color w:val="auto"/>
                      <w:vertAlign w:val="baseline"/>
                      <w:lang w:val="en-US" w:eastAsia="zh-CN"/>
                    </w:rPr>
                    <w:t>/</w:t>
                  </w:r>
                </w:p>
              </w:tc>
              <w:tc>
                <w:tcPr>
                  <w:tcW w:w="567" w:type="pct"/>
                  <w:vAlign w:val="center"/>
                </w:tcPr>
                <w:p w14:paraId="0D1D9958">
                  <w:pPr>
                    <w:pStyle w:val="160"/>
                    <w:spacing w:line="240" w:lineRule="atLeast"/>
                    <w:rPr>
                      <w:rFonts w:hint="eastAsia"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3A5A907D">
                  <w:pPr>
                    <w:pStyle w:val="160"/>
                    <w:spacing w:line="240" w:lineRule="atLeast"/>
                    <w:rPr>
                      <w:rFonts w:hint="default" w:cs="Times New Roman"/>
                      <w:color w:val="auto"/>
                      <w:highlight w:val="none"/>
                      <w:lang w:val="en-US" w:eastAsia="zh-CN"/>
                    </w:rPr>
                  </w:pPr>
                  <w:r>
                    <w:rPr>
                      <w:rFonts w:hint="eastAsia" w:cs="Times New Roman"/>
                      <w:color w:val="auto"/>
                      <w:highlight w:val="none"/>
                      <w:lang w:val="en-US" w:eastAsia="zh-CN"/>
                    </w:rPr>
                    <w:t>5</w:t>
                  </w:r>
                </w:p>
              </w:tc>
              <w:tc>
                <w:tcPr>
                  <w:tcW w:w="1363" w:type="pct"/>
                  <w:vAlign w:val="center"/>
                </w:tcPr>
                <w:p w14:paraId="36A20317">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用于循环冷却水的冷却</w:t>
                  </w:r>
                </w:p>
              </w:tc>
            </w:tr>
            <w:tr w14:paraId="44F3F3C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tcBorders>
                    <w:right w:val="single" w:color="auto" w:sz="4" w:space="0"/>
                  </w:tcBorders>
                  <w:vAlign w:val="center"/>
                </w:tcPr>
                <w:p w14:paraId="59B3A3FD">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980" w:type="pct"/>
                  <w:tcBorders>
                    <w:left w:val="single" w:color="auto" w:sz="4" w:space="0"/>
                    <w:right w:val="single" w:color="auto" w:sz="4" w:space="0"/>
                  </w:tcBorders>
                  <w:vAlign w:val="center"/>
                </w:tcPr>
                <w:p w14:paraId="7204495E">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气泵</w:t>
                  </w:r>
                </w:p>
              </w:tc>
              <w:tc>
                <w:tcPr>
                  <w:tcW w:w="1124" w:type="pct"/>
                  <w:tcBorders>
                    <w:left w:val="single" w:color="auto" w:sz="4" w:space="0"/>
                  </w:tcBorders>
                  <w:vAlign w:val="center"/>
                </w:tcPr>
                <w:p w14:paraId="51F47EA1">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567" w:type="pct"/>
                  <w:vAlign w:val="center"/>
                </w:tcPr>
                <w:p w14:paraId="389C1CF1">
                  <w:pPr>
                    <w:pStyle w:val="160"/>
                    <w:spacing w:line="240" w:lineRule="atLeast"/>
                    <w:rPr>
                      <w:rFonts w:hint="eastAsia" w:cs="Times New Roman"/>
                      <w:color w:val="auto"/>
                      <w:highlight w:val="none"/>
                      <w:lang w:val="en-US" w:eastAsia="zh-CN"/>
                    </w:rPr>
                  </w:pPr>
                  <w:r>
                    <w:rPr>
                      <w:rFonts w:hint="eastAsia" w:ascii="Times New Roman" w:hAnsi="Times New Roman" w:eastAsia="宋体" w:cs="Times New Roman"/>
                      <w:color w:val="auto"/>
                      <w:highlight w:val="none"/>
                      <w:lang w:val="en-US" w:eastAsia="zh-CN"/>
                    </w:rPr>
                    <w:t>台</w:t>
                  </w:r>
                </w:p>
              </w:tc>
              <w:tc>
                <w:tcPr>
                  <w:tcW w:w="737" w:type="pct"/>
                  <w:vAlign w:val="center"/>
                </w:tcPr>
                <w:p w14:paraId="0075E641">
                  <w:pPr>
                    <w:pStyle w:val="160"/>
                    <w:spacing w:line="240" w:lineRule="atLeast"/>
                    <w:rPr>
                      <w:rFonts w:hint="default" w:cs="Times New Roman"/>
                      <w:color w:val="auto"/>
                      <w:highlight w:val="none"/>
                      <w:lang w:val="en-US" w:eastAsia="zh-CN"/>
                    </w:rPr>
                  </w:pPr>
                  <w:r>
                    <w:rPr>
                      <w:rFonts w:hint="eastAsia" w:cs="Times New Roman"/>
                      <w:color w:val="auto"/>
                      <w:highlight w:val="none"/>
                      <w:lang w:val="en-US" w:eastAsia="zh-CN"/>
                    </w:rPr>
                    <w:t>2</w:t>
                  </w:r>
                </w:p>
              </w:tc>
              <w:tc>
                <w:tcPr>
                  <w:tcW w:w="1363" w:type="pct"/>
                  <w:vAlign w:val="center"/>
                </w:tcPr>
                <w:p w14:paraId="45551162">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生产设备配套</w:t>
                  </w:r>
                </w:p>
              </w:tc>
            </w:tr>
            <w:tr w14:paraId="2A7A38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tcBorders>
                    <w:right w:val="single" w:color="auto" w:sz="4" w:space="0"/>
                  </w:tcBorders>
                  <w:vAlign w:val="center"/>
                </w:tcPr>
                <w:p w14:paraId="40CAAF9F">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980" w:type="pct"/>
                  <w:tcBorders>
                    <w:left w:val="single" w:color="auto" w:sz="4" w:space="0"/>
                    <w:right w:val="single" w:color="auto" w:sz="4" w:space="0"/>
                  </w:tcBorders>
                  <w:vAlign w:val="center"/>
                </w:tcPr>
                <w:p w14:paraId="69DB27B1">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活性炭吸附/脱附+催化燃烧装置</w:t>
                  </w:r>
                </w:p>
              </w:tc>
              <w:tc>
                <w:tcPr>
                  <w:tcW w:w="1124" w:type="pct"/>
                  <w:tcBorders>
                    <w:left w:val="single" w:color="auto" w:sz="4" w:space="0"/>
                  </w:tcBorders>
                  <w:vAlign w:val="center"/>
                </w:tcPr>
                <w:p w14:paraId="16ECCB60">
                  <w:pPr>
                    <w:widowControl w:val="0"/>
                    <w:autoSpaceDE w:val="0"/>
                    <w:autoSpaceDN w:val="0"/>
                    <w:bidi w:val="0"/>
                    <w:spacing w:line="240" w:lineRule="auto"/>
                    <w:ind w:firstLine="0" w:firstLineChars="0"/>
                    <w:jc w:val="center"/>
                    <w:rPr>
                      <w:rFonts w:hint="eastAsia" w:cs="Times New Roman"/>
                      <w:color w:val="auto"/>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15000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567" w:type="pct"/>
                  <w:vAlign w:val="center"/>
                </w:tcPr>
                <w:p w14:paraId="428A985B">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套</w:t>
                  </w:r>
                </w:p>
              </w:tc>
              <w:tc>
                <w:tcPr>
                  <w:tcW w:w="737" w:type="pct"/>
                  <w:vAlign w:val="center"/>
                </w:tcPr>
                <w:p w14:paraId="6CEE54F9">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1</w:t>
                  </w:r>
                </w:p>
              </w:tc>
              <w:tc>
                <w:tcPr>
                  <w:tcW w:w="1363" w:type="pct"/>
                  <w:vAlign w:val="center"/>
                </w:tcPr>
                <w:p w14:paraId="0403FCE5">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用于注塑废气治理</w:t>
                  </w:r>
                </w:p>
              </w:tc>
            </w:tr>
            <w:tr w14:paraId="6F156B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tcBorders>
                    <w:right w:val="single" w:color="auto" w:sz="4" w:space="0"/>
                  </w:tcBorders>
                  <w:vAlign w:val="center"/>
                </w:tcPr>
                <w:p w14:paraId="1AF87EB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980" w:type="pct"/>
                  <w:tcBorders>
                    <w:left w:val="single" w:color="auto" w:sz="4" w:space="0"/>
                    <w:right w:val="single" w:color="auto" w:sz="4" w:space="0"/>
                  </w:tcBorders>
                  <w:vAlign w:val="center"/>
                </w:tcPr>
                <w:p w14:paraId="38C8456A">
                  <w:pPr>
                    <w:pStyle w:val="160"/>
                    <w:spacing w:line="240" w:lineRule="atLeast"/>
                    <w:rPr>
                      <w:rFonts w:hint="eastAsia" w:cs="Times New Roman"/>
                      <w:color w:val="auto"/>
                      <w:highlight w:val="none"/>
                      <w:lang w:val="en-US" w:eastAsia="zh-CN"/>
                    </w:rPr>
                  </w:pPr>
                  <w:r>
                    <w:rPr>
                      <w:rFonts w:hint="eastAsia"/>
                      <w:color w:val="auto"/>
                      <w:lang w:val="en-US" w:eastAsia="zh-CN"/>
                    </w:rPr>
                    <w:t>布袋除尘器</w:t>
                  </w:r>
                </w:p>
              </w:tc>
              <w:tc>
                <w:tcPr>
                  <w:tcW w:w="1124" w:type="pct"/>
                  <w:tcBorders>
                    <w:left w:val="single" w:color="auto" w:sz="4" w:space="0"/>
                  </w:tcBorders>
                  <w:vAlign w:val="center"/>
                </w:tcPr>
                <w:p w14:paraId="36B5ED52">
                  <w:pPr>
                    <w:widowControl w:val="0"/>
                    <w:autoSpaceDE w:val="0"/>
                    <w:autoSpaceDN w:val="0"/>
                    <w:bidi w:val="0"/>
                    <w:spacing w:line="240" w:lineRule="auto"/>
                    <w:ind w:firstLine="0" w:firstLineChars="0"/>
                    <w:jc w:val="center"/>
                    <w:rPr>
                      <w:rFonts w:hint="eastAsia" w:cs="Times New Roman"/>
                      <w:color w:val="auto"/>
                      <w:highlight w:val="none"/>
                      <w:lang w:val="en-US" w:eastAsia="zh-CN"/>
                    </w:rPr>
                  </w:pPr>
                  <w:r>
                    <w:rPr>
                      <w:rFonts w:hint="eastAsia" w:ascii="Times New Roman" w:hAnsi="Times New Roman" w:eastAsia="宋体" w:cs="Times New Roman"/>
                      <w:b w:val="0"/>
                      <w:bCs w:val="0"/>
                      <w:color w:val="auto"/>
                      <w:kern w:val="2"/>
                      <w:sz w:val="21"/>
                      <w:szCs w:val="21"/>
                      <w:highlight w:val="none"/>
                      <w:lang w:val="en-US" w:eastAsia="zh-CN" w:bidi="ar-SA"/>
                    </w:rPr>
                    <w:t>3000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567" w:type="pct"/>
                  <w:vAlign w:val="center"/>
                </w:tcPr>
                <w:p w14:paraId="30F889EA">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套</w:t>
                  </w:r>
                </w:p>
              </w:tc>
              <w:tc>
                <w:tcPr>
                  <w:tcW w:w="737" w:type="pct"/>
                  <w:vAlign w:val="center"/>
                </w:tcPr>
                <w:p w14:paraId="7431E8B7">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1</w:t>
                  </w:r>
                </w:p>
              </w:tc>
              <w:tc>
                <w:tcPr>
                  <w:tcW w:w="1363" w:type="pct"/>
                  <w:vAlign w:val="center"/>
                </w:tcPr>
                <w:p w14:paraId="1006A74C">
                  <w:pPr>
                    <w:pStyle w:val="160"/>
                    <w:spacing w:line="240" w:lineRule="atLeast"/>
                    <w:rPr>
                      <w:rFonts w:hint="eastAsia" w:cs="Times New Roman"/>
                      <w:color w:val="auto"/>
                      <w:highlight w:val="none"/>
                      <w:lang w:val="en-US" w:eastAsia="zh-CN"/>
                    </w:rPr>
                  </w:pPr>
                  <w:r>
                    <w:rPr>
                      <w:rFonts w:hint="eastAsia" w:cs="Times New Roman"/>
                      <w:color w:val="auto"/>
                      <w:highlight w:val="none"/>
                      <w:lang w:val="en-US" w:eastAsia="zh-CN"/>
                    </w:rPr>
                    <w:t>用于粉碎废气治理</w:t>
                  </w:r>
                </w:p>
              </w:tc>
            </w:tr>
          </w:tbl>
          <w:p w14:paraId="5C47FA95">
            <w:pPr>
              <w:pStyle w:val="17"/>
              <w:rPr>
                <w:rFonts w:hint="default" w:ascii="Times New Roman" w:hAnsi="Times New Roman"/>
                <w:b/>
                <w:color w:val="auto"/>
                <w:szCs w:val="24"/>
                <w:highlight w:val="yellow"/>
              </w:rPr>
            </w:pPr>
          </w:p>
          <w:p w14:paraId="7AC1417C">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5、</w:t>
            </w:r>
            <w:r>
              <w:rPr>
                <w:rFonts w:ascii="Times New Roman" w:hAnsi="Times New Roman" w:eastAsia="宋体" w:cs="Times New Roman"/>
                <w:b/>
                <w:bCs/>
                <w:color w:val="auto"/>
                <w:sz w:val="24"/>
                <w:highlight w:val="none"/>
              </w:rPr>
              <w:t>主要原辅材料</w:t>
            </w:r>
          </w:p>
          <w:p w14:paraId="2612DC02">
            <w:pPr>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snapToGrid w:val="0"/>
                <w:color w:val="auto"/>
                <w:kern w:val="0"/>
                <w:sz w:val="24"/>
                <w:highlight w:val="none"/>
              </w:rPr>
              <w:t>原材料消耗详见下表</w:t>
            </w:r>
            <w:r>
              <w:rPr>
                <w:rFonts w:ascii="Times New Roman" w:hAnsi="Times New Roman" w:eastAsia="宋体" w:cs="Times New Roman"/>
                <w:color w:val="auto"/>
                <w:sz w:val="24"/>
                <w:highlight w:val="none"/>
              </w:rPr>
              <w:t>。</w:t>
            </w:r>
          </w:p>
          <w:p w14:paraId="6838776F">
            <w:pPr>
              <w:spacing w:before="156" w:beforeLines="50"/>
              <w:jc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表2-</w:t>
            </w:r>
            <w:r>
              <w:rPr>
                <w:rFonts w:hint="eastAsia" w:ascii="Times New Roman" w:hAnsi="Times New Roman" w:eastAsia="宋体" w:cs="Times New Roman"/>
                <w:b/>
                <w:color w:val="auto"/>
                <w:sz w:val="24"/>
                <w:highlight w:val="none"/>
                <w:lang w:val="en-US" w:eastAsia="zh-CN"/>
              </w:rPr>
              <w:t>4</w:t>
            </w:r>
            <w:r>
              <w:rPr>
                <w:rFonts w:ascii="Times New Roman" w:hAnsi="Times New Roman" w:eastAsia="宋体" w:cs="Times New Roman"/>
                <w:b/>
                <w:color w:val="auto"/>
                <w:sz w:val="24"/>
                <w:highlight w:val="none"/>
              </w:rPr>
              <w:t xml:space="preserve">  原材料消耗一览表</w:t>
            </w:r>
          </w:p>
          <w:tbl>
            <w:tblPr>
              <w:tblStyle w:val="161"/>
              <w:tblW w:w="4995"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64"/>
              <w:gridCol w:w="1315"/>
              <w:gridCol w:w="948"/>
              <w:gridCol w:w="1293"/>
              <w:gridCol w:w="1749"/>
              <w:gridCol w:w="1455"/>
              <w:gridCol w:w="1121"/>
              <w:gridCol w:w="1078"/>
            </w:tblGrid>
            <w:tr w14:paraId="5B7EBB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246" w:type="pct"/>
                  <w:vAlign w:val="center"/>
                </w:tcPr>
                <w:p w14:paraId="6FD0DE8C">
                  <w:pPr>
                    <w:pStyle w:val="160"/>
                    <w:spacing w:line="240" w:lineRule="atLeast"/>
                    <w:jc w:val="center"/>
                    <w:rPr>
                      <w:rFonts w:hint="eastAsia" w:eastAsia="宋体"/>
                      <w:b/>
                      <w:bCs/>
                      <w:color w:val="auto"/>
                      <w:sz w:val="21"/>
                      <w:szCs w:val="21"/>
                      <w:highlight w:val="none"/>
                      <w:lang w:eastAsia="zh-CN"/>
                    </w:rPr>
                  </w:pPr>
                  <w:r>
                    <w:rPr>
                      <w:rFonts w:hint="eastAsia"/>
                      <w:b/>
                      <w:bCs/>
                      <w:color w:val="auto"/>
                      <w:sz w:val="21"/>
                      <w:szCs w:val="21"/>
                      <w:highlight w:val="none"/>
                      <w:lang w:eastAsia="zh-CN"/>
                    </w:rPr>
                    <w:t>序号</w:t>
                  </w:r>
                </w:p>
              </w:tc>
              <w:tc>
                <w:tcPr>
                  <w:tcW w:w="698" w:type="pct"/>
                  <w:vAlign w:val="center"/>
                </w:tcPr>
                <w:p w14:paraId="7175286F">
                  <w:pPr>
                    <w:pStyle w:val="160"/>
                    <w:spacing w:line="240" w:lineRule="atLeast"/>
                    <w:jc w:val="center"/>
                    <w:rPr>
                      <w:b/>
                      <w:bCs/>
                      <w:color w:val="auto"/>
                      <w:sz w:val="21"/>
                      <w:szCs w:val="21"/>
                      <w:highlight w:val="none"/>
                    </w:rPr>
                  </w:pPr>
                  <w:r>
                    <w:rPr>
                      <w:rFonts w:hint="eastAsia"/>
                      <w:b/>
                      <w:bCs/>
                      <w:color w:val="auto"/>
                      <w:sz w:val="21"/>
                      <w:szCs w:val="21"/>
                      <w:highlight w:val="none"/>
                    </w:rPr>
                    <w:t>原辅料名称</w:t>
                  </w:r>
                </w:p>
              </w:tc>
              <w:tc>
                <w:tcPr>
                  <w:tcW w:w="503" w:type="pct"/>
                  <w:vAlign w:val="center"/>
                </w:tcPr>
                <w:p w14:paraId="2905D127">
                  <w:pPr>
                    <w:pStyle w:val="160"/>
                    <w:spacing w:line="240" w:lineRule="atLeast"/>
                    <w:jc w:val="center"/>
                    <w:rPr>
                      <w:rFonts w:hint="eastAsia" w:eastAsia="宋体"/>
                      <w:b/>
                      <w:bCs/>
                      <w:color w:val="auto"/>
                      <w:sz w:val="21"/>
                      <w:szCs w:val="21"/>
                      <w:highlight w:val="none"/>
                      <w:lang w:eastAsia="zh-CN"/>
                    </w:rPr>
                  </w:pPr>
                  <w:r>
                    <w:rPr>
                      <w:rFonts w:hint="eastAsia"/>
                      <w:b/>
                      <w:bCs/>
                      <w:color w:val="auto"/>
                      <w:sz w:val="21"/>
                      <w:szCs w:val="21"/>
                      <w:highlight w:val="none"/>
                      <w:lang w:eastAsia="zh-CN"/>
                    </w:rPr>
                    <w:t>单位</w:t>
                  </w:r>
                </w:p>
              </w:tc>
              <w:tc>
                <w:tcPr>
                  <w:tcW w:w="686" w:type="pct"/>
                  <w:tcBorders>
                    <w:left w:val="single" w:color="auto" w:sz="4" w:space="0"/>
                  </w:tcBorders>
                  <w:vAlign w:val="center"/>
                </w:tcPr>
                <w:p w14:paraId="7D6162CA">
                  <w:pPr>
                    <w:pStyle w:val="160"/>
                    <w:spacing w:line="240" w:lineRule="atLeast"/>
                    <w:jc w:val="center"/>
                    <w:rPr>
                      <w:rFonts w:hint="eastAsia"/>
                      <w:b/>
                      <w:bCs/>
                      <w:color w:val="auto"/>
                      <w:sz w:val="21"/>
                      <w:szCs w:val="21"/>
                      <w:highlight w:val="none"/>
                      <w:lang w:eastAsia="zh-CN"/>
                    </w:rPr>
                  </w:pPr>
                  <w:r>
                    <w:rPr>
                      <w:rFonts w:hint="eastAsia"/>
                      <w:b/>
                      <w:bCs/>
                      <w:color w:val="auto"/>
                      <w:sz w:val="21"/>
                      <w:szCs w:val="21"/>
                      <w:highlight w:val="none"/>
                      <w:lang w:eastAsia="zh-CN"/>
                    </w:rPr>
                    <w:t>年消耗量</w:t>
                  </w:r>
                </w:p>
              </w:tc>
              <w:tc>
                <w:tcPr>
                  <w:tcW w:w="928" w:type="pct"/>
                  <w:vAlign w:val="center"/>
                </w:tcPr>
                <w:p w14:paraId="67C2AD4C">
                  <w:pPr>
                    <w:pStyle w:val="160"/>
                    <w:spacing w:line="240" w:lineRule="atLeast"/>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形态</w:t>
                  </w:r>
                </w:p>
              </w:tc>
              <w:tc>
                <w:tcPr>
                  <w:tcW w:w="772" w:type="pct"/>
                  <w:vAlign w:val="center"/>
                </w:tcPr>
                <w:p w14:paraId="0427636E">
                  <w:pPr>
                    <w:pStyle w:val="160"/>
                    <w:spacing w:line="240" w:lineRule="atLeast"/>
                    <w:jc w:val="center"/>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存放位置</w:t>
                  </w:r>
                </w:p>
              </w:tc>
              <w:tc>
                <w:tcPr>
                  <w:tcW w:w="595" w:type="pct"/>
                  <w:vAlign w:val="center"/>
                </w:tcPr>
                <w:p w14:paraId="39B94DBF">
                  <w:pPr>
                    <w:pStyle w:val="160"/>
                    <w:spacing w:line="240" w:lineRule="atLeast"/>
                    <w:jc w:val="center"/>
                    <w:rPr>
                      <w:rFonts w:hint="eastAsia" w:eastAsia="宋体"/>
                      <w:b/>
                      <w:bCs/>
                      <w:color w:val="auto"/>
                      <w:sz w:val="21"/>
                      <w:szCs w:val="21"/>
                      <w:highlight w:val="none"/>
                      <w:lang w:eastAsia="zh-CN"/>
                    </w:rPr>
                  </w:pPr>
                  <w:r>
                    <w:rPr>
                      <w:rFonts w:hint="eastAsia"/>
                      <w:b/>
                      <w:bCs/>
                      <w:color w:val="auto"/>
                      <w:sz w:val="21"/>
                      <w:szCs w:val="21"/>
                      <w:highlight w:val="none"/>
                      <w:lang w:eastAsia="zh-CN"/>
                    </w:rPr>
                    <w:t>厂内最大存放量</w:t>
                  </w:r>
                </w:p>
              </w:tc>
              <w:tc>
                <w:tcPr>
                  <w:tcW w:w="567" w:type="pct"/>
                  <w:vAlign w:val="center"/>
                </w:tcPr>
                <w:p w14:paraId="7F180FDF">
                  <w:pPr>
                    <w:pStyle w:val="160"/>
                    <w:spacing w:line="240" w:lineRule="atLeast"/>
                    <w:jc w:val="center"/>
                    <w:rPr>
                      <w:rFonts w:hint="eastAsia"/>
                      <w:b/>
                      <w:bCs/>
                      <w:color w:val="auto"/>
                      <w:sz w:val="21"/>
                      <w:szCs w:val="21"/>
                      <w:highlight w:val="none"/>
                      <w:lang w:eastAsia="zh-CN"/>
                    </w:rPr>
                  </w:pPr>
                  <w:r>
                    <w:rPr>
                      <w:rFonts w:hint="eastAsia"/>
                      <w:b/>
                      <w:bCs/>
                      <w:color w:val="auto"/>
                      <w:sz w:val="21"/>
                      <w:szCs w:val="21"/>
                      <w:highlight w:val="none"/>
                      <w:lang w:eastAsia="zh-CN"/>
                    </w:rPr>
                    <w:t>备注</w:t>
                  </w:r>
                </w:p>
              </w:tc>
            </w:tr>
            <w:tr w14:paraId="1F122C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564A3C81">
                  <w:pPr>
                    <w:pStyle w:val="160"/>
                    <w:spacing w:line="240" w:lineRule="atLeast"/>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原辅材料消耗</w:t>
                  </w:r>
                </w:p>
              </w:tc>
            </w:tr>
            <w:tr w14:paraId="17D77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46" w:type="pct"/>
                  <w:vAlign w:val="center"/>
                </w:tcPr>
                <w:p w14:paraId="02A034BC">
                  <w:pPr>
                    <w:numPr>
                      <w:ilvl w:val="0"/>
                      <w:numId w:val="0"/>
                    </w:numPr>
                    <w:spacing w:line="240" w:lineRule="atLeast"/>
                    <w:ind w:left="0" w:leftChars="0" w:firstLine="0" w:firstLineChars="0"/>
                    <w:jc w:val="center"/>
                    <w:rPr>
                      <w:rFonts w:hint="eastAsia" w:eastAsia="宋体"/>
                      <w:color w:val="auto"/>
                      <w:sz w:val="21"/>
                      <w:szCs w:val="21"/>
                      <w:highlight w:val="none"/>
                      <w:lang w:val="en-US" w:eastAsia="zh-CN"/>
                    </w:rPr>
                  </w:pPr>
                  <w:r>
                    <w:rPr>
                      <w:rFonts w:hint="default" w:ascii="Times New Roman" w:hAnsi="Times New Roman" w:cs="Times New Roman"/>
                      <w:vertAlign w:val="baseline"/>
                      <w:lang w:val="en-US" w:eastAsia="zh-CN"/>
                    </w:rPr>
                    <w:t>1</w:t>
                  </w:r>
                </w:p>
              </w:tc>
              <w:tc>
                <w:tcPr>
                  <w:tcW w:w="698" w:type="pct"/>
                  <w:vAlign w:val="center"/>
                </w:tcPr>
                <w:p w14:paraId="6E9E6F62">
                  <w:pPr>
                    <w:spacing w:line="240" w:lineRule="atLeast"/>
                    <w:jc w:val="center"/>
                    <w:rPr>
                      <w:rFonts w:hint="default"/>
                      <w:color w:val="auto"/>
                      <w:sz w:val="21"/>
                      <w:szCs w:val="21"/>
                      <w:highlight w:val="none"/>
                      <w:lang w:val="en-US" w:eastAsia="zh-CN"/>
                    </w:rPr>
                  </w:pPr>
                  <w:r>
                    <w:rPr>
                      <w:rFonts w:hint="eastAsia" w:ascii="Times New Roman" w:hAnsi="Times New Roman"/>
                      <w:color w:val="auto"/>
                      <w:szCs w:val="21"/>
                      <w:lang w:val="en-US" w:eastAsia="zh-CN"/>
                    </w:rPr>
                    <w:t>PP</w:t>
                  </w:r>
                  <w:r>
                    <w:rPr>
                      <w:rFonts w:hint="eastAsia" w:ascii="Times New Roman" w:hAnsi="Times New Roman"/>
                      <w:color w:val="auto"/>
                      <w:szCs w:val="21"/>
                      <w:highlight w:val="none"/>
                      <w:lang w:val="en-US" w:eastAsia="zh-CN"/>
                    </w:rPr>
                    <w:t>颗粒（原包料）</w:t>
                  </w:r>
                </w:p>
              </w:tc>
              <w:tc>
                <w:tcPr>
                  <w:tcW w:w="503" w:type="pct"/>
                  <w:tcBorders>
                    <w:right w:val="single" w:color="auto" w:sz="4" w:space="0"/>
                  </w:tcBorders>
                  <w:vAlign w:val="center"/>
                </w:tcPr>
                <w:p w14:paraId="1882681F">
                  <w:pPr>
                    <w:numPr>
                      <w:ilvl w:val="0"/>
                      <w:numId w:val="0"/>
                    </w:numPr>
                    <w:spacing w:line="240" w:lineRule="atLeast"/>
                    <w:ind w:left="0" w:leftChars="0" w:firstLine="0" w:firstLineChars="0"/>
                    <w:jc w:val="center"/>
                    <w:rPr>
                      <w:rFonts w:hint="eastAsia" w:eastAsia="宋体"/>
                      <w:color w:val="auto"/>
                      <w:sz w:val="21"/>
                      <w:szCs w:val="21"/>
                      <w:highlight w:val="none"/>
                      <w:lang w:eastAsia="zh-CN"/>
                    </w:rPr>
                  </w:pPr>
                  <w:r>
                    <w:rPr>
                      <w:rFonts w:hint="eastAsia" w:ascii="Times New Roman" w:hAnsi="Times New Roman" w:cs="Times New Roman"/>
                      <w:vertAlign w:val="baseline"/>
                      <w:lang w:val="en-US" w:eastAsia="zh-CN"/>
                    </w:rPr>
                    <w:t>t/a</w:t>
                  </w:r>
                </w:p>
              </w:tc>
              <w:tc>
                <w:tcPr>
                  <w:tcW w:w="686" w:type="pct"/>
                  <w:tcBorders>
                    <w:bottom w:val="single" w:color="auto" w:sz="4" w:space="0"/>
                  </w:tcBorders>
                  <w:vAlign w:val="center"/>
                </w:tcPr>
                <w:p w14:paraId="74A5D3FD">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5700</w:t>
                  </w:r>
                </w:p>
              </w:tc>
              <w:tc>
                <w:tcPr>
                  <w:tcW w:w="928" w:type="pct"/>
                  <w:tcBorders>
                    <w:bottom w:val="single" w:color="auto" w:sz="4" w:space="0"/>
                  </w:tcBorders>
                  <w:vAlign w:val="center"/>
                </w:tcPr>
                <w:p w14:paraId="34D51D3E">
                  <w:pPr>
                    <w:spacing w:line="240" w:lineRule="atLeast"/>
                    <w:jc w:val="center"/>
                    <w:rPr>
                      <w:rFonts w:hint="eastAsia" w:eastAsia="宋体"/>
                      <w:color w:val="auto"/>
                      <w:sz w:val="21"/>
                      <w:szCs w:val="21"/>
                      <w:highlight w:val="none"/>
                      <w:lang w:eastAsia="zh-CN"/>
                    </w:rPr>
                  </w:pPr>
                  <w:r>
                    <w:rPr>
                      <w:rFonts w:hint="eastAsia" w:ascii="Times New Roman" w:hAnsi="Times New Roman"/>
                      <w:color w:val="auto"/>
                      <w:szCs w:val="21"/>
                      <w:lang w:eastAsia="zh-CN"/>
                    </w:rPr>
                    <w:t>颗粒</w:t>
                  </w:r>
                  <w:r>
                    <w:rPr>
                      <w:rFonts w:hint="eastAsia" w:ascii="Times New Roman" w:hAnsi="Times New Roman" w:cs="Times New Roman"/>
                      <w:b w:val="0"/>
                      <w:bCs w:val="0"/>
                      <w:color w:val="auto"/>
                      <w:sz w:val="21"/>
                      <w:szCs w:val="21"/>
                      <w:lang w:val="en-US" w:eastAsia="zh-CN" w:bidi="ar"/>
                    </w:rPr>
                    <w:t>直径2-5mm</w:t>
                  </w:r>
                  <w:r>
                    <w:rPr>
                      <w:rFonts w:hint="eastAsia" w:ascii="Times New Roman" w:hAnsi="Times New Roman"/>
                      <w:color w:val="auto"/>
                      <w:szCs w:val="21"/>
                      <w:lang w:eastAsia="zh-CN"/>
                    </w:rPr>
                    <w:t>，袋装</w:t>
                  </w:r>
                </w:p>
              </w:tc>
              <w:tc>
                <w:tcPr>
                  <w:tcW w:w="772" w:type="pct"/>
                  <w:tcBorders>
                    <w:bottom w:val="single" w:color="auto" w:sz="4" w:space="0"/>
                  </w:tcBorders>
                  <w:vAlign w:val="center"/>
                </w:tcPr>
                <w:p w14:paraId="081B198E">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原料存放区</w:t>
                  </w:r>
                </w:p>
              </w:tc>
              <w:tc>
                <w:tcPr>
                  <w:tcW w:w="595" w:type="pct"/>
                  <w:tcBorders>
                    <w:bottom w:val="single" w:color="auto" w:sz="4" w:space="0"/>
                  </w:tcBorders>
                  <w:vAlign w:val="center"/>
                </w:tcPr>
                <w:p w14:paraId="675BDA83">
                  <w:pPr>
                    <w:pStyle w:val="160"/>
                    <w:spacing w:line="240" w:lineRule="atLeas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200</w:t>
                  </w:r>
                </w:p>
              </w:tc>
              <w:tc>
                <w:tcPr>
                  <w:tcW w:w="567" w:type="pct"/>
                  <w:vMerge w:val="restart"/>
                  <w:vAlign w:val="center"/>
                </w:tcPr>
                <w:p w14:paraId="63E332AC">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注塑工序</w:t>
                  </w:r>
                </w:p>
              </w:tc>
            </w:tr>
            <w:tr w14:paraId="726774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1F43A188">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color w:val="auto"/>
                      <w:vertAlign w:val="baseline"/>
                      <w:lang w:val="en-US" w:eastAsia="zh-CN"/>
                    </w:rPr>
                    <w:t>2</w:t>
                  </w:r>
                </w:p>
              </w:tc>
              <w:tc>
                <w:tcPr>
                  <w:tcW w:w="698" w:type="pct"/>
                  <w:vAlign w:val="center"/>
                </w:tcPr>
                <w:p w14:paraId="3D65116F">
                  <w:pPr>
                    <w:spacing w:line="240" w:lineRule="atLeast"/>
                    <w:jc w:val="center"/>
                    <w:rPr>
                      <w:rFonts w:hint="eastAsia" w:ascii="Times New Roman" w:hAnsi="Times New Roman" w:cs="Times New Roman"/>
                      <w:vertAlign w:val="baseline"/>
                      <w:lang w:val="en-US" w:eastAsia="zh-CN"/>
                    </w:rPr>
                  </w:pPr>
                  <w:r>
                    <w:rPr>
                      <w:rFonts w:hint="eastAsia" w:ascii="Times New Roman" w:hAnsi="Times New Roman"/>
                      <w:color w:val="auto"/>
                      <w:szCs w:val="21"/>
                      <w:highlight w:val="none"/>
                      <w:lang w:val="en-US" w:eastAsia="zh-CN"/>
                    </w:rPr>
                    <w:t>PE颗粒（原包料）</w:t>
                  </w:r>
                </w:p>
              </w:tc>
              <w:tc>
                <w:tcPr>
                  <w:tcW w:w="503" w:type="pct"/>
                  <w:tcBorders>
                    <w:right w:val="single" w:color="auto" w:sz="4" w:space="0"/>
                  </w:tcBorders>
                  <w:vAlign w:val="center"/>
                </w:tcPr>
                <w:p w14:paraId="5342E5B5">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AAB15C8">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3800</w:t>
                  </w:r>
                </w:p>
              </w:tc>
              <w:tc>
                <w:tcPr>
                  <w:tcW w:w="928" w:type="pct"/>
                  <w:tcBorders>
                    <w:bottom w:val="single" w:color="auto" w:sz="4" w:space="0"/>
                  </w:tcBorders>
                  <w:vAlign w:val="center"/>
                </w:tcPr>
                <w:p w14:paraId="6506104A">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颗粒</w:t>
                  </w:r>
                  <w:r>
                    <w:rPr>
                      <w:rFonts w:hint="eastAsia" w:ascii="Times New Roman" w:hAnsi="Times New Roman" w:cs="Times New Roman"/>
                      <w:b w:val="0"/>
                      <w:bCs w:val="0"/>
                      <w:color w:val="auto"/>
                      <w:sz w:val="21"/>
                      <w:szCs w:val="21"/>
                      <w:lang w:val="en-US" w:eastAsia="zh-CN" w:bidi="ar"/>
                    </w:rPr>
                    <w:t>直径2-5mm</w:t>
                  </w:r>
                  <w:r>
                    <w:rPr>
                      <w:rFonts w:hint="eastAsia" w:ascii="Times New Roman" w:hAnsi="Times New Roman"/>
                      <w:color w:val="auto"/>
                      <w:szCs w:val="21"/>
                      <w:lang w:eastAsia="zh-CN"/>
                    </w:rPr>
                    <w:t>，袋装</w:t>
                  </w:r>
                </w:p>
              </w:tc>
              <w:tc>
                <w:tcPr>
                  <w:tcW w:w="772" w:type="pct"/>
                  <w:tcBorders>
                    <w:bottom w:val="single" w:color="auto" w:sz="4" w:space="0"/>
                  </w:tcBorders>
                  <w:vAlign w:val="center"/>
                </w:tcPr>
                <w:p w14:paraId="45602743">
                  <w:pPr>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原料存放区</w:t>
                  </w:r>
                </w:p>
              </w:tc>
              <w:tc>
                <w:tcPr>
                  <w:tcW w:w="595" w:type="pct"/>
                  <w:tcBorders>
                    <w:top w:val="single" w:color="auto" w:sz="4" w:space="0"/>
                    <w:bottom w:val="single" w:color="auto" w:sz="4" w:space="0"/>
                  </w:tcBorders>
                  <w:vAlign w:val="center"/>
                </w:tcPr>
                <w:p w14:paraId="4AB0EC48">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130</w:t>
                  </w:r>
                </w:p>
              </w:tc>
              <w:tc>
                <w:tcPr>
                  <w:tcW w:w="567" w:type="pct"/>
                  <w:vMerge w:val="continue"/>
                  <w:vAlign w:val="center"/>
                </w:tcPr>
                <w:p w14:paraId="590EF685">
                  <w:pPr>
                    <w:pStyle w:val="160"/>
                    <w:spacing w:line="240" w:lineRule="atLeast"/>
                    <w:jc w:val="center"/>
                    <w:rPr>
                      <w:rFonts w:hint="eastAsia"/>
                      <w:color w:val="auto"/>
                      <w:sz w:val="21"/>
                      <w:szCs w:val="21"/>
                      <w:highlight w:val="none"/>
                      <w:lang w:val="en-US" w:eastAsia="zh-CN"/>
                    </w:rPr>
                  </w:pPr>
                </w:p>
              </w:tc>
            </w:tr>
            <w:tr w14:paraId="1ABE6F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2725C9B3">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color w:val="auto"/>
                      <w:vertAlign w:val="baseline"/>
                      <w:lang w:val="en-US" w:eastAsia="zh-CN"/>
                    </w:rPr>
                    <w:t>3</w:t>
                  </w:r>
                </w:p>
              </w:tc>
              <w:tc>
                <w:tcPr>
                  <w:tcW w:w="698" w:type="pct"/>
                  <w:vAlign w:val="center"/>
                </w:tcPr>
                <w:p w14:paraId="1E1264A2">
                  <w:pPr>
                    <w:spacing w:line="240" w:lineRule="atLeast"/>
                    <w:jc w:val="center"/>
                    <w:rPr>
                      <w:rFonts w:hint="eastAsia" w:ascii="Times New Roman" w:hAnsi="Times New Roman" w:cs="Times New Roman"/>
                      <w:vertAlign w:val="baseline"/>
                      <w:lang w:val="en-US" w:eastAsia="zh-CN"/>
                    </w:rPr>
                  </w:pPr>
                  <w:r>
                    <w:rPr>
                      <w:rFonts w:hint="eastAsia" w:ascii="Times New Roman" w:hAnsi="Times New Roman"/>
                      <w:color w:val="auto"/>
                      <w:szCs w:val="21"/>
                      <w:highlight w:val="none"/>
                      <w:lang w:val="en-US" w:eastAsia="zh-CN"/>
                    </w:rPr>
                    <w:t>色母颗粒</w:t>
                  </w:r>
                </w:p>
              </w:tc>
              <w:tc>
                <w:tcPr>
                  <w:tcW w:w="503" w:type="pct"/>
                  <w:tcBorders>
                    <w:right w:val="single" w:color="auto" w:sz="4" w:space="0"/>
                  </w:tcBorders>
                  <w:vAlign w:val="center"/>
                </w:tcPr>
                <w:p w14:paraId="5F36E2BA">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6029A32F">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500</w:t>
                  </w:r>
                </w:p>
              </w:tc>
              <w:tc>
                <w:tcPr>
                  <w:tcW w:w="928" w:type="pct"/>
                  <w:tcBorders>
                    <w:bottom w:val="single" w:color="auto" w:sz="4" w:space="0"/>
                  </w:tcBorders>
                  <w:vAlign w:val="center"/>
                </w:tcPr>
                <w:p w14:paraId="5634DDFD">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颗粒</w:t>
                  </w:r>
                  <w:r>
                    <w:rPr>
                      <w:rFonts w:hint="eastAsia" w:ascii="Times New Roman" w:hAnsi="Times New Roman" w:cs="Times New Roman"/>
                      <w:b w:val="0"/>
                      <w:bCs w:val="0"/>
                      <w:color w:val="auto"/>
                      <w:sz w:val="21"/>
                      <w:szCs w:val="21"/>
                      <w:lang w:val="en-US" w:eastAsia="zh-CN" w:bidi="ar"/>
                    </w:rPr>
                    <w:t>直径2-5mm</w:t>
                  </w:r>
                  <w:r>
                    <w:rPr>
                      <w:rFonts w:hint="eastAsia" w:ascii="Times New Roman" w:hAnsi="Times New Roman"/>
                      <w:color w:val="auto"/>
                      <w:szCs w:val="21"/>
                      <w:lang w:eastAsia="zh-CN"/>
                    </w:rPr>
                    <w:t>，袋装</w:t>
                  </w:r>
                </w:p>
              </w:tc>
              <w:tc>
                <w:tcPr>
                  <w:tcW w:w="772" w:type="pct"/>
                  <w:tcBorders>
                    <w:bottom w:val="single" w:color="auto" w:sz="4" w:space="0"/>
                  </w:tcBorders>
                  <w:vAlign w:val="center"/>
                </w:tcPr>
                <w:p w14:paraId="43900C90">
                  <w:pPr>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原料存放区</w:t>
                  </w:r>
                </w:p>
              </w:tc>
              <w:tc>
                <w:tcPr>
                  <w:tcW w:w="595" w:type="pct"/>
                  <w:tcBorders>
                    <w:top w:val="single" w:color="auto" w:sz="4" w:space="0"/>
                    <w:bottom w:val="single" w:color="auto" w:sz="4" w:space="0"/>
                  </w:tcBorders>
                  <w:vAlign w:val="center"/>
                </w:tcPr>
                <w:p w14:paraId="4AE46E87">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20</w:t>
                  </w:r>
                </w:p>
              </w:tc>
              <w:tc>
                <w:tcPr>
                  <w:tcW w:w="567" w:type="pct"/>
                  <w:vMerge w:val="continue"/>
                  <w:tcBorders>
                    <w:bottom w:val="single" w:color="auto" w:sz="4" w:space="0"/>
                  </w:tcBorders>
                  <w:vAlign w:val="center"/>
                </w:tcPr>
                <w:p w14:paraId="4610D353">
                  <w:pPr>
                    <w:pStyle w:val="160"/>
                    <w:spacing w:line="240" w:lineRule="atLeast"/>
                    <w:jc w:val="center"/>
                    <w:rPr>
                      <w:rFonts w:hint="eastAsia"/>
                      <w:color w:val="auto"/>
                      <w:sz w:val="21"/>
                      <w:szCs w:val="21"/>
                      <w:highlight w:val="none"/>
                      <w:lang w:val="en-US" w:eastAsia="zh-CN"/>
                    </w:rPr>
                  </w:pPr>
                </w:p>
              </w:tc>
            </w:tr>
            <w:tr w14:paraId="57168C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6EDCF6CF">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color w:val="auto"/>
                      <w:vertAlign w:val="baseline"/>
                      <w:lang w:val="en-US" w:eastAsia="zh-CN"/>
                    </w:rPr>
                    <w:t>4</w:t>
                  </w:r>
                </w:p>
              </w:tc>
              <w:tc>
                <w:tcPr>
                  <w:tcW w:w="698" w:type="pct"/>
                  <w:vAlign w:val="center"/>
                </w:tcPr>
                <w:p w14:paraId="4A9CE4E5">
                  <w:pPr>
                    <w:pStyle w:val="160"/>
                    <w:spacing w:line="240" w:lineRule="atLeast"/>
                    <w:jc w:val="center"/>
                    <w:rPr>
                      <w:rFonts w:hint="eastAsia" w:ascii="Times New Roman" w:hAnsi="Times New Roman" w:cs="Times New Roman"/>
                      <w:vertAlign w:val="baseline"/>
                      <w:lang w:val="en-US" w:eastAsia="zh-CN"/>
                    </w:rPr>
                  </w:pPr>
                  <w:r>
                    <w:rPr>
                      <w:rFonts w:hint="eastAsia"/>
                      <w:color w:val="auto"/>
                      <w:sz w:val="21"/>
                      <w:szCs w:val="21"/>
                      <w:highlight w:val="none"/>
                      <w:lang w:eastAsia="zh-CN"/>
                    </w:rPr>
                    <w:t>机油</w:t>
                  </w:r>
                </w:p>
              </w:tc>
              <w:tc>
                <w:tcPr>
                  <w:tcW w:w="503" w:type="pct"/>
                  <w:tcBorders>
                    <w:right w:val="single" w:color="auto" w:sz="4" w:space="0"/>
                  </w:tcBorders>
                  <w:vAlign w:val="center"/>
                </w:tcPr>
                <w:p w14:paraId="6A7A9377">
                  <w:pPr>
                    <w:spacing w:line="240" w:lineRule="atLeast"/>
                    <w:jc w:val="center"/>
                    <w:rPr>
                      <w:rFonts w:hint="eastAsia" w:ascii="Times New Roman" w:hAnsi="Times New Roman" w:cs="Times New Roman"/>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0FE512B">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0.2</w:t>
                  </w:r>
                </w:p>
              </w:tc>
              <w:tc>
                <w:tcPr>
                  <w:tcW w:w="928" w:type="pct"/>
                  <w:tcBorders>
                    <w:bottom w:val="single" w:color="auto" w:sz="4" w:space="0"/>
                  </w:tcBorders>
                  <w:vAlign w:val="center"/>
                </w:tcPr>
                <w:p w14:paraId="17934374">
                  <w:pPr>
                    <w:pStyle w:val="160"/>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72" w:type="pct"/>
                  <w:tcBorders>
                    <w:bottom w:val="single" w:color="auto" w:sz="4" w:space="0"/>
                  </w:tcBorders>
                  <w:vAlign w:val="center"/>
                </w:tcPr>
                <w:p w14:paraId="5CC6A37D">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厂区不存放</w:t>
                  </w:r>
                </w:p>
              </w:tc>
              <w:tc>
                <w:tcPr>
                  <w:tcW w:w="595" w:type="pct"/>
                  <w:tcBorders>
                    <w:top w:val="single" w:color="auto" w:sz="4" w:space="0"/>
                    <w:bottom w:val="single" w:color="auto" w:sz="4" w:space="0"/>
                  </w:tcBorders>
                  <w:vAlign w:val="center"/>
                </w:tcPr>
                <w:p w14:paraId="5DFFC9B2">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w:t>
                  </w:r>
                </w:p>
              </w:tc>
              <w:tc>
                <w:tcPr>
                  <w:tcW w:w="567" w:type="pct"/>
                  <w:tcBorders>
                    <w:top w:val="single" w:color="auto" w:sz="4" w:space="0"/>
                    <w:bottom w:val="single" w:color="auto" w:sz="4" w:space="0"/>
                  </w:tcBorders>
                  <w:vAlign w:val="center"/>
                </w:tcPr>
                <w:p w14:paraId="29B63099">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设备维护</w:t>
                  </w:r>
                </w:p>
              </w:tc>
            </w:tr>
            <w:tr w14:paraId="576A9E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1C632E1C">
                  <w:pPr>
                    <w:pStyle w:val="160"/>
                    <w:spacing w:line="240" w:lineRule="atLeast"/>
                    <w:jc w:val="center"/>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5</w:t>
                  </w:r>
                </w:p>
              </w:tc>
              <w:tc>
                <w:tcPr>
                  <w:tcW w:w="698" w:type="pct"/>
                  <w:vAlign w:val="center"/>
                </w:tcPr>
                <w:p w14:paraId="0EEC95EF">
                  <w:pPr>
                    <w:numPr>
                      <w:ilvl w:val="0"/>
                      <w:numId w:val="0"/>
                    </w:numPr>
                    <w:spacing w:line="240" w:lineRule="atLeast"/>
                    <w:ind w:left="0" w:leftChars="0" w:firstLine="0" w:firstLineChars="0"/>
                    <w:jc w:val="center"/>
                    <w:rPr>
                      <w:rFonts w:hint="eastAsia"/>
                      <w:color w:val="auto"/>
                      <w:sz w:val="21"/>
                      <w:szCs w:val="21"/>
                      <w:highlight w:val="none"/>
                      <w:lang w:eastAsia="zh-CN"/>
                    </w:rPr>
                  </w:pPr>
                  <w:r>
                    <w:rPr>
                      <w:rFonts w:hint="eastAsia" w:ascii="Times New Roman" w:hAnsi="Times New Roman" w:cs="Times New Roman"/>
                      <w:color w:val="auto"/>
                      <w:vertAlign w:val="baseline"/>
                      <w:lang w:val="en-US" w:eastAsia="zh-CN"/>
                    </w:rPr>
                    <w:t>五金配件</w:t>
                  </w:r>
                </w:p>
              </w:tc>
              <w:tc>
                <w:tcPr>
                  <w:tcW w:w="503" w:type="pct"/>
                  <w:tcBorders>
                    <w:right w:val="single" w:color="auto" w:sz="4" w:space="0"/>
                  </w:tcBorders>
                  <w:vAlign w:val="center"/>
                </w:tcPr>
                <w:p w14:paraId="7D311DC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万套/a</w:t>
                  </w:r>
                </w:p>
              </w:tc>
              <w:tc>
                <w:tcPr>
                  <w:tcW w:w="686" w:type="pct"/>
                  <w:tcBorders>
                    <w:bottom w:val="single" w:color="auto" w:sz="4" w:space="0"/>
                  </w:tcBorders>
                  <w:vAlign w:val="center"/>
                </w:tcPr>
                <w:p w14:paraId="63CDDFC8">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2000</w:t>
                  </w:r>
                </w:p>
              </w:tc>
              <w:tc>
                <w:tcPr>
                  <w:tcW w:w="928" w:type="pct"/>
                  <w:tcBorders>
                    <w:bottom w:val="single" w:color="auto" w:sz="4" w:space="0"/>
                  </w:tcBorders>
                  <w:vAlign w:val="center"/>
                </w:tcPr>
                <w:p w14:paraId="0A7B3586">
                  <w:pPr>
                    <w:pStyle w:val="160"/>
                    <w:spacing w:line="240" w:lineRule="atLeast"/>
                    <w:jc w:val="center"/>
                    <w:rPr>
                      <w:rFonts w:hint="eastAsia" w:ascii="Times New Roman" w:hAnsi="Times New Roman"/>
                      <w:color w:val="auto"/>
                      <w:szCs w:val="21"/>
                      <w:lang w:eastAsia="zh-CN"/>
                    </w:rPr>
                  </w:pPr>
                  <w:r>
                    <w:rPr>
                      <w:rFonts w:hint="eastAsia"/>
                      <w:color w:val="auto"/>
                      <w:sz w:val="21"/>
                      <w:szCs w:val="21"/>
                      <w:highlight w:val="none"/>
                      <w:lang w:val="en-US" w:eastAsia="zh-CN"/>
                    </w:rPr>
                    <w:t>固体，箱装</w:t>
                  </w:r>
                </w:p>
              </w:tc>
              <w:tc>
                <w:tcPr>
                  <w:tcW w:w="772" w:type="pct"/>
                  <w:tcBorders>
                    <w:bottom w:val="single" w:color="auto" w:sz="4" w:space="0"/>
                  </w:tcBorders>
                  <w:vAlign w:val="center"/>
                </w:tcPr>
                <w:p w14:paraId="0E109815">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组装区</w:t>
                  </w:r>
                </w:p>
              </w:tc>
              <w:tc>
                <w:tcPr>
                  <w:tcW w:w="595" w:type="pct"/>
                  <w:tcBorders>
                    <w:bottom w:val="single" w:color="auto" w:sz="4" w:space="0"/>
                  </w:tcBorders>
                  <w:vAlign w:val="center"/>
                </w:tcPr>
                <w:p w14:paraId="24119061">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50</w:t>
                  </w:r>
                </w:p>
              </w:tc>
              <w:tc>
                <w:tcPr>
                  <w:tcW w:w="567" w:type="pct"/>
                  <w:tcBorders>
                    <w:bottom w:val="single" w:color="auto" w:sz="4" w:space="0"/>
                  </w:tcBorders>
                  <w:vAlign w:val="center"/>
                </w:tcPr>
                <w:p w14:paraId="47633BCE">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组装工序</w:t>
                  </w:r>
                </w:p>
              </w:tc>
            </w:tr>
            <w:tr w14:paraId="5107F11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2D8C9916">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698" w:type="pct"/>
                  <w:vAlign w:val="center"/>
                </w:tcPr>
                <w:p w14:paraId="616B47A1">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活性炭</w:t>
                  </w:r>
                </w:p>
              </w:tc>
              <w:tc>
                <w:tcPr>
                  <w:tcW w:w="503" w:type="pct"/>
                  <w:tcBorders>
                    <w:right w:val="single" w:color="auto" w:sz="4" w:space="0"/>
                  </w:tcBorders>
                  <w:vAlign w:val="center"/>
                </w:tcPr>
                <w:p w14:paraId="087F14B9">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50EAE57E">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0.375</w:t>
                  </w:r>
                </w:p>
              </w:tc>
              <w:tc>
                <w:tcPr>
                  <w:tcW w:w="928" w:type="pct"/>
                  <w:tcBorders>
                    <w:bottom w:val="single" w:color="auto" w:sz="4" w:space="0"/>
                  </w:tcBorders>
                  <w:vAlign w:val="center"/>
                </w:tcPr>
                <w:p w14:paraId="7366B4C6">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固体，箱装</w:t>
                  </w:r>
                </w:p>
              </w:tc>
              <w:tc>
                <w:tcPr>
                  <w:tcW w:w="772" w:type="pct"/>
                  <w:tcBorders>
                    <w:bottom w:val="single" w:color="auto" w:sz="4" w:space="0"/>
                  </w:tcBorders>
                  <w:vAlign w:val="center"/>
                </w:tcPr>
                <w:p w14:paraId="4AED5E16">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厂区不存放</w:t>
                  </w:r>
                </w:p>
              </w:tc>
              <w:tc>
                <w:tcPr>
                  <w:tcW w:w="595" w:type="pct"/>
                  <w:tcBorders>
                    <w:bottom w:val="single" w:color="auto" w:sz="4" w:space="0"/>
                  </w:tcBorders>
                  <w:vAlign w:val="center"/>
                </w:tcPr>
                <w:p w14:paraId="46F6A419">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567" w:type="pct"/>
                  <w:vMerge w:val="restart"/>
                  <w:vAlign w:val="center"/>
                </w:tcPr>
                <w:p w14:paraId="2968AD5D">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环保设备</w:t>
                  </w:r>
                </w:p>
              </w:tc>
            </w:tr>
            <w:tr w14:paraId="789ACB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1182C259">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7</w:t>
                  </w:r>
                </w:p>
              </w:tc>
              <w:tc>
                <w:tcPr>
                  <w:tcW w:w="698" w:type="pct"/>
                  <w:vAlign w:val="center"/>
                </w:tcPr>
                <w:p w14:paraId="74C8157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催化剂</w:t>
                  </w:r>
                </w:p>
              </w:tc>
              <w:tc>
                <w:tcPr>
                  <w:tcW w:w="503" w:type="pct"/>
                  <w:tcBorders>
                    <w:right w:val="single" w:color="auto" w:sz="4" w:space="0"/>
                  </w:tcBorders>
                  <w:vAlign w:val="center"/>
                </w:tcPr>
                <w:p w14:paraId="5B346C2C">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A7DF9F8">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0.15</w:t>
                  </w:r>
                </w:p>
              </w:tc>
              <w:tc>
                <w:tcPr>
                  <w:tcW w:w="928" w:type="pct"/>
                  <w:tcBorders>
                    <w:bottom w:val="single" w:color="auto" w:sz="4" w:space="0"/>
                  </w:tcBorders>
                  <w:vAlign w:val="center"/>
                </w:tcPr>
                <w:p w14:paraId="3A1050CE">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固体，箱装</w:t>
                  </w:r>
                </w:p>
              </w:tc>
              <w:tc>
                <w:tcPr>
                  <w:tcW w:w="772" w:type="pct"/>
                  <w:tcBorders>
                    <w:bottom w:val="single" w:color="auto" w:sz="4" w:space="0"/>
                  </w:tcBorders>
                  <w:vAlign w:val="center"/>
                </w:tcPr>
                <w:p w14:paraId="014BF5FA">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厂区不存放</w:t>
                  </w:r>
                </w:p>
              </w:tc>
              <w:tc>
                <w:tcPr>
                  <w:tcW w:w="595" w:type="pct"/>
                  <w:tcBorders>
                    <w:bottom w:val="single" w:color="auto" w:sz="4" w:space="0"/>
                  </w:tcBorders>
                  <w:vAlign w:val="center"/>
                </w:tcPr>
                <w:p w14:paraId="1A691364">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w:t>
                  </w:r>
                </w:p>
              </w:tc>
              <w:tc>
                <w:tcPr>
                  <w:tcW w:w="567" w:type="pct"/>
                  <w:vMerge w:val="continue"/>
                  <w:tcBorders>
                    <w:bottom w:val="single" w:color="auto" w:sz="4" w:space="0"/>
                  </w:tcBorders>
                  <w:vAlign w:val="center"/>
                </w:tcPr>
                <w:p w14:paraId="65B88D20">
                  <w:pPr>
                    <w:pStyle w:val="160"/>
                    <w:spacing w:line="240" w:lineRule="atLeast"/>
                    <w:jc w:val="center"/>
                    <w:rPr>
                      <w:rFonts w:hint="eastAsia"/>
                      <w:color w:val="auto"/>
                      <w:sz w:val="21"/>
                      <w:szCs w:val="21"/>
                      <w:highlight w:val="none"/>
                      <w:lang w:val="en-US" w:eastAsia="zh-CN"/>
                    </w:rPr>
                  </w:pPr>
                </w:p>
              </w:tc>
            </w:tr>
            <w:tr w14:paraId="4FA20C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4FF524E3">
                  <w:pPr>
                    <w:pStyle w:val="160"/>
                    <w:spacing w:line="240" w:lineRule="atLeast"/>
                    <w:jc w:val="center"/>
                    <w:rPr>
                      <w:rFonts w:hint="eastAsia"/>
                      <w:b/>
                      <w:bCs/>
                      <w:color w:val="auto"/>
                      <w:sz w:val="21"/>
                      <w:szCs w:val="21"/>
                      <w:highlight w:val="none"/>
                      <w:lang w:eastAsia="zh-CN"/>
                    </w:rPr>
                  </w:pPr>
                  <w:r>
                    <w:rPr>
                      <w:rFonts w:hint="eastAsia"/>
                      <w:b/>
                      <w:bCs/>
                      <w:color w:val="auto"/>
                      <w:sz w:val="21"/>
                      <w:szCs w:val="21"/>
                      <w:highlight w:val="none"/>
                      <w:lang w:eastAsia="zh-CN"/>
                    </w:rPr>
                    <w:t>能源消耗</w:t>
                  </w:r>
                </w:p>
              </w:tc>
            </w:tr>
            <w:tr w14:paraId="69D8E0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5" w:hRule="atLeast"/>
              </w:trPr>
              <w:tc>
                <w:tcPr>
                  <w:tcW w:w="246" w:type="pct"/>
                  <w:vAlign w:val="center"/>
                </w:tcPr>
                <w:p w14:paraId="28B00344">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698" w:type="pct"/>
                  <w:vAlign w:val="center"/>
                </w:tcPr>
                <w:p w14:paraId="182CCBA4">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水</w:t>
                  </w:r>
                </w:p>
              </w:tc>
              <w:tc>
                <w:tcPr>
                  <w:tcW w:w="503" w:type="pct"/>
                  <w:tcBorders>
                    <w:right w:val="single" w:color="auto" w:sz="4" w:space="0"/>
                  </w:tcBorders>
                  <w:vAlign w:val="center"/>
                </w:tcPr>
                <w:p w14:paraId="6D7FBD4C">
                  <w:pPr>
                    <w:pStyle w:val="160"/>
                    <w:spacing w:line="240" w:lineRule="atLeast"/>
                    <w:jc w:val="center"/>
                    <w:rPr>
                      <w:rFonts w:hint="default"/>
                      <w:color w:val="auto"/>
                      <w:sz w:val="21"/>
                      <w:szCs w:val="21"/>
                      <w:highlight w:val="none"/>
                      <w:vertAlign w:val="baseline"/>
                      <w:lang w:val="en-US" w:eastAsia="zh-CN"/>
                    </w:rPr>
                  </w:pPr>
                  <w:r>
                    <w:rPr>
                      <w:rFonts w:hint="default" w:ascii="Times New Roman" w:hAnsi="Times New Roman" w:cs="Times New Roman" w:eastAsiaTheme="minorEastAsia"/>
                      <w:b w:val="0"/>
                      <w:snapToGrid w:val="0"/>
                      <w:color w:val="auto"/>
                      <w:kern w:val="0"/>
                      <w:sz w:val="21"/>
                      <w:szCs w:val="21"/>
                      <w:highlight w:val="none"/>
                      <w:lang w:val="en-US" w:eastAsia="zh-CN" w:bidi="ar-SA"/>
                    </w:rPr>
                    <w:t>m</w:t>
                  </w:r>
                  <w:r>
                    <w:rPr>
                      <w:rFonts w:hint="default" w:ascii="Times New Roman" w:hAnsi="Times New Roman" w:cs="Times New Roman" w:eastAsiaTheme="minorEastAsia"/>
                      <w:b w:val="0"/>
                      <w:snapToGrid w:val="0"/>
                      <w:color w:val="auto"/>
                      <w:kern w:val="0"/>
                      <w:sz w:val="21"/>
                      <w:szCs w:val="21"/>
                      <w:highlight w:val="none"/>
                      <w:vertAlign w:val="superscript"/>
                      <w:lang w:val="en-US" w:eastAsia="zh-CN" w:bidi="ar-SA"/>
                    </w:rPr>
                    <w:t>3</w:t>
                  </w:r>
                  <w:r>
                    <w:rPr>
                      <w:rFonts w:hint="eastAsia" w:cs="Times New Roman" w:eastAsiaTheme="minorEastAsia"/>
                      <w:b w:val="0"/>
                      <w:snapToGrid w:val="0"/>
                      <w:color w:val="auto"/>
                      <w:kern w:val="0"/>
                      <w:sz w:val="21"/>
                      <w:szCs w:val="21"/>
                      <w:highlight w:val="none"/>
                      <w:vertAlign w:val="baseline"/>
                      <w:lang w:val="en-US" w:eastAsia="zh-CN" w:bidi="ar-SA"/>
                    </w:rPr>
                    <w:t>/a</w:t>
                  </w:r>
                </w:p>
              </w:tc>
              <w:tc>
                <w:tcPr>
                  <w:tcW w:w="686" w:type="pct"/>
                  <w:tcBorders>
                    <w:top w:val="single" w:color="auto" w:sz="4" w:space="0"/>
                    <w:left w:val="single" w:color="auto" w:sz="4" w:space="0"/>
                    <w:bottom w:val="single" w:color="auto" w:sz="4" w:space="0"/>
                    <w:right w:val="single" w:color="auto" w:sz="4" w:space="0"/>
                  </w:tcBorders>
                  <w:vAlign w:val="center"/>
                </w:tcPr>
                <w:p w14:paraId="4A840FA5">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1732.5</w:t>
                  </w:r>
                </w:p>
              </w:tc>
              <w:tc>
                <w:tcPr>
                  <w:tcW w:w="2864" w:type="pct"/>
                  <w:gridSpan w:val="4"/>
                  <w:tcBorders>
                    <w:top w:val="single" w:color="auto" w:sz="4" w:space="0"/>
                    <w:left w:val="single" w:color="auto" w:sz="4" w:space="0"/>
                    <w:bottom w:val="single" w:color="auto" w:sz="4" w:space="0"/>
                  </w:tcBorders>
                  <w:vAlign w:val="center"/>
                </w:tcPr>
                <w:p w14:paraId="47B63B20">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由当地供水管网供给</w:t>
                  </w:r>
                </w:p>
              </w:tc>
            </w:tr>
            <w:tr w14:paraId="24FD9A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6" w:type="pct"/>
                  <w:vAlign w:val="center"/>
                </w:tcPr>
                <w:p w14:paraId="6638C312">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7</w:t>
                  </w:r>
                </w:p>
              </w:tc>
              <w:tc>
                <w:tcPr>
                  <w:tcW w:w="698" w:type="pct"/>
                  <w:vAlign w:val="center"/>
                </w:tcPr>
                <w:p w14:paraId="7DC98E0E">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电</w:t>
                  </w:r>
                </w:p>
              </w:tc>
              <w:tc>
                <w:tcPr>
                  <w:tcW w:w="503" w:type="pct"/>
                  <w:vAlign w:val="center"/>
                </w:tcPr>
                <w:p w14:paraId="68416795">
                  <w:pPr>
                    <w:pStyle w:val="160"/>
                    <w:spacing w:line="240" w:lineRule="atLeast"/>
                    <w:jc w:val="center"/>
                    <w:rPr>
                      <w:rFonts w:hint="eastAsia"/>
                      <w:color w:val="auto"/>
                      <w:sz w:val="21"/>
                      <w:szCs w:val="21"/>
                      <w:highlight w:val="none"/>
                      <w:lang w:eastAsia="zh-CN"/>
                    </w:rPr>
                  </w:pPr>
                  <w:r>
                    <w:rPr>
                      <w:rFonts w:hint="eastAsia"/>
                      <w:color w:val="auto"/>
                      <w:sz w:val="21"/>
                      <w:szCs w:val="21"/>
                      <w:highlight w:val="none"/>
                      <w:lang w:val="en-US" w:eastAsia="zh-CN"/>
                    </w:rPr>
                    <w:t>万kW·h</w:t>
                  </w:r>
                </w:p>
              </w:tc>
              <w:tc>
                <w:tcPr>
                  <w:tcW w:w="686" w:type="pct"/>
                  <w:tcBorders>
                    <w:top w:val="single" w:color="auto" w:sz="4" w:space="0"/>
                    <w:bottom w:val="single" w:color="auto" w:sz="4" w:space="0"/>
                  </w:tcBorders>
                  <w:vAlign w:val="center"/>
                </w:tcPr>
                <w:p w14:paraId="65415E16">
                  <w:pPr>
                    <w:pStyle w:val="160"/>
                    <w:spacing w:line="240" w:lineRule="atLeast"/>
                    <w:jc w:val="center"/>
                    <w:rPr>
                      <w:rFonts w:hint="default"/>
                      <w:color w:val="auto"/>
                      <w:sz w:val="21"/>
                      <w:szCs w:val="21"/>
                      <w:highlight w:val="none"/>
                      <w:lang w:val="en-US" w:eastAsia="zh-CN"/>
                    </w:rPr>
                  </w:pPr>
                  <w:r>
                    <w:rPr>
                      <w:rFonts w:hint="eastAsia"/>
                      <w:color w:val="auto"/>
                      <w:sz w:val="21"/>
                      <w:szCs w:val="21"/>
                      <w:highlight w:val="none"/>
                      <w:lang w:val="en-US" w:eastAsia="zh-CN"/>
                    </w:rPr>
                    <w:t>100</w:t>
                  </w:r>
                </w:p>
              </w:tc>
              <w:tc>
                <w:tcPr>
                  <w:tcW w:w="2864" w:type="pct"/>
                  <w:gridSpan w:val="4"/>
                  <w:tcBorders>
                    <w:top w:val="single" w:color="auto" w:sz="4" w:space="0"/>
                    <w:bottom w:val="single" w:color="auto" w:sz="4" w:space="0"/>
                  </w:tcBorders>
                  <w:vAlign w:val="center"/>
                </w:tcPr>
                <w:p w14:paraId="5B05A804">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由当地供电管网供给</w:t>
                  </w:r>
                </w:p>
              </w:tc>
            </w:tr>
          </w:tbl>
          <w:p w14:paraId="61F6B2B5">
            <w:pPr>
              <w:spacing w:line="400" w:lineRule="exact"/>
              <w:ind w:firstLine="398" w:firstLineChars="200"/>
              <w:rPr>
                <w:rFonts w:ascii="Times New Roman" w:hAnsi="Times New Roman"/>
                <w:b/>
                <w:bCs/>
                <w:color w:val="auto"/>
                <w:spacing w:val="-6"/>
                <w:szCs w:val="21"/>
              </w:rPr>
            </w:pPr>
            <w:r>
              <w:rPr>
                <w:rFonts w:ascii="Times New Roman" w:hAnsi="Times New Roman"/>
                <w:b/>
                <w:bCs/>
                <w:color w:val="auto"/>
                <w:spacing w:val="-6"/>
                <w:szCs w:val="21"/>
              </w:rPr>
              <w:t>主要原辅材料理化性质：</w:t>
            </w:r>
          </w:p>
          <w:p w14:paraId="3ECAFA9D">
            <w:pPr>
              <w:spacing w:line="400" w:lineRule="exact"/>
              <w:ind w:firstLine="398" w:firstLineChars="200"/>
              <w:rPr>
                <w:rFonts w:hint="default" w:ascii="Times New Roman" w:hAnsi="Times New Roman" w:eastAsia="宋体" w:cs="Times New Roman"/>
                <w:color w:val="auto"/>
                <w:spacing w:val="-6"/>
                <w:sz w:val="21"/>
                <w:szCs w:val="21"/>
                <w:highlight w:val="none"/>
              </w:rPr>
            </w:pPr>
            <w:r>
              <w:rPr>
                <w:rFonts w:hint="default" w:ascii="Times New Roman" w:hAnsi="Times New Roman" w:eastAsia="宋体" w:cs="Times New Roman"/>
                <w:b/>
                <w:bCs/>
                <w:color w:val="auto"/>
                <w:spacing w:val="-6"/>
                <w:sz w:val="21"/>
                <w:szCs w:val="21"/>
                <w:highlight w:val="none"/>
              </w:rPr>
              <w:t>PE聚乙烯：</w:t>
            </w:r>
            <w:r>
              <w:rPr>
                <w:rFonts w:hint="default" w:ascii="Times New Roman" w:hAnsi="Times New Roman" w:eastAsia="宋体" w:cs="Times New Roman"/>
                <w:color w:val="auto"/>
                <w:spacing w:val="-6"/>
                <w:sz w:val="21"/>
                <w:szCs w:val="21"/>
                <w:highlight w:val="none"/>
              </w:rPr>
              <w:t>成型温度：140-220℃，是乙烯经聚合制得的一种热塑性树脂。 在工业上，也包括乙烯与少量α-烯烃的共聚物。聚乙烯无臭，无毒，手感似蜡，具有优良的耐低温性能（最低使用温度可达-100~-70℃），化学稳定性好，能耐大多数酸碱的侵蚀（不耐具有氧化性质的酸）。常温下不溶于一般溶剂，吸水性小，电绝缘性优良。</w:t>
            </w:r>
          </w:p>
          <w:p w14:paraId="5E30EAF3">
            <w:pPr>
              <w:spacing w:line="400" w:lineRule="exact"/>
              <w:ind w:firstLine="398" w:firstLineChars="200"/>
              <w:rPr>
                <w:rFonts w:hint="eastAsia" w:ascii="Times New Roman" w:hAnsi="Times New Roman" w:eastAsia="宋体" w:cs="Times New Roman"/>
                <w:b/>
                <w:bCs/>
                <w:color w:val="auto"/>
                <w:spacing w:val="-6"/>
                <w:szCs w:val="21"/>
                <w:lang w:eastAsia="zh-CN"/>
              </w:rPr>
            </w:pPr>
            <w:r>
              <w:rPr>
                <w:rFonts w:hint="default" w:ascii="Times New Roman" w:hAnsi="Times New Roman" w:eastAsia="宋体" w:cs="Times New Roman"/>
                <w:b/>
                <w:bCs/>
                <w:color w:val="auto"/>
                <w:spacing w:val="-6"/>
                <w:sz w:val="21"/>
                <w:szCs w:val="21"/>
                <w:highlight w:val="none"/>
                <w:lang w:val="en-US" w:eastAsia="zh-CN"/>
              </w:rPr>
              <w:t>PP</w:t>
            </w:r>
            <w:r>
              <w:rPr>
                <w:rFonts w:hint="default" w:ascii="Times New Roman" w:hAnsi="Times New Roman" w:eastAsia="宋体" w:cs="Times New Roman"/>
                <w:b/>
                <w:bCs/>
                <w:color w:val="auto"/>
                <w:spacing w:val="-6"/>
                <w:sz w:val="21"/>
                <w:szCs w:val="21"/>
                <w:highlight w:val="none"/>
              </w:rPr>
              <w:t>聚丙烯</w:t>
            </w:r>
            <w:r>
              <w:rPr>
                <w:rFonts w:hint="default" w:ascii="Times New Roman" w:hAnsi="Times New Roman" w:eastAsia="宋体" w:cs="Times New Roman"/>
                <w:b/>
                <w:bCs/>
                <w:color w:val="auto"/>
                <w:spacing w:val="-6"/>
                <w:sz w:val="21"/>
                <w:szCs w:val="21"/>
                <w:highlight w:val="none"/>
                <w:lang w:eastAsia="zh-CN"/>
              </w:rPr>
              <w:t>：</w:t>
            </w:r>
            <w:r>
              <w:rPr>
                <w:rFonts w:hint="default" w:ascii="Times New Roman" w:hAnsi="Times New Roman" w:eastAsia="宋体" w:cs="Times New Roman"/>
                <w:color w:val="auto"/>
                <w:spacing w:val="-6"/>
                <w:sz w:val="21"/>
                <w:szCs w:val="21"/>
                <w:highlight w:val="none"/>
              </w:rPr>
              <w:t>由丙烯聚合而成，是一种热塑性树脂。乳白色、无毒、无嗅、无味，密度为0.90 g/cm</w:t>
            </w:r>
            <w:r>
              <w:rPr>
                <w:rFonts w:hint="default" w:ascii="Times New Roman" w:hAnsi="Times New Roman" w:eastAsia="宋体" w:cs="Times New Roman"/>
                <w:color w:val="auto"/>
                <w:spacing w:val="-6"/>
                <w:sz w:val="21"/>
                <w:szCs w:val="21"/>
                <w:highlight w:val="none"/>
                <w:vertAlign w:val="superscript"/>
              </w:rPr>
              <w:t>3</w:t>
            </w:r>
            <w:r>
              <w:rPr>
                <w:rFonts w:hint="default" w:ascii="Times New Roman" w:hAnsi="Times New Roman" w:eastAsia="宋体" w:cs="Times New Roman"/>
                <w:color w:val="auto"/>
                <w:spacing w:val="-6"/>
                <w:sz w:val="21"/>
                <w:szCs w:val="21"/>
                <w:highlight w:val="none"/>
              </w:rPr>
              <w:t>，是塑料中最轻的一种；耐热性、耐水性、耐化学腐蚀性均较好，还有较好韧性；电绝缘性良好，流动性好，易于加工成型，表面光泽好，易着色；易燃烧，自燃温度470℃，开始发烟温度为297℃。裂解温度大于320℃，燃烧时熔融滴落，有石蜡味，有少量黑烟。浸出物未发现毒性作用</w:t>
            </w:r>
            <w:r>
              <w:rPr>
                <w:rFonts w:hint="eastAsia" w:ascii="Times New Roman" w:hAnsi="Times New Roman" w:eastAsia="宋体" w:cs="Times New Roman"/>
                <w:color w:val="auto"/>
                <w:spacing w:val="-6"/>
                <w:sz w:val="21"/>
                <w:szCs w:val="21"/>
                <w:highlight w:val="none"/>
                <w:lang w:eastAsia="zh-CN"/>
              </w:rPr>
              <w:t>。</w:t>
            </w:r>
          </w:p>
          <w:p w14:paraId="7DD7DA36">
            <w:pPr>
              <w:spacing w:line="400" w:lineRule="exact"/>
              <w:ind w:firstLine="398" w:firstLineChars="200"/>
              <w:rPr>
                <w:rFonts w:hint="eastAsia" w:ascii="Times New Roman" w:hAnsi="Times New Roman" w:eastAsia="宋体" w:cs="Times New Roman"/>
                <w:b/>
                <w:bCs/>
                <w:color w:val="FF0000"/>
                <w:spacing w:val="-6"/>
                <w:sz w:val="21"/>
                <w:szCs w:val="21"/>
                <w:lang w:eastAsia="zh-CN"/>
              </w:rPr>
            </w:pPr>
            <w:r>
              <w:rPr>
                <w:rFonts w:hint="eastAsia" w:ascii="Times New Roman" w:hAnsi="Times New Roman" w:eastAsia="宋体" w:cs="Times New Roman"/>
                <w:b/>
                <w:bCs/>
                <w:color w:val="auto"/>
                <w:spacing w:val="-6"/>
                <w:sz w:val="21"/>
                <w:szCs w:val="21"/>
                <w:highlight w:val="none"/>
                <w:lang w:val="en-US" w:eastAsia="zh-CN"/>
              </w:rPr>
              <w:t>色母：</w:t>
            </w:r>
            <w:r>
              <w:rPr>
                <w:rFonts w:hint="eastAsia" w:ascii="Times New Roman" w:hAnsi="Times New Roman" w:eastAsia="宋体" w:cs="Times New Roman"/>
                <w:color w:val="auto"/>
                <w:spacing w:val="-6"/>
                <w:sz w:val="21"/>
                <w:szCs w:val="21"/>
                <w:highlight w:val="none"/>
                <w:lang w:val="en-US" w:eastAsia="zh-CN"/>
              </w:rPr>
              <w:t>色母（Color Master Batch）的全称叫</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"https://baike.baidu.com/item/%E8%89%B2%E6%AF%8D%E7%B2%92/735898?fromModule=lemma_inlink"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色母粒</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，也叫</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"https://baike.baidu.com/item/%E8%89%B2%E7%A7%8D/917214?fromModule=lemma_inlink"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色种</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，是一种新型高分子</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"https://baike.baidu.com/item/%E6%9D%90%E6%96%99?fromModule=lemma_inlink"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材料</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专用</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"https://baike.baidu.com/item/%E7%9D%80%E8%89%B2%E5%89%82/2531263?fromModule=lemma_inlink"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着色剂</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，亦称颜料制备物（Pigment Preparation）。色母主要用在塑料上。色母由</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"https://baike.baidu.com/item/%E9%A2%9C%E6%96%99/465850?fromModule=lemma_inlink"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颜料</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或</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"https://baike.baidu.com/item/%E6%9F%93%E6%96%99/1145782?fromModule=lemma_inlink"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染料</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、载体和</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"https://baike.baidu.com/item/%E6%B7%BB%E5%8A%A0%E5%89%82/5134870?fromModule=lemma_inlink"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添加剂</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三种基本要素所组成，是把超常量的</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"https://baike.baidu.com/item/%E9%A2%9C%E6%96%99/465850?fromModule=lemma_inlink"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颜料</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均匀载附于</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"https://baike.baidu.com/item/%E6%A0%91%E8%84%82/281282?fromModule=lemma_inlink"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树脂</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之中而制得的聚集体，可称颜料浓缩物（Pigment Concentration），所以它的着色力高于</w:t>
            </w:r>
            <w:r>
              <w:rPr>
                <w:rFonts w:hint="eastAsia" w:ascii="Times New Roman" w:hAnsi="Times New Roman" w:eastAsia="宋体" w:cs="Times New Roman"/>
                <w:color w:val="auto"/>
                <w:spacing w:val="-6"/>
                <w:sz w:val="21"/>
                <w:szCs w:val="21"/>
                <w:highlight w:val="none"/>
                <w:lang w:val="en-US" w:eastAsia="zh-CN"/>
              </w:rPr>
              <w:fldChar w:fldCharType="begin"/>
            </w:r>
            <w:r>
              <w:rPr>
                <w:rFonts w:hint="eastAsia" w:ascii="Times New Roman" w:hAnsi="Times New Roman" w:eastAsia="宋体" w:cs="Times New Roman"/>
                <w:color w:val="auto"/>
                <w:spacing w:val="-6"/>
                <w:sz w:val="21"/>
                <w:szCs w:val="21"/>
                <w:highlight w:val="none"/>
                <w:lang w:val="en-US" w:eastAsia="zh-CN"/>
              </w:rPr>
              <w:instrText xml:space="preserve"> HYPERLINK "https://baike.baidu.com/item/%E9%A2%9C%E6%96%99/465850?fromModule=lemma_inlink" \t "_blank" </w:instrText>
            </w:r>
            <w:r>
              <w:rPr>
                <w:rFonts w:hint="eastAsia" w:ascii="Times New Roman" w:hAnsi="Times New Roman" w:eastAsia="宋体" w:cs="Times New Roman"/>
                <w:color w:val="auto"/>
                <w:spacing w:val="-6"/>
                <w:sz w:val="21"/>
                <w:szCs w:val="21"/>
                <w:highlight w:val="none"/>
                <w:lang w:val="en-US" w:eastAsia="zh-CN"/>
              </w:rPr>
              <w:fldChar w:fldCharType="separate"/>
            </w:r>
            <w:r>
              <w:rPr>
                <w:rFonts w:hint="eastAsia" w:ascii="Times New Roman" w:hAnsi="Times New Roman" w:eastAsia="宋体" w:cs="Times New Roman"/>
                <w:color w:val="auto"/>
                <w:spacing w:val="-6"/>
                <w:sz w:val="21"/>
                <w:szCs w:val="21"/>
                <w:highlight w:val="none"/>
                <w:lang w:val="en-US" w:eastAsia="zh-CN"/>
              </w:rPr>
              <w:t>颜料</w:t>
            </w:r>
            <w:r>
              <w:rPr>
                <w:rFonts w:hint="eastAsia" w:ascii="Times New Roman" w:hAnsi="Times New Roman" w:eastAsia="宋体" w:cs="Times New Roman"/>
                <w:color w:val="auto"/>
                <w:spacing w:val="-6"/>
                <w:sz w:val="21"/>
                <w:szCs w:val="21"/>
                <w:highlight w:val="none"/>
                <w:lang w:val="en-US" w:eastAsia="zh-CN"/>
              </w:rPr>
              <w:fldChar w:fldCharType="end"/>
            </w:r>
            <w:r>
              <w:rPr>
                <w:rFonts w:hint="eastAsia" w:ascii="Times New Roman" w:hAnsi="Times New Roman" w:eastAsia="宋体" w:cs="Times New Roman"/>
                <w:color w:val="auto"/>
                <w:spacing w:val="-6"/>
                <w:sz w:val="21"/>
                <w:szCs w:val="21"/>
                <w:highlight w:val="none"/>
                <w:lang w:val="en-US" w:eastAsia="zh-CN"/>
              </w:rPr>
              <w:t>本身。加工时用少量色母料和未着色树脂掺混，就可达到设计颜料浓度的着色树脂或制品</w:t>
            </w:r>
            <w:r>
              <w:rPr>
                <w:rFonts w:hint="eastAsia" w:ascii="Times New Roman" w:hAnsi="Times New Roman" w:eastAsia="宋体" w:cs="Times New Roman"/>
                <w:b w:val="0"/>
                <w:bCs w:val="0"/>
                <w:color w:val="auto"/>
                <w:spacing w:val="-6"/>
                <w:sz w:val="21"/>
                <w:szCs w:val="21"/>
                <w:lang w:val="en-US" w:eastAsia="zh-CN"/>
              </w:rPr>
              <w:t>。</w:t>
            </w:r>
          </w:p>
          <w:p w14:paraId="2C3A7E49">
            <w:pPr>
              <w:spacing w:line="400" w:lineRule="exact"/>
              <w:ind w:firstLine="422" w:firstLineChars="200"/>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机油：</w:t>
            </w:r>
            <w:r>
              <w:rPr>
                <w:rFonts w:hint="eastAsia" w:ascii="Times New Roman" w:hAnsi="Times New Roman" w:eastAsia="宋体" w:cs="Times New Roman"/>
                <w:b w:val="0"/>
                <w:bCs w:val="0"/>
                <w:color w:val="auto"/>
                <w:szCs w:val="21"/>
                <w:highlight w:val="none"/>
                <w:lang w:val="en-US" w:eastAsia="zh-CN"/>
              </w:rPr>
              <w:t>淡黄色粘稠液体；闪点（℃）：120~340；自燃点（℃）：300~350；相对密度（空气=1）：0.85；相对密度（水=1）：934.8；沸点（℃）-252.8；饱和蒸汽压（kPa）：0.13/145.8℃；溶解性：溶于苯、乙醇、乙醚、氯仿、丙酮等多数有机溶剂。</w:t>
            </w:r>
          </w:p>
          <w:p w14:paraId="3BE0BB13">
            <w:pPr>
              <w:spacing w:line="400" w:lineRule="exact"/>
              <w:ind w:firstLine="422" w:firstLineChars="200"/>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活性炭：</w:t>
            </w:r>
            <w:r>
              <w:rPr>
                <w:rFonts w:hint="default" w:ascii="Times New Roman" w:hAnsi="Times New Roman" w:eastAsia="宋体" w:cs="Times New Roman"/>
                <w:color w:val="auto"/>
                <w:sz w:val="21"/>
                <w:szCs w:val="21"/>
                <w:highlight w:val="none"/>
              </w:rPr>
              <w:t>本项目用活性炭为颗粒状活性炭。其通常选用优质无烟煤为原料，采用先进工艺精制加工而成。外观呈黑色不定型颗粒，密度范围在0.45g-0.65g/cm³之间，燃点在450~600℃之间；具有发达的孔隙结构，良好的吸附性能，机械强度高，易反复再生，造价低等特点；常用于有毒气体的净化及废气处理</w:t>
            </w:r>
          </w:p>
          <w:p w14:paraId="083FFF3E">
            <w:pPr>
              <w:spacing w:line="400" w:lineRule="exact"/>
              <w:ind w:firstLine="422" w:firstLineChars="200"/>
              <w:rPr>
                <w:rFonts w:hint="eastAsia" w:ascii="Times New Roman" w:hAnsi="Times New Roman" w:eastAsia="宋体" w:cs="Times New Roman"/>
                <w:b/>
                <w:bCs/>
                <w:color w:val="auto"/>
                <w:sz w:val="24"/>
                <w:highlight w:val="none"/>
                <w:lang w:val="en-US" w:eastAsia="zh-CN"/>
              </w:rPr>
            </w:pPr>
            <w:r>
              <w:rPr>
                <w:rFonts w:hint="default" w:ascii="Times New Roman" w:hAnsi="Times New Roman" w:cs="Times New Roman"/>
                <w:b/>
                <w:bCs/>
                <w:color w:val="auto"/>
                <w:sz w:val="21"/>
                <w:szCs w:val="21"/>
                <w:lang w:val="en-US" w:eastAsia="zh-CN"/>
              </w:rPr>
              <w:t>催化剂</w:t>
            </w:r>
            <w:r>
              <w:rPr>
                <w:rFonts w:hint="eastAsia" w:ascii="Times New Roman" w:hAnsi="Times New Roman" w:cs="Times New Roman"/>
                <w:b/>
                <w:bCs/>
                <w:color w:val="auto"/>
                <w:sz w:val="21"/>
                <w:szCs w:val="21"/>
                <w:lang w:val="en-US" w:eastAsia="zh-CN"/>
              </w:rPr>
              <w:t>：</w:t>
            </w:r>
            <w:r>
              <w:rPr>
                <w:rFonts w:hint="default" w:ascii="Times New Roman" w:hAnsi="Times New Roman" w:eastAsia="宋体" w:cs="Times New Roman"/>
                <w:color w:val="auto"/>
                <w:sz w:val="21"/>
                <w:szCs w:val="21"/>
                <w:highlight w:val="none"/>
              </w:rPr>
              <w:t>废气净化催化剂以蜂窝状陶瓷材料为载体，采用独特的涂层材料，以贵金属为活性组分制得，表面密度：0.65-0.75g/mL；使用温度≤600℃；操作压力≤0.5MPa多用作机废气净化和脱臭处理</w:t>
            </w:r>
            <w:r>
              <w:rPr>
                <w:rFonts w:hint="eastAsia" w:ascii="Times New Roman" w:hAnsi="Times New Roman" w:eastAsia="宋体" w:cs="Times New Roman"/>
                <w:b w:val="0"/>
                <w:bCs w:val="0"/>
                <w:color w:val="auto"/>
                <w:szCs w:val="21"/>
                <w:highlight w:val="none"/>
                <w:lang w:val="en-US" w:eastAsia="zh-CN"/>
              </w:rPr>
              <w:t>。</w:t>
            </w:r>
          </w:p>
          <w:p w14:paraId="5B2E7FB3">
            <w:pPr>
              <w:spacing w:line="360" w:lineRule="auto"/>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6、</w:t>
            </w:r>
            <w:r>
              <w:rPr>
                <w:rFonts w:ascii="Times New Roman" w:hAnsi="Times New Roman" w:eastAsia="宋体" w:cs="Times New Roman"/>
                <w:b/>
                <w:bCs/>
                <w:color w:val="auto"/>
                <w:sz w:val="24"/>
                <w:highlight w:val="none"/>
              </w:rPr>
              <w:t>劳动定员及工作制度</w:t>
            </w:r>
          </w:p>
          <w:p w14:paraId="4CB0F89E">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sz w:val="24"/>
                <w:lang w:val="en-GB"/>
              </w:rPr>
              <w:t>本</w:t>
            </w:r>
            <w:r>
              <w:rPr>
                <w:rFonts w:hint="default" w:ascii="Times New Roman" w:hAnsi="Times New Roman" w:eastAsia="宋体" w:cs="Times New Roman"/>
                <w:sz w:val="24"/>
              </w:rPr>
              <w:t>项目劳动定员</w:t>
            </w:r>
            <w:r>
              <w:rPr>
                <w:rFonts w:hint="eastAsia" w:ascii="Times New Roman" w:hAnsi="Times New Roman" w:eastAsia="宋体" w:cs="Times New Roman"/>
                <w:sz w:val="24"/>
                <w:lang w:eastAsia="zh-CN"/>
              </w:rPr>
              <w:t>为</w:t>
            </w:r>
            <w:r>
              <w:rPr>
                <w:rFonts w:hint="eastAsia" w:ascii="Times New Roman" w:hAnsi="Times New Roman" w:eastAsia="宋体" w:cs="Times New Roman"/>
                <w:sz w:val="24"/>
                <w:lang w:val="en-US" w:eastAsia="zh-CN"/>
              </w:rPr>
              <w:t>45</w:t>
            </w:r>
            <w:r>
              <w:rPr>
                <w:rFonts w:hint="default" w:ascii="Times New Roman" w:hAnsi="Times New Roman" w:eastAsia="宋体" w:cs="Times New Roman"/>
                <w:sz w:val="24"/>
              </w:rPr>
              <w:t>人，</w:t>
            </w:r>
            <w:r>
              <w:rPr>
                <w:rFonts w:hint="default" w:ascii="Times New Roman" w:hAnsi="Times New Roman" w:eastAsia="宋体" w:cs="Times New Roman"/>
                <w:b w:val="0"/>
                <w:snapToGrid w:val="0"/>
                <w:color w:val="000000"/>
                <w:kern w:val="0"/>
                <w:sz w:val="24"/>
                <w:szCs w:val="24"/>
                <w:highlight w:val="none"/>
                <w:lang w:val="en-US" w:eastAsia="zh-CN" w:bidi="ar-SA"/>
              </w:rPr>
              <w:t>每年生产</w:t>
            </w:r>
            <w:r>
              <w:rPr>
                <w:rFonts w:hint="eastAsia" w:ascii="Times New Roman" w:hAnsi="Times New Roman" w:eastAsia="宋体" w:cs="Times New Roman"/>
                <w:b w:val="0"/>
                <w:snapToGrid w:val="0"/>
                <w:color w:val="000000"/>
                <w:kern w:val="0"/>
                <w:sz w:val="24"/>
                <w:szCs w:val="24"/>
                <w:highlight w:val="none"/>
                <w:lang w:val="en-US" w:eastAsia="zh-CN" w:bidi="ar-SA"/>
              </w:rPr>
              <w:t>300</w:t>
            </w:r>
            <w:r>
              <w:rPr>
                <w:rFonts w:hint="default" w:ascii="Times New Roman" w:hAnsi="Times New Roman" w:eastAsia="宋体" w:cs="Times New Roman"/>
                <w:b w:val="0"/>
                <w:snapToGrid w:val="0"/>
                <w:color w:val="000000"/>
                <w:kern w:val="0"/>
                <w:sz w:val="24"/>
                <w:szCs w:val="24"/>
                <w:highlight w:val="none"/>
                <w:lang w:val="en-US" w:eastAsia="zh-CN" w:bidi="ar-SA"/>
              </w:rPr>
              <w:t>天</w:t>
            </w:r>
            <w:r>
              <w:rPr>
                <w:rFonts w:ascii="Times New Roman" w:hAnsi="Times New Roman" w:eastAsia="宋体" w:cs="Times New Roman"/>
                <w:sz w:val="24"/>
              </w:rPr>
              <w:t>，实行</w:t>
            </w:r>
            <w:r>
              <w:rPr>
                <w:rFonts w:hint="eastAsia" w:ascii="Times New Roman" w:hAnsi="Times New Roman" w:eastAsia="宋体" w:cs="Times New Roman"/>
                <w:sz w:val="24"/>
                <w:lang w:eastAsia="zh-CN"/>
              </w:rPr>
              <w:t>三</w:t>
            </w:r>
            <w:r>
              <w:rPr>
                <w:rFonts w:ascii="Times New Roman" w:hAnsi="Times New Roman" w:eastAsia="宋体" w:cs="Times New Roman"/>
                <w:sz w:val="24"/>
              </w:rPr>
              <w:t>班制，每班工作时间为8小时</w:t>
            </w:r>
            <w:r>
              <w:rPr>
                <w:rFonts w:hint="eastAsia" w:ascii="Times New Roman" w:hAnsi="Times New Roman" w:eastAsia="宋体" w:cs="Times New Roman"/>
                <w:sz w:val="24"/>
                <w:lang w:eastAsia="zh-CN"/>
              </w:rPr>
              <w:t>，</w:t>
            </w:r>
            <w:r>
              <w:rPr>
                <w:rFonts w:hint="default" w:ascii="Times New Roman" w:hAnsi="Times New Roman" w:cs="Times New Roman"/>
                <w:sz w:val="24"/>
              </w:rPr>
              <w:t>厂</w:t>
            </w:r>
            <w:r>
              <w:rPr>
                <w:rFonts w:hint="eastAsia" w:ascii="Times New Roman" w:hAnsi="Times New Roman" w:eastAsia="宋体" w:cs="Times New Roman"/>
                <w:sz w:val="24"/>
                <w:lang w:eastAsia="zh-CN"/>
              </w:rPr>
              <w:t>内不设食堂</w:t>
            </w:r>
            <w:r>
              <w:rPr>
                <w:rFonts w:hint="default" w:ascii="Times New Roman" w:hAnsi="Times New Roman" w:eastAsia="宋体" w:cs="Times New Roman"/>
                <w:sz w:val="24"/>
              </w:rPr>
              <w:t>。</w:t>
            </w:r>
          </w:p>
          <w:p w14:paraId="4D73BCBC">
            <w:pPr>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7、</w:t>
            </w:r>
            <w:r>
              <w:rPr>
                <w:rFonts w:ascii="Times New Roman" w:hAnsi="Times New Roman" w:eastAsia="宋体" w:cs="Times New Roman"/>
                <w:b/>
                <w:bCs/>
                <w:color w:val="000000" w:themeColor="text1"/>
                <w:sz w:val="24"/>
                <w:highlight w:val="none"/>
                <w14:textFill>
                  <w14:solidFill>
                    <w14:schemeClr w14:val="tx1"/>
                  </w14:solidFill>
                </w14:textFill>
              </w:rPr>
              <w:t>平面布置</w:t>
            </w:r>
          </w:p>
          <w:p w14:paraId="021636A0">
            <w:pPr>
              <w:spacing w:line="360" w:lineRule="auto"/>
              <w:ind w:firstLine="480" w:firstLineChars="200"/>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auto"/>
                <w:sz w:val="24"/>
                <w:szCs w:val="24"/>
                <w:highlight w:val="none"/>
              </w:rPr>
              <w:t>本项目利用厂区现有厂房进行建设</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厂区入口位于厂区西侧偏南，厂区内主要设置生产车间1座，本项目租用生产车间中部厂房进行建设。办公用房位于生产车间内南侧，危废间位于本项目生产车间内西南角。</w:t>
            </w:r>
            <w:r>
              <w:rPr>
                <w:rFonts w:hint="default" w:ascii="Times New Roman" w:hAnsi="Times New Roman" w:eastAsia="宋体" w:cs="Times New Roman"/>
                <w:sz w:val="24"/>
                <w:highlight w:val="none"/>
              </w:rPr>
              <w:t>项目整个厂区的布局安排注重办公、生产等不同功能区的相对独立和有机联系，做到没有交叉、干扰，流线畅通。厂区内流线简捷、流畅，布局合理。项目详细布置见附图3。</w:t>
            </w:r>
          </w:p>
          <w:p w14:paraId="7A639CB4">
            <w:pPr>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8、</w:t>
            </w:r>
            <w:r>
              <w:rPr>
                <w:rFonts w:ascii="Times New Roman" w:hAnsi="Times New Roman" w:eastAsia="宋体" w:cs="Times New Roman"/>
                <w:b/>
                <w:bCs/>
                <w:color w:val="000000" w:themeColor="text1"/>
                <w:sz w:val="24"/>
                <w:highlight w:val="none"/>
                <w14:textFill>
                  <w14:solidFill>
                    <w14:schemeClr w14:val="tx1"/>
                  </w14:solidFill>
                </w14:textFill>
              </w:rPr>
              <w:t>公用工程</w:t>
            </w:r>
          </w:p>
          <w:p w14:paraId="28C7F544">
            <w:pPr>
              <w:spacing w:line="360" w:lineRule="auto"/>
              <w:ind w:firstLine="480" w:firstLineChars="200"/>
              <w:rPr>
                <w:rFonts w:hint="eastAsia" w:ascii="Times New Roman" w:hAnsi="Times New Roman" w:cs="Times New Roman" w:eastAsiaTheme="minorEastAsia"/>
                <w:color w:val="auto"/>
                <w:sz w:val="24"/>
                <w:highlight w:val="none"/>
                <w:lang w:eastAsia="zh-CN"/>
              </w:rPr>
            </w:pPr>
            <w:r>
              <w:rPr>
                <w:rFonts w:hint="eastAsia" w:ascii="Times New Roman" w:hAnsi="Times New Roman" w:eastAsia="宋体" w:cs="Times New Roman"/>
                <w:color w:val="auto"/>
                <w:sz w:val="24"/>
                <w:lang w:eastAsia="zh-CN"/>
              </w:rPr>
              <w:t>1、给排水</w:t>
            </w:r>
          </w:p>
          <w:p w14:paraId="6081BA22">
            <w:pPr>
              <w:wordWrap w:val="0"/>
              <w:topLinePunct/>
              <w:adjustRightInd w:val="0"/>
              <w:snapToGrid w:val="0"/>
              <w:spacing w:line="360" w:lineRule="auto"/>
              <w:ind w:firstLine="480" w:firstLineChars="200"/>
              <w:rPr>
                <w:rFonts w:hint="eastAsia" w:ascii="Times New Roman" w:hAnsi="Times New Roman" w:cs="Times New Roman"/>
                <w:bCs/>
                <w:color w:val="auto"/>
                <w:sz w:val="24"/>
                <w:highlight w:val="none"/>
                <w:lang w:eastAsia="zh-CN"/>
              </w:rPr>
            </w:pPr>
            <w:r>
              <w:rPr>
                <w:rFonts w:hint="eastAsia" w:ascii="Times New Roman" w:hAnsi="Times New Roman" w:cs="Times New Roman"/>
                <w:color w:val="auto"/>
                <w:sz w:val="24"/>
                <w:highlight w:val="none"/>
                <w:lang w:val="en-US" w:eastAsia="zh-CN"/>
              </w:rPr>
              <w:t>①</w:t>
            </w:r>
            <w:r>
              <w:rPr>
                <w:rFonts w:hint="eastAsia" w:ascii="Times New Roman" w:hAnsi="Times New Roman" w:cs="Times New Roman"/>
                <w:bCs/>
                <w:color w:val="auto"/>
                <w:sz w:val="24"/>
                <w:highlight w:val="none"/>
              </w:rPr>
              <w:t>生活用水：生活用水参考河北省《生活与服务业用水定额  第1部分：居民生活》（DB13/T5450.1-2021）中的城镇居民生活用水定额，并结合厂区实际情况，核算项目用水量：项目劳动定员</w:t>
            </w:r>
            <w:r>
              <w:rPr>
                <w:rFonts w:hint="eastAsia" w:ascii="Times New Roman" w:hAnsi="Times New Roman" w:cs="Times New Roman"/>
                <w:bCs/>
                <w:color w:val="auto"/>
                <w:sz w:val="24"/>
                <w:highlight w:val="none"/>
                <w:lang w:val="en-US" w:eastAsia="zh-CN"/>
              </w:rPr>
              <w:t>45</w:t>
            </w:r>
            <w:r>
              <w:rPr>
                <w:rFonts w:hint="eastAsia" w:ascii="Times New Roman" w:hAnsi="Times New Roman" w:cs="Times New Roman"/>
                <w:bCs/>
                <w:color w:val="auto"/>
                <w:sz w:val="24"/>
                <w:highlight w:val="none"/>
              </w:rPr>
              <w:t>人，厂内</w:t>
            </w:r>
            <w:r>
              <w:rPr>
                <w:rFonts w:hint="eastAsia" w:ascii="Times New Roman" w:hAnsi="Times New Roman" w:cs="Times New Roman"/>
                <w:bCs/>
                <w:color w:val="auto"/>
                <w:sz w:val="24"/>
                <w:highlight w:val="none"/>
                <w:lang w:eastAsia="zh-CN"/>
              </w:rPr>
              <w:t>不设</w:t>
            </w:r>
            <w:r>
              <w:rPr>
                <w:rFonts w:hint="eastAsia" w:ascii="Times New Roman" w:hAnsi="Times New Roman" w:cs="Times New Roman"/>
                <w:bCs/>
                <w:color w:val="auto"/>
                <w:sz w:val="24"/>
                <w:highlight w:val="none"/>
              </w:rPr>
              <w:t>宿舍</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食堂、洗浴设施，用水定额按照</w:t>
            </w:r>
            <w:r>
              <w:rPr>
                <w:rFonts w:hint="eastAsia" w:ascii="Times New Roman" w:hAnsi="Times New Roman" w:cs="Times New Roman"/>
                <w:bCs/>
                <w:color w:val="auto"/>
                <w:sz w:val="24"/>
                <w:highlight w:val="none"/>
                <w:lang w:val="en-US" w:eastAsia="zh-CN"/>
              </w:rPr>
              <w:t>18.5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/人·</w:t>
            </w:r>
            <w:r>
              <w:rPr>
                <w:rFonts w:hint="eastAsia" w:ascii="Times New Roman" w:hAnsi="Times New Roman" w:cs="Times New Roman"/>
                <w:bCs/>
                <w:color w:val="auto"/>
                <w:sz w:val="24"/>
                <w:highlight w:val="none"/>
                <w:lang w:val="en-US" w:eastAsia="zh-CN"/>
              </w:rPr>
              <w:t>a</w:t>
            </w:r>
            <w:r>
              <w:rPr>
                <w:rFonts w:hint="eastAsia" w:ascii="Times New Roman" w:hAnsi="Times New Roman" w:cs="Times New Roman"/>
                <w:bCs/>
                <w:color w:val="auto"/>
                <w:sz w:val="24"/>
                <w:highlight w:val="none"/>
              </w:rPr>
              <w:t>计算，本项目年运行300天，则职工生活年用水量为</w:t>
            </w:r>
            <w:r>
              <w:rPr>
                <w:rFonts w:hint="eastAsia" w:ascii="Times New Roman" w:hAnsi="Times New Roman" w:cs="Times New Roman"/>
                <w:bCs/>
                <w:color w:val="auto"/>
                <w:sz w:val="24"/>
                <w:highlight w:val="none"/>
                <w:lang w:val="en-US" w:eastAsia="zh-CN"/>
              </w:rPr>
              <w:t>2.775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/d（</w:t>
            </w:r>
            <w:r>
              <w:rPr>
                <w:rFonts w:hint="eastAsia" w:ascii="Times New Roman" w:hAnsi="Times New Roman" w:cs="Times New Roman"/>
                <w:bCs/>
                <w:color w:val="auto"/>
                <w:sz w:val="24"/>
                <w:highlight w:val="none"/>
                <w:lang w:val="en-US" w:eastAsia="zh-CN"/>
              </w:rPr>
              <w:t>832.5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/a）</w:t>
            </w:r>
            <w:r>
              <w:rPr>
                <w:rFonts w:hint="eastAsia" w:ascii="Times New Roman" w:hAnsi="Times New Roman" w:cs="Times New Roman"/>
                <w:bCs/>
                <w:color w:val="auto"/>
                <w:sz w:val="24"/>
                <w:highlight w:val="none"/>
                <w:lang w:eastAsia="zh-CN"/>
              </w:rPr>
              <w:t>。生活污水产污系数按0.8计算，则废水量为</w:t>
            </w:r>
            <w:r>
              <w:rPr>
                <w:rFonts w:hint="eastAsia" w:ascii="Times New Roman" w:hAnsi="Times New Roman" w:cs="Times New Roman"/>
                <w:bCs/>
                <w:color w:val="auto"/>
                <w:sz w:val="24"/>
                <w:highlight w:val="none"/>
                <w:lang w:val="en-US" w:eastAsia="zh-CN"/>
              </w:rPr>
              <w:t>2.22</w:t>
            </w:r>
            <w:r>
              <w:rPr>
                <w:rFonts w:hint="eastAsia" w:ascii="Times New Roman" w:hAnsi="Times New Roman" w:cs="Times New Roman"/>
                <w:bCs/>
                <w:color w:val="auto"/>
                <w:sz w:val="24"/>
                <w:highlight w:val="none"/>
                <w:lang w:eastAsia="zh-CN"/>
              </w:rPr>
              <w:t>m</w:t>
            </w:r>
            <w:r>
              <w:rPr>
                <w:rFonts w:hint="eastAsia" w:ascii="Times New Roman" w:hAnsi="Times New Roman" w:cs="Times New Roman"/>
                <w:bCs/>
                <w:color w:val="auto"/>
                <w:sz w:val="24"/>
                <w:highlight w:val="none"/>
                <w:vertAlign w:val="superscript"/>
                <w:lang w:eastAsia="zh-CN"/>
              </w:rPr>
              <w:t>3</w:t>
            </w:r>
            <w:r>
              <w:rPr>
                <w:rFonts w:hint="eastAsia" w:ascii="Times New Roman" w:hAnsi="Times New Roman" w:cs="Times New Roman"/>
                <w:bCs/>
                <w:color w:val="auto"/>
                <w:sz w:val="24"/>
                <w:highlight w:val="none"/>
                <w:lang w:eastAsia="zh-CN"/>
              </w:rPr>
              <w:t>/d（</w:t>
            </w:r>
            <w:r>
              <w:rPr>
                <w:rFonts w:hint="eastAsia" w:ascii="Times New Roman" w:hAnsi="Times New Roman" w:cs="Times New Roman"/>
                <w:bCs/>
                <w:color w:val="auto"/>
                <w:sz w:val="24"/>
                <w:highlight w:val="none"/>
                <w:lang w:val="en-US" w:eastAsia="zh-CN"/>
              </w:rPr>
              <w:t>666</w:t>
            </w:r>
            <w:r>
              <w:rPr>
                <w:rFonts w:hint="eastAsia" w:ascii="Times New Roman" w:hAnsi="Times New Roman" w:cs="Times New Roman"/>
                <w:bCs/>
                <w:color w:val="auto"/>
                <w:sz w:val="24"/>
                <w:highlight w:val="none"/>
                <w:lang w:eastAsia="zh-CN"/>
              </w:rPr>
              <w:t>m</w:t>
            </w:r>
            <w:r>
              <w:rPr>
                <w:rFonts w:hint="eastAsia" w:ascii="Times New Roman" w:hAnsi="Times New Roman" w:cs="Times New Roman"/>
                <w:bCs/>
                <w:color w:val="auto"/>
                <w:sz w:val="24"/>
                <w:highlight w:val="none"/>
                <w:vertAlign w:val="superscript"/>
                <w:lang w:eastAsia="zh-CN"/>
              </w:rPr>
              <w:t>3</w:t>
            </w:r>
            <w:r>
              <w:rPr>
                <w:rFonts w:hint="eastAsia" w:ascii="Times New Roman" w:hAnsi="Times New Roman" w:cs="Times New Roman"/>
                <w:bCs/>
                <w:color w:val="auto"/>
                <w:sz w:val="24"/>
                <w:highlight w:val="none"/>
                <w:lang w:eastAsia="zh-CN"/>
              </w:rPr>
              <w:t>/a），</w:t>
            </w:r>
            <w:r>
              <w:rPr>
                <w:rFonts w:hint="eastAsia" w:ascii="Times New Roman" w:hAnsi="Times New Roman" w:cs="Times New Roman"/>
                <w:bCs/>
                <w:color w:val="auto"/>
                <w:sz w:val="24"/>
                <w:highlight w:val="none"/>
                <w:lang w:val="en-US" w:eastAsia="zh-CN"/>
              </w:rPr>
              <w:t>经厂区化粪池处理，化粪池定期清掏，不外排。</w:t>
            </w:r>
          </w:p>
          <w:p w14:paraId="22F1C35B">
            <w:pPr>
              <w:wordWrap w:val="0"/>
              <w:topLinePunct/>
              <w:adjustRightInd w:val="0"/>
              <w:snapToGrid w:val="0"/>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Times New Roman" w:hAnsi="Times New Roman" w:cs="Times New Roman"/>
                <w:color w:val="auto"/>
                <w:sz w:val="24"/>
                <w:highlight w:val="none"/>
                <w:lang w:val="en-US" w:eastAsia="zh-CN"/>
              </w:rPr>
              <w:t>②循环冷却用水：冷却用水循环使用，定期补充，不外排，冷却水水槽内水量为30m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，补水量3m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/d（900m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017A4FC2">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宋体" w:hAnsi="宋体" w:eastAsia="宋体" w:cs="宋体"/>
                <w:color w:val="auto"/>
                <w:kern w:val="0"/>
                <w:sz w:val="24"/>
                <w:szCs w:val="24"/>
                <w:highlight w:val="none"/>
                <w:lang w:val="en-US" w:eastAsia="zh-CN" w:bidi="ar"/>
              </w:rPr>
              <w:t>本项目水平衡表见表</w:t>
            </w:r>
            <w:r>
              <w:rPr>
                <w:rFonts w:hint="eastAsia" w:ascii="Times New Roman" w:hAnsi="Times New Roman" w:eastAsia="宋体" w:cs="Times New Roman"/>
                <w:color w:val="auto"/>
                <w:kern w:val="0"/>
                <w:sz w:val="24"/>
                <w:szCs w:val="24"/>
                <w:highlight w:val="none"/>
                <w:lang w:val="en-US" w:eastAsia="zh-CN" w:bidi="ar"/>
              </w:rPr>
              <w:t>2-5</w:t>
            </w:r>
            <w:r>
              <w:rPr>
                <w:rFonts w:hint="eastAsia" w:ascii="宋体" w:hAnsi="宋体" w:eastAsia="宋体" w:cs="宋体"/>
                <w:color w:val="auto"/>
                <w:kern w:val="0"/>
                <w:sz w:val="24"/>
                <w:szCs w:val="24"/>
                <w:highlight w:val="none"/>
                <w:lang w:val="en-US" w:eastAsia="zh-CN" w:bidi="ar"/>
              </w:rPr>
              <w:t xml:space="preserve">，水平衡图见图 </w:t>
            </w:r>
            <w:r>
              <w:rPr>
                <w:rFonts w:hint="default" w:ascii="Times New Roman" w:hAnsi="Times New Roman" w:eastAsia="宋体"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-1</w:t>
            </w:r>
            <w:r>
              <w:rPr>
                <w:rFonts w:hint="eastAsia" w:ascii="宋体" w:hAnsi="宋体" w:eastAsia="宋体" w:cs="宋体"/>
                <w:color w:val="auto"/>
                <w:kern w:val="0"/>
                <w:sz w:val="24"/>
                <w:szCs w:val="24"/>
                <w:highlight w:val="none"/>
                <w:lang w:val="en-US" w:eastAsia="zh-CN" w:bidi="ar"/>
              </w:rPr>
              <w:t>。</w:t>
            </w:r>
          </w:p>
          <w:p w14:paraId="59C5899E">
            <w:pPr>
              <w:pStyle w:val="14"/>
              <w:jc w:val="center"/>
              <w:rPr>
                <w:rFonts w:hint="default" w:ascii="Times New Roman" w:hAnsi="Times New Roman" w:eastAsia="宋体" w:cs="Times New Roman"/>
                <w:b/>
                <w:bCs/>
                <w:color w:val="auto"/>
                <w:kern w:val="0"/>
                <w:sz w:val="24"/>
                <w:highlight w:val="yellow"/>
                <w:lang w:val="en-US" w:eastAsia="zh-CN" w:bidi="ar"/>
              </w:rPr>
            </w:pPr>
            <w:r>
              <w:rPr>
                <w:rFonts w:hint="eastAsia" w:ascii="Times New Roman" w:hAnsi="Times New Roman" w:eastAsia="宋体" w:cs="Times New Roman"/>
                <w:b/>
                <w:bCs/>
                <w:color w:val="auto"/>
                <w:kern w:val="0"/>
                <w:sz w:val="24"/>
                <w:highlight w:val="none"/>
                <w:lang w:val="en-US" w:eastAsia="zh-CN" w:bidi="ar"/>
              </w:rPr>
              <w:t>表2-5  水平衡表   单位：</w:t>
            </w:r>
            <w:r>
              <w:rPr>
                <w:rFonts w:hint="default" w:ascii="Times New Roman" w:hAnsi="Times New Roman" w:eastAsia="宋体" w:cs="Times New Roman"/>
                <w:b/>
                <w:bCs/>
                <w:color w:val="auto"/>
                <w:kern w:val="0"/>
                <w:sz w:val="24"/>
                <w:highlight w:val="none"/>
                <w:lang w:val="en-US" w:eastAsia="zh-CN" w:bidi="ar"/>
              </w:rPr>
              <w:t>m</w:t>
            </w:r>
            <w:r>
              <w:rPr>
                <w:rFonts w:hint="default" w:ascii="Times New Roman" w:hAnsi="Times New Roman" w:eastAsia="宋体" w:cs="Times New Roman"/>
                <w:b/>
                <w:bCs/>
                <w:color w:val="auto"/>
                <w:kern w:val="0"/>
                <w:sz w:val="24"/>
                <w:highlight w:val="none"/>
                <w:vertAlign w:val="superscript"/>
                <w:lang w:val="en-US" w:eastAsia="zh-CN" w:bidi="ar"/>
              </w:rPr>
              <w:t>3</w:t>
            </w:r>
            <w:r>
              <w:rPr>
                <w:rFonts w:hint="default" w:ascii="Times New Roman" w:hAnsi="Times New Roman" w:eastAsia="宋体" w:cs="Times New Roman"/>
                <w:b/>
                <w:bCs/>
                <w:color w:val="auto"/>
                <w:kern w:val="0"/>
                <w:sz w:val="24"/>
                <w:highlight w:val="none"/>
                <w:lang w:val="en-US" w:eastAsia="zh-CN" w:bidi="ar"/>
              </w:rPr>
              <w:t>/d</w:t>
            </w:r>
            <w:r>
              <w:rPr>
                <w:rFonts w:hint="eastAsia" w:ascii="Times New Roman" w:hAnsi="Times New Roman" w:eastAsia="宋体" w:cs="Times New Roman"/>
                <w:b/>
                <w:bCs/>
                <w:color w:val="auto"/>
                <w:kern w:val="0"/>
                <w:sz w:val="24"/>
                <w:highlight w:val="none"/>
                <w:lang w:val="en-US" w:eastAsia="zh-CN" w:bidi="ar"/>
              </w:rPr>
              <w:t xml:space="preserve">  </w:t>
            </w:r>
          </w:p>
          <w:tbl>
            <w:tblPr>
              <w:tblStyle w:val="37"/>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1676"/>
              <w:gridCol w:w="1159"/>
              <w:gridCol w:w="1101"/>
              <w:gridCol w:w="1169"/>
              <w:gridCol w:w="1169"/>
              <w:gridCol w:w="1373"/>
              <w:gridCol w:w="1180"/>
            </w:tblGrid>
            <w:tr w14:paraId="1B55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2012D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888" w:type="pct"/>
                  <w:noWrap w:val="0"/>
                  <w:tcMar>
                    <w:left w:w="28" w:type="dxa"/>
                    <w:right w:w="28" w:type="dxa"/>
                  </w:tcMar>
                  <w:vAlign w:val="center"/>
                </w:tcPr>
                <w:p w14:paraId="580B31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eastAsia="zh-CN"/>
                    </w:rPr>
                  </w:pPr>
                  <w:r>
                    <w:rPr>
                      <w:rFonts w:hint="eastAsia" w:ascii="Times New Roman" w:hAnsi="Times New Roman" w:cs="Times New Roman"/>
                      <w:b/>
                      <w:bCs/>
                      <w:color w:val="auto"/>
                      <w:szCs w:val="21"/>
                      <w:highlight w:val="none"/>
                      <w:lang w:val="en-US" w:eastAsia="zh-CN"/>
                    </w:rPr>
                    <w:t>名称</w:t>
                  </w:r>
                </w:p>
              </w:tc>
              <w:tc>
                <w:tcPr>
                  <w:tcW w:w="614" w:type="pct"/>
                  <w:noWrap w:val="0"/>
                  <w:tcMar>
                    <w:left w:w="28" w:type="dxa"/>
                    <w:right w:w="28" w:type="dxa"/>
                  </w:tcMar>
                  <w:vAlign w:val="center"/>
                </w:tcPr>
                <w:p w14:paraId="4E34DB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总用水量</w:t>
                  </w:r>
                </w:p>
              </w:tc>
              <w:tc>
                <w:tcPr>
                  <w:tcW w:w="583" w:type="pct"/>
                  <w:noWrap w:val="0"/>
                  <w:tcMar>
                    <w:left w:w="28" w:type="dxa"/>
                    <w:right w:w="28" w:type="dxa"/>
                  </w:tcMar>
                  <w:vAlign w:val="center"/>
                </w:tcPr>
                <w:p w14:paraId="55F569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default" w:ascii="Times New Roman" w:hAnsi="Times New Roman" w:cs="Times New Roman"/>
                      <w:b/>
                      <w:bCs/>
                      <w:color w:val="auto"/>
                      <w:szCs w:val="21"/>
                      <w:highlight w:val="none"/>
                    </w:rPr>
                    <w:t>新鲜水</w:t>
                  </w:r>
                  <w:r>
                    <w:rPr>
                      <w:rFonts w:hint="eastAsia" w:ascii="Times New Roman" w:hAnsi="Times New Roman" w:cs="Times New Roman"/>
                      <w:b/>
                      <w:bCs/>
                      <w:color w:val="auto"/>
                      <w:szCs w:val="21"/>
                      <w:highlight w:val="none"/>
                      <w:lang w:val="en-US" w:eastAsia="zh-CN"/>
                    </w:rPr>
                    <w:t>量</w:t>
                  </w:r>
                </w:p>
              </w:tc>
              <w:tc>
                <w:tcPr>
                  <w:tcW w:w="619" w:type="pct"/>
                  <w:noWrap w:val="0"/>
                  <w:tcMar>
                    <w:left w:w="28" w:type="dxa"/>
                    <w:right w:w="28" w:type="dxa"/>
                  </w:tcMar>
                  <w:vAlign w:val="center"/>
                </w:tcPr>
                <w:p w14:paraId="65C040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Cs w:val="21"/>
                      <w:highlight w:val="none"/>
                      <w:lang w:eastAsia="zh-CN"/>
                    </w:rPr>
                  </w:pPr>
                  <w:r>
                    <w:rPr>
                      <w:rFonts w:hint="eastAsia" w:ascii="Times New Roman" w:hAnsi="Times New Roman" w:cs="Times New Roman"/>
                      <w:b/>
                      <w:bCs/>
                      <w:color w:val="auto"/>
                      <w:szCs w:val="21"/>
                      <w:highlight w:val="none"/>
                      <w:lang w:eastAsia="zh-CN"/>
                    </w:rPr>
                    <w:t>回用水量</w:t>
                  </w:r>
                </w:p>
              </w:tc>
              <w:tc>
                <w:tcPr>
                  <w:tcW w:w="619" w:type="pct"/>
                  <w:noWrap w:val="0"/>
                  <w:tcMar>
                    <w:left w:w="28" w:type="dxa"/>
                    <w:right w:w="28" w:type="dxa"/>
                  </w:tcMar>
                  <w:vAlign w:val="center"/>
                </w:tcPr>
                <w:p w14:paraId="472C24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循环</w:t>
                  </w:r>
                  <w:r>
                    <w:rPr>
                      <w:rFonts w:hint="default" w:ascii="Times New Roman" w:hAnsi="Times New Roman" w:cs="Times New Roman"/>
                      <w:b/>
                      <w:bCs/>
                      <w:color w:val="auto"/>
                      <w:szCs w:val="21"/>
                      <w:highlight w:val="none"/>
                    </w:rPr>
                    <w:t>水量</w:t>
                  </w:r>
                </w:p>
              </w:tc>
              <w:tc>
                <w:tcPr>
                  <w:tcW w:w="727" w:type="pct"/>
                  <w:noWrap w:val="0"/>
                  <w:vAlign w:val="center"/>
                </w:tcPr>
                <w:p w14:paraId="0F5E48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蒸发、损耗</w:t>
                  </w:r>
                  <w:r>
                    <w:rPr>
                      <w:rFonts w:hint="default" w:ascii="Times New Roman" w:hAnsi="Times New Roman" w:cs="Times New Roman"/>
                      <w:b/>
                      <w:bCs/>
                      <w:color w:val="auto"/>
                      <w:szCs w:val="21"/>
                      <w:highlight w:val="none"/>
                    </w:rPr>
                    <w:t>量</w:t>
                  </w:r>
                </w:p>
              </w:tc>
              <w:tc>
                <w:tcPr>
                  <w:tcW w:w="625" w:type="pct"/>
                  <w:noWrap w:val="0"/>
                  <w:vAlign w:val="center"/>
                </w:tcPr>
                <w:p w14:paraId="370DDD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废水产生量</w:t>
                  </w:r>
                </w:p>
              </w:tc>
            </w:tr>
            <w:tr w14:paraId="101D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504C3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c>
                <w:tcPr>
                  <w:tcW w:w="888" w:type="pct"/>
                  <w:noWrap w:val="0"/>
                  <w:vAlign w:val="center"/>
                </w:tcPr>
                <w:p w14:paraId="79DB89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4"/>
                      <w:lang w:eastAsia="zh-CN"/>
                    </w:rPr>
                    <w:t>循环冷却用水</w:t>
                  </w:r>
                </w:p>
              </w:tc>
              <w:tc>
                <w:tcPr>
                  <w:tcW w:w="614" w:type="pct"/>
                  <w:noWrap w:val="0"/>
                  <w:vAlign w:val="center"/>
                </w:tcPr>
                <w:p w14:paraId="7F249F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33</w:t>
                  </w:r>
                </w:p>
              </w:tc>
              <w:tc>
                <w:tcPr>
                  <w:tcW w:w="583" w:type="pct"/>
                  <w:noWrap w:val="0"/>
                  <w:vAlign w:val="center"/>
                </w:tcPr>
                <w:p w14:paraId="6B4C57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w:t>
                  </w:r>
                </w:p>
              </w:tc>
              <w:tc>
                <w:tcPr>
                  <w:tcW w:w="619" w:type="pct"/>
                  <w:noWrap w:val="0"/>
                  <w:vAlign w:val="center"/>
                </w:tcPr>
                <w:p w14:paraId="1BDF3E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4C3936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30</w:t>
                  </w:r>
                </w:p>
              </w:tc>
              <w:tc>
                <w:tcPr>
                  <w:tcW w:w="727" w:type="pct"/>
                  <w:noWrap w:val="0"/>
                  <w:vAlign w:val="center"/>
                </w:tcPr>
                <w:p w14:paraId="61E6D2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w:t>
                  </w:r>
                </w:p>
              </w:tc>
              <w:tc>
                <w:tcPr>
                  <w:tcW w:w="625" w:type="pct"/>
                  <w:noWrap w:val="0"/>
                  <w:vAlign w:val="center"/>
                </w:tcPr>
                <w:p w14:paraId="13BCCE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38E3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D06F3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888" w:type="pct"/>
                  <w:noWrap w:val="0"/>
                  <w:vAlign w:val="center"/>
                </w:tcPr>
                <w:p w14:paraId="5B59D6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生活用水</w:t>
                  </w:r>
                </w:p>
              </w:tc>
              <w:tc>
                <w:tcPr>
                  <w:tcW w:w="614" w:type="pct"/>
                  <w:noWrap w:val="0"/>
                  <w:vAlign w:val="center"/>
                </w:tcPr>
                <w:p w14:paraId="69F611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2.775</w:t>
                  </w:r>
                </w:p>
              </w:tc>
              <w:tc>
                <w:tcPr>
                  <w:tcW w:w="583" w:type="pct"/>
                  <w:noWrap w:val="0"/>
                  <w:vAlign w:val="center"/>
                </w:tcPr>
                <w:p w14:paraId="369AC0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2.775</w:t>
                  </w:r>
                </w:p>
              </w:tc>
              <w:tc>
                <w:tcPr>
                  <w:tcW w:w="619" w:type="pct"/>
                  <w:noWrap w:val="0"/>
                  <w:vAlign w:val="center"/>
                </w:tcPr>
                <w:p w14:paraId="6A7875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357583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727" w:type="pct"/>
                  <w:noWrap w:val="0"/>
                  <w:vAlign w:val="center"/>
                </w:tcPr>
                <w:p w14:paraId="50F1B0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0.555</w:t>
                  </w:r>
                </w:p>
              </w:tc>
              <w:tc>
                <w:tcPr>
                  <w:tcW w:w="625" w:type="pct"/>
                  <w:noWrap w:val="0"/>
                  <w:vAlign w:val="center"/>
                </w:tcPr>
                <w:p w14:paraId="3D3958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2.22</w:t>
                  </w:r>
                </w:p>
              </w:tc>
            </w:tr>
            <w:tr w14:paraId="06C6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1" w:type="pct"/>
                  <w:noWrap w:val="0"/>
                  <w:vAlign w:val="center"/>
                </w:tcPr>
                <w:p w14:paraId="1CFBD4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888" w:type="pct"/>
                  <w:noWrap w:val="0"/>
                  <w:vAlign w:val="center"/>
                </w:tcPr>
                <w:p w14:paraId="444CF6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152" w:type="dxa"/>
                  <w:noWrap w:val="0"/>
                  <w:vAlign w:val="center"/>
                </w:tcPr>
                <w:p w14:paraId="2F5134CE">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35.775</w:t>
                  </w:r>
                </w:p>
              </w:tc>
              <w:tc>
                <w:tcPr>
                  <w:tcW w:w="1093" w:type="dxa"/>
                  <w:noWrap w:val="0"/>
                  <w:vAlign w:val="center"/>
                </w:tcPr>
                <w:p w14:paraId="5EC7590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5.775</w:t>
                  </w:r>
                </w:p>
              </w:tc>
              <w:tc>
                <w:tcPr>
                  <w:tcW w:w="1161" w:type="dxa"/>
                  <w:noWrap w:val="0"/>
                  <w:vAlign w:val="center"/>
                </w:tcPr>
                <w:p w14:paraId="367F7009">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161" w:type="dxa"/>
                  <w:noWrap w:val="0"/>
                  <w:vAlign w:val="center"/>
                </w:tcPr>
                <w:p w14:paraId="6263CFBC">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364" w:type="dxa"/>
                  <w:noWrap w:val="0"/>
                  <w:vAlign w:val="center"/>
                </w:tcPr>
                <w:p w14:paraId="5EA45FC5">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3.555</w:t>
                  </w:r>
                </w:p>
              </w:tc>
              <w:tc>
                <w:tcPr>
                  <w:tcW w:w="1172" w:type="dxa"/>
                  <w:noWrap w:val="0"/>
                  <w:vAlign w:val="center"/>
                </w:tcPr>
                <w:p w14:paraId="3E711910">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2.22</w:t>
                  </w:r>
                </w:p>
              </w:tc>
            </w:tr>
          </w:tbl>
          <w:p w14:paraId="7FD3CB29">
            <w:pPr>
              <w:pStyle w:val="14"/>
              <w:jc w:val="center"/>
              <w:rPr>
                <w:rFonts w:hint="eastAsia" w:ascii="Times New Roman" w:hAnsi="Times New Roman" w:eastAsia="宋体" w:cs="Times New Roman"/>
                <w:b/>
                <w:bCs/>
                <w:color w:val="FF0000"/>
                <w:kern w:val="0"/>
                <w:sz w:val="24"/>
                <w:highlight w:val="none"/>
                <w:lang w:val="en-US" w:eastAsia="zh-CN" w:bidi="ar"/>
              </w:rPr>
            </w:pPr>
            <w:r>
              <w:rPr>
                <w:color w:val="FF0000"/>
                <w:sz w:val="21"/>
                <w:highlight w:val="none"/>
              </w:rPr>
              <mc:AlternateContent>
                <mc:Choice Requires="wpc">
                  <w:drawing>
                    <wp:inline distT="0" distB="0" distL="114300" distR="114300">
                      <wp:extent cx="5499735" cy="2026285"/>
                      <wp:effectExtent l="0" t="0" r="0" b="0"/>
                      <wp:docPr id="7" name="画布 7"/>
                      <wp:cNvGraphicFramePr/>
                      <a:graphic xmlns:a="http://schemas.openxmlformats.org/drawingml/2006/main">
                        <a:graphicData uri="http://schemas.microsoft.com/office/word/2010/wordprocessingCanvas">
                          <wpc:wpc>
                            <wpc:bg/>
                            <wpc:whole/>
                            <wps:wsp>
                              <wps:cNvPr id="17" name="直接箭头连接符 9"/>
                              <wps:cNvCnPr/>
                              <wps:spPr>
                                <a:xfrm>
                                  <a:off x="130175" y="912495"/>
                                  <a:ext cx="85344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8" name="文本框 11"/>
                              <wps:cNvSpPr txBox="1"/>
                              <wps:spPr>
                                <a:xfrm>
                                  <a:off x="69850" y="6381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CD46B">
                                    <w:pPr>
                                      <w:jc w:val="center"/>
                                      <w:rPr>
                                        <w:rFonts w:hint="eastAsia" w:eastAsiaTheme="minorEastAsia"/>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直接连接符 13"/>
                              <wps:cNvCnPr/>
                              <wps:spPr>
                                <a:xfrm>
                                  <a:off x="995045" y="511175"/>
                                  <a:ext cx="1905" cy="1189355"/>
                                </a:xfrm>
                                <a:prstGeom prst="line">
                                  <a:avLst/>
                                </a:prstGeom>
                              </wps:spPr>
                              <wps:style>
                                <a:lnRef idx="1">
                                  <a:schemeClr val="dk1"/>
                                </a:lnRef>
                                <a:fillRef idx="0">
                                  <a:schemeClr val="dk1"/>
                                </a:fillRef>
                                <a:effectRef idx="0">
                                  <a:schemeClr val="dk1"/>
                                </a:effectRef>
                                <a:fontRef idx="minor">
                                  <a:schemeClr val="tx1"/>
                                </a:fontRef>
                              </wps:style>
                              <wps:bodyPr/>
                            </wps:wsp>
                            <wps:wsp>
                              <wps:cNvPr id="20" name="直接箭头连接符 16"/>
                              <wps:cNvCnPr/>
                              <wps:spPr>
                                <a:xfrm>
                                  <a:off x="1002665" y="514985"/>
                                  <a:ext cx="486410" cy="635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2" name="文本框 17"/>
                              <wps:cNvSpPr txBox="1"/>
                              <wps:spPr>
                                <a:xfrm>
                                  <a:off x="1481455" y="376555"/>
                                  <a:ext cx="198945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0B3225">
                                    <w:pPr>
                                      <w:jc w:val="center"/>
                                      <w:rPr>
                                        <w:rFonts w:hint="default" w:eastAsiaTheme="minorEastAsia"/>
                                        <w:lang w:val="en-US" w:eastAsia="zh-CN"/>
                                      </w:rPr>
                                    </w:pPr>
                                    <w:r>
                                      <w:rPr>
                                        <w:rFonts w:hint="default" w:ascii="Times New Roman" w:hAnsi="Times New Roman" w:eastAsia="宋体" w:cs="Times New Roman"/>
                                        <w:color w:val="auto"/>
                                        <w:szCs w:val="24"/>
                                        <w:lang w:eastAsia="zh-CN"/>
                                      </w:rPr>
                                      <w:t>循环冷却</w:t>
                                    </w:r>
                                    <w:r>
                                      <w:rPr>
                                        <w:rFonts w:hint="eastAsia"/>
                                        <w:lang w:val="en-US" w:eastAsia="zh-CN"/>
                                      </w:rPr>
                                      <w:t>用水（</w:t>
                                    </w:r>
                                    <w:r>
                                      <w:rPr>
                                        <w:rFonts w:hint="eastAsia" w:ascii="Times New Roman" w:hAnsi="Times New Roman" w:cs="Times New Roman"/>
                                        <w:lang w:val="en-US" w:eastAsia="zh-CN"/>
                                      </w:rPr>
                                      <w:t>30</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flipV="1">
                                  <a:off x="1740535" y="20510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4" name="文本框 33"/>
                              <wps:cNvSpPr txBox="1"/>
                              <wps:spPr>
                                <a:xfrm>
                                  <a:off x="27940" y="92837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5.775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6" name="文本框 34"/>
                              <wps:cNvSpPr txBox="1"/>
                              <wps:spPr>
                                <a:xfrm>
                                  <a:off x="1947545" y="19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7" name="文本框 39"/>
                              <wps:cNvSpPr txBox="1"/>
                              <wps:spPr>
                                <a:xfrm>
                                  <a:off x="873760" y="28765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38"/>
                              <wps:cNvSpPr txBox="1"/>
                              <wps:spPr>
                                <a:xfrm>
                                  <a:off x="885190" y="1463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2.775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 name="直接箭头连接符 15"/>
                              <wps:cNvCnPr/>
                              <wps:spPr>
                                <a:xfrm flipV="1">
                                  <a:off x="1004570" y="170116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7" name="直接箭头连接符 25"/>
                              <wps:cNvCnPr/>
                              <wps:spPr>
                                <a:xfrm flipV="1">
                                  <a:off x="1808480" y="137731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5" name="文本框 38"/>
                              <wps:cNvSpPr txBox="1"/>
                              <wps:spPr>
                                <a:xfrm>
                                  <a:off x="1906905" y="1162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0.555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8" name="文本框 21"/>
                              <wps:cNvSpPr txBox="1"/>
                              <wps:spPr>
                                <a:xfrm>
                                  <a:off x="1501140" y="1560195"/>
                                  <a:ext cx="9664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2E48080">
                                    <w:pPr>
                                      <w:jc w:val="center"/>
                                      <w:rPr>
                                        <w:rFonts w:hint="default" w:eastAsiaTheme="minorEastAsia"/>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9" name="直接箭头连接符 15"/>
                              <wps:cNvCnPr/>
                              <wps:spPr>
                                <a:xfrm flipV="1">
                                  <a:off x="2484755" y="170878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2" name="文本框 38"/>
                              <wps:cNvSpPr txBox="1"/>
                              <wps:spPr>
                                <a:xfrm>
                                  <a:off x="2345055" y="149161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文本框 37"/>
                              <wps:cNvSpPr txBox="1"/>
                              <wps:spPr>
                                <a:xfrm>
                                  <a:off x="3091815" y="1475105"/>
                                  <a:ext cx="1563370" cy="5346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经厂区化粪池处理，定期清掏、不外排</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59.55pt;width:433.05pt;" coordsize="5499735,2026285" editas="canvas" o:gfxdata="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DTuIb+1wAAAAUBAAAPAAAAAAAAAAEAIAAAACIAAABkcnMvZG93bnJldi54&#10;bWxQSwECFAAUAAAACACHTuJAU7octDYGAADxLAAADgAAAAAAAAABACAAAAAmAQAAZHJzL2Uyb0Rv&#10;Yy54bWxQSwUGAAAAAAYABgBZAQAAzgkAAAAA&#10;">
                      <o:lock v:ext="edit" aspectratio="f"/>
                      <v:shape id="_x0000_s1026" o:spid="_x0000_s1026" style="position:absolute;left:0;top:0;height:2026285;width:5499735;" filled="f" stroked="f" coordsize="21600,21600" o:gfxdata="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">
                        <v:fill on="f" focussize="0,0"/>
                        <v:stroke on="f"/>
                        <v:imagedata o:title=""/>
                        <o:lock v:ext="edit" aspectratio="f"/>
                      </v:shape>
                      <v:shape id="直接箭头连接符 9" o:spid="_x0000_s1026" o:spt="32" type="#_x0000_t32" style="position:absolute;left:130175;top:912495;height:0;width:853440;" filled="f" stroked="t" coordsize="21600,21600" o:gfxdata="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iBpQzT&#10;AAAABQEAAA8AAAAAAAAAAQAgAAAAIgAAAGRycy9kb3ducmV2LnhtbFBLAQIUABQAAAAIAIdO4kDc&#10;TnPFJQIAABUEAAAOAAAAAAAAAAEAIAAAACIBAABkcnMvZTJvRG9jLnhtbFBLBQYAAAAABgAGAFkB&#10;AAC5BQAAAAA=&#10;">
                        <v:fill on="f" focussize="0,0"/>
                        <v:stroke weight="0.5pt" color="#000000 [3213]" miterlimit="8" joinstyle="miter" endarrow="block"/>
                        <v:imagedata o:title=""/>
                        <o:lock v:ext="edit" aspectratio="f"/>
                      </v:shape>
                      <v:shape id="文本框 11" o:spid="_x0000_s1026" o:spt="202" type="#_x0000_t202" style="position:absolute;left:69850;top:638175;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0FkNw1wAAAAUBAAAPAAAAAAAAAAEAIAAAACIA&#10;AABkcnMvZG93bnJldi54bWxQSwECFAAUAAAACACHTuJAACBK4kMCAABwBAAADgAAAAAAAAABACAA&#10;AAAmAQAAZHJzL2Uyb0RvYy54bWxQSwUGAAAAAAYABgBZAQAA2wUAAAAA&#10;">
                        <v:fill on="f" focussize="0,0"/>
                        <v:stroke on="f" weight="0.5pt"/>
                        <v:imagedata o:title=""/>
                        <o:lock v:ext="edit" aspectratio="f"/>
                        <v:textbox>
                          <w:txbxContent>
                            <w:p w14:paraId="3FECD46B">
                              <w:pPr>
                                <w:jc w:val="center"/>
                                <w:rPr>
                                  <w:rFonts w:hint="eastAsia" w:eastAsiaTheme="minorEastAsia"/>
                                  <w:lang w:val="en-US" w:eastAsia="zh-CN"/>
                                </w:rPr>
                              </w:pPr>
                              <w:r>
                                <w:rPr>
                                  <w:rFonts w:hint="eastAsia"/>
                                  <w:lang w:val="en-US" w:eastAsia="zh-CN"/>
                                </w:rPr>
                                <w:t>新鲜水</w:t>
                              </w:r>
                            </w:p>
                          </w:txbxContent>
                        </v:textbox>
                      </v:shape>
                      <v:line id="直接连接符 13" o:spid="_x0000_s1026" o:spt="20" style="position:absolute;left:995045;top:511175;height:1189355;width:1905;" filled="f" stroked="t" coordsize="21600,21600" o:gfxdata="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HpVUU9MAAAAFAQAADwAAAAAAAAABACAAAAAiAAAAZHJzL2Rvd25yZXYueG1sUEsBAhQAFAAA&#10;AAgAh07iQAGfn9b0AQAAwAMAAA4AAAAAAAAAAQAgAAAAIgEAAGRycy9lMm9Eb2MueG1sUEsFBgAA&#10;AAAGAAYAWQEAAIgFAAAAAA==&#10;">
                        <v:fill on="f" focussize="0,0"/>
                        <v:stroke weight="0.5pt" color="#000000 [3200]" miterlimit="8" joinstyle="miter"/>
                        <v:imagedata o:title=""/>
                        <o:lock v:ext="edit" aspectratio="f"/>
                      </v:line>
                      <v:shape id="直接箭头连接符 16" o:spid="_x0000_s1026" o:spt="32" type="#_x0000_t32" style="position:absolute;left:1002665;top:514985;height:6350;width:486410;" filled="f" stroked="t" coordsize="21600,21600" o:gfxdata="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IGl&#10;DNMAAAAFAQAADwAAAAAAAAABACAAAAAiAAAAZHJzL2Rvd25yZXYueG1sUEsBAhQAFAAAAAgAh07i&#10;QJjgSkInAgAAGgQAAA4AAAAAAAAAAQAgAAAAIgEAAGRycy9lMm9Eb2MueG1sUEsFBgAAAAAGAAYA&#10;WQEAALsFAAAAAA==&#10;">
                        <v:fill on="f" focussize="0,0"/>
                        <v:stroke weight="0.5pt" color="#000000 [3213]" miterlimit="8" joinstyle="miter" endarrow="block"/>
                        <v:imagedata o:title=""/>
                        <o:lock v:ext="edit" aspectratio="f"/>
                      </v:shape>
                      <v:shape id="文本框 17" o:spid="_x0000_s1026" o:spt="202" type="#_x0000_t202" style="position:absolute;left:1481455;top:376555;height:297180;width:1989455;" fillcolor="#FFFFFF [3201]" filled="t" stroked="t" coordsize="21600,21600" o:gfxdata="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cAqmbTAAAABQEAAA8AAAAAAAAAAQAgAAAAIgAAAGRycy9kb3ducmV2LnhtbFBLAQIUABQAAAAI&#10;AIdO4kBh7rwJZAIAAMQEAAAOAAAAAAAAAAEAIAAAACIBAABkcnMvZTJvRG9jLnhtbFBLBQYAAAAA&#10;BgAGAFkBAAD4BQAAAAA=&#10;">
                        <v:fill on="t" focussize="0,0"/>
                        <v:stroke weight="0.5pt" color="#000000 [3204]" joinstyle="round"/>
                        <v:imagedata o:title=""/>
                        <o:lock v:ext="edit" aspectratio="f"/>
                        <v:textbox>
                          <w:txbxContent>
                            <w:p w14:paraId="6F0B3225">
                              <w:pPr>
                                <w:jc w:val="center"/>
                                <w:rPr>
                                  <w:rFonts w:hint="default" w:eastAsiaTheme="minorEastAsia"/>
                                  <w:lang w:val="en-US" w:eastAsia="zh-CN"/>
                                </w:rPr>
                              </w:pPr>
                              <w:r>
                                <w:rPr>
                                  <w:rFonts w:hint="default" w:ascii="Times New Roman" w:hAnsi="Times New Roman" w:eastAsia="宋体" w:cs="Times New Roman"/>
                                  <w:color w:val="auto"/>
                                  <w:szCs w:val="24"/>
                                  <w:lang w:eastAsia="zh-CN"/>
                                </w:rPr>
                                <w:t>循环冷却</w:t>
                              </w:r>
                              <w:r>
                                <w:rPr>
                                  <w:rFonts w:hint="eastAsia"/>
                                  <w:lang w:val="en-US" w:eastAsia="zh-CN"/>
                                </w:rPr>
                                <w:t>用水（</w:t>
                              </w:r>
                              <w:r>
                                <w:rPr>
                                  <w:rFonts w:hint="eastAsia" w:ascii="Times New Roman" w:hAnsi="Times New Roman" w:cs="Times New Roman"/>
                                  <w:lang w:val="en-US" w:eastAsia="zh-CN"/>
                                </w:rPr>
                                <w:t>30</w:t>
                              </w:r>
                              <w:r>
                                <w:rPr>
                                  <w:rFonts w:hint="eastAsia"/>
                                  <w:lang w:val="en-US" w:eastAsia="zh-CN"/>
                                </w:rPr>
                                <w:t>）</w:t>
                              </w:r>
                            </w:p>
                          </w:txbxContent>
                        </v:textbox>
                      </v:shape>
                      <v:shape id="_x0000_s1026" o:spid="_x0000_s1026" o:spt="32" type="#_x0000_t32" style="position:absolute;left:1740535;top:205105;flip:y;height:167640;width:381000;" filled="f" stroked="t" coordsize="21600,21600" o:gfxdata="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IU6QbWAAAABQEAAA8AAAAAAAAAAQAgAAAAIgAAAGRycy9kb3ducmV2LnhtbFBL&#10;AQIUABQAAAAIAIdO4kDoKxClMQIAACUEAAAOAAAAAAAAAAEAIAAAACUBAABkcnMvZTJvRG9jLnht&#10;bFBLBQYAAAAABgAGAFkBAADIBQAAAAA=&#10;">
                        <v:fill on="f" focussize="0,0"/>
                        <v:stroke weight="0.5pt" color="#000000 [3213]" miterlimit="8" joinstyle="miter" dashstyle="dash" endarrow="block"/>
                        <v:imagedata o:title=""/>
                        <o:lock v:ext="edit" aspectratio="f"/>
                      </v:shape>
                      <v:shape id="文本框 33" o:spid="_x0000_s1026" o:spt="202" type="#_x0000_t202" style="position:absolute;left:27940;top:928370;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BZDcNcAAAAFAQAADwAAAAAAAAABACAA&#10;AAAiAAAAZHJzL2Rvd25yZXYueG1sUEsBAhQAFAAAAAgAh07iQNnn6SBHAgAAcAQAAA4AAAAAAAAA&#10;AQAgAAAAJgEAAGRycy9lMm9Eb2MueG1sUEsFBgAAAAAGAAYAWQEAAN8FAAAAAA==&#10;">
                        <v:fill on="f" focussize="0,0"/>
                        <v:stroke on="f" weight="0.5pt"/>
                        <v:imagedata o:title=""/>
                        <o:lock v:ext="edit" aspectratio="f"/>
                        <v:textbo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5.775</w:t>
                              </w:r>
                            </w:p>
                          </w:txbxContent>
                        </v:textbox>
                      </v:shape>
                      <v:shape id="文本框 34" o:spid="_x0000_s1026" o:spt="202" type="#_x0000_t202" style="position:absolute;left:1947545;top:19685;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QWQ3DXAAAABQEAAA8AAAAAAAAAAQAgAAAA&#10;IgAAAGRycy9kb3ducmV2LnhtbFBLAQIUABQAAAAIAIdO4kDJTr77RQIAAHEEAAAOAAAAAAAAAAEA&#10;IAAAACYBAABkcnMvZTJvRG9jLnhtbFBLBQYAAAAABgAGAFkBAADdBQAAAAA=&#10;">
                        <v:fill on="f" focussize="0,0"/>
                        <v:stroke on="f" weight="0.5pt"/>
                        <v:imagedata o:title=""/>
                        <o:lock v:ext="edit" aspectratio="f"/>
                        <v:textbo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w:t>
                              </w:r>
                            </w:p>
                          </w:txbxContent>
                        </v:textbox>
                      </v:shape>
                      <v:shape id="文本框 39" o:spid="_x0000_s1026" o:spt="202" type="#_x0000_t202" style="position:absolute;left:873760;top:287655;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QWQ3DXAAAABQEAAA8AAAAAAAAAAQAgAAAA&#10;IgAAAGRycy9kb3ducmV2LnhtbFBLAQIUABQAAAAIAIdO4kCLHh1nRQIAAHEEAAAOAAAAAAAAAAEA&#10;IAAAACYBAABkcnMvZTJvRG9jLnhtbFBLBQYAAAAABgAGAFkBAADdBQAAAAA=&#10;">
                        <v:fill on="f" focussize="0,0"/>
                        <v:stroke on="f" weight="0.5pt"/>
                        <v:imagedata o:title=""/>
                        <o:lock v:ext="edit" aspectratio="f"/>
                        <v:textbo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w:t>
                              </w:r>
                            </w:p>
                          </w:txbxContent>
                        </v:textbox>
                      </v:shape>
                      <v:shape id="文本框 38" o:spid="_x0000_s1026" o:spt="202" type="#_x0000_t202" style="position:absolute;left:885190;top:1463040;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BZDcNcAAAAFAQAADwAAAAAAAAABACAA&#10;AAAiAAAAZHJzL2Rvd25yZXYueG1sUEsBAhQAFAAAAAgAh07iQJhm+WFHAgAAcgQAAA4AAAAAAAAA&#10;AQAgAAAAJgEAAGRycy9lMm9Eb2MueG1sUEsFBgAAAAAGAAYAWQEAAN8FAAAAAA==&#10;">
                        <v:fill on="f" focussize="0,0"/>
                        <v:stroke on="f" weight="0.5pt"/>
                        <v:imagedata o:title=""/>
                        <o:lock v:ext="edit" aspectratio="f"/>
                        <v:textbo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2.775</w:t>
                              </w:r>
                            </w:p>
                          </w:txbxContent>
                        </v:textbox>
                      </v:shape>
                      <v:shape id="直接箭头连接符 15" o:spid="_x0000_s1026" o:spt="32" type="#_x0000_t32" style="position:absolute;left:1004570;top:1701165;flip:y;height:1270;width:486410;" filled="f" stroked="t" coordsize="21600,21600" o:gfxdata="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uZXwX1gAAAAUBAAAPAAAAAAAAAAEAIAAAACIAAABkcnMvZG93bnJldi54bWxQSwEC&#10;FAAUAAAACACHTuJApeXUXC8CAAAlBAAADgAAAAAAAAABACAAAAAlAQAAZHJzL2Uyb0RvYy54bWxQ&#10;SwUGAAAAAAYABgBZAQAAxgUAAAAA&#10;">
                        <v:fill on="f" focussize="0,0"/>
                        <v:stroke weight="0.5pt" color="#000000 [3213]" miterlimit="8" joinstyle="miter" endarrow="block"/>
                        <v:imagedata o:title=""/>
                        <o:lock v:ext="edit" aspectratio="f"/>
                      </v:shape>
                      <v:shape id="直接箭头连接符 25" o:spid="_x0000_s1026" o:spt="32" type="#_x0000_t32" style="position:absolute;left:1808480;top:1377315;flip:y;height:167640;width:381000;" filled="f" stroked="t" coordsize="21600,21600" o:gfxdata="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chTpBtYAAAAFAQAADwAAAAAAAAABACAAAAAiAAAAZHJzL2Rvd25yZXYueG1s&#10;UEsBAhQAFAAAAAgAh07iQF9xiLkzAgAAJwQAAA4AAAAAAAAAAQAgAAAAJQEAAGRycy9lMm9Eb2Mu&#10;eG1sUEsFBgAAAAAGAAYAWQEAAMoFAAAAAA==&#10;">
                        <v:fill on="f" focussize="0,0"/>
                        <v:stroke weight="0.5pt" color="#000000 [3213]" miterlimit="8" joinstyle="miter" dashstyle="dash" endarrow="block"/>
                        <v:imagedata o:title=""/>
                        <o:lock v:ext="edit" aspectratio="f"/>
                      </v:shape>
                      <v:shape id="文本框 38" o:spid="_x0000_s1026" o:spt="202" type="#_x0000_t202" style="position:absolute;left:1906905;top:1162685;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BZDcNcAAAAFAQAADwAAAAAAAAAB&#10;ACAAAAAiAAAAZHJzL2Rvd25yZXYueG1sUEsBAhQAFAAAAAgAh07iQFQfuuFKAgAAdAQAAA4AAAAA&#10;AAAAAQAgAAAAJgEAAGRycy9lMm9Eb2MueG1sUEsFBgAAAAAGAAYAWQEAAOIFAAAAAA==&#10;">
                        <v:fill on="f" focussize="0,0"/>
                        <v:stroke on="f" weight="0.5pt"/>
                        <v:imagedata o:title=""/>
                        <o:lock v:ext="edit" aspectratio="f"/>
                        <v:textbo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0.555</w:t>
                              </w:r>
                            </w:p>
                          </w:txbxContent>
                        </v:textbox>
                      </v:shape>
                      <v:shape id="文本框 21" o:spid="_x0000_s1026" o:spt="202" type="#_x0000_t202" style="position:absolute;left:1501140;top:1560195;height:297180;width:966470;" fillcolor="#FFFFFF [3201]" filled="t" stroked="t" coordsize="21600,21600" o:gfxdata="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nAKpm0wAAAAUBAAAPAAAAAAAAAAEAIAAAACIAAABkcnMvZG93bnJldi54bWxQSwECFAAUAAAA&#10;CACHTuJAHgKH+WUCAADFBAAADgAAAAAAAAABACAAAAAiAQAAZHJzL2Uyb0RvYy54bWxQSwUGAAAA&#10;AAYABgBZAQAA+QUAAAAA&#10;">
                        <v:fill on="t" focussize="0,0"/>
                        <v:stroke weight="0.5pt" color="#000000 [3204]" joinstyle="round"/>
                        <v:imagedata o:title=""/>
                        <o:lock v:ext="edit" aspectratio="f"/>
                        <v:textbox>
                          <w:txbxContent>
                            <w:p w14:paraId="02E48080">
                              <w:pPr>
                                <w:jc w:val="center"/>
                                <w:rPr>
                                  <w:rFonts w:hint="default" w:eastAsiaTheme="minorEastAsia"/>
                                  <w:lang w:val="en-US" w:eastAsia="zh-CN"/>
                                </w:rPr>
                              </w:pPr>
                              <w:r>
                                <w:rPr>
                                  <w:rFonts w:hint="eastAsia"/>
                                  <w:lang w:val="en-US" w:eastAsia="zh-CN"/>
                                </w:rPr>
                                <w:t>生活用水</w:t>
                              </w:r>
                            </w:p>
                          </w:txbxContent>
                        </v:textbox>
                      </v:shape>
                      <v:shape id="直接箭头连接符 15" o:spid="_x0000_s1026" o:spt="32" type="#_x0000_t32" style="position:absolute;left:2484755;top:1708785;flip:y;height:1270;width:486410;" filled="f" stroked="t" coordsize="21600,21600" o:gfxdata="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uZXwX1gAAAAUBAAAPAAAAAAAAAAEAIAAAACIAAABkcnMvZG93bnJldi54bWxQ&#10;SwECFAAUAAAACACHTuJAd8sIzTICAAAmBAAADgAAAAAAAAABACAAAAAlAQAAZHJzL2Uyb0RvYy54&#10;bWxQSwUGAAAAAAYABgBZAQAAyQUAAAAA&#10;">
                        <v:fill on="f" focussize="0,0"/>
                        <v:stroke weight="0.5pt" color="#000000 [3213]" miterlimit="8" joinstyle="miter" endarrow="block"/>
                        <v:imagedata o:title=""/>
                        <o:lock v:ext="edit" aspectratio="f"/>
                      </v:shape>
                      <v:shape id="文本框 38" o:spid="_x0000_s1026" o:spt="202" type="#_x0000_t202" style="position:absolute;left:2345055;top:1491615;height:289560;width:75438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QWQ3DXAAAABQEAAA8AAAAAAAAA&#10;AQAgAAAAIgAAAGRycy9kb3ducmV2LnhtbFBLAQIUABQAAAAIAIdO4kB0Y+kISwIAAHQEAAAOAAAA&#10;AAAAAAEAIAAAACYBAABkcnMvZTJvRG9jLnhtbFBLBQYAAAAABgAGAFkBAADjBQAAAAA=&#10;">
                        <v:fill on="f" focussize="0,0"/>
                        <v:stroke on="f" weight="0.5pt"/>
                        <v:imagedata o:title=""/>
                        <o:lock v:ext="edit" aspectratio="f"/>
                        <v:textbo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2.22</w:t>
                              </w:r>
                            </w:p>
                          </w:txbxContent>
                        </v:textbox>
                      </v:shape>
                      <v:shape id="文本框 37" o:spid="_x0000_s1026" o:spt="202" type="#_x0000_t202" style="position:absolute;left:3091815;top:1475105;height:534670;width:1563370;" filled="f" stroked="f" coordsize="21600,21600" o:gfxdata="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0FkNw1wAAAAUBAAAPAAAAAAAAAAEA&#10;IAAAACIAAABkcnMvZG93bnJldi54bWxQSwECFAAUAAAACACHTuJAYeC30kkCAAB1BAAADgAAAAAA&#10;AAABACAAAAAmAQAAZHJzL2Uyb0RvYy54bWxQSwUGAAAAAAYABgBZAQAA4QUAAAAA&#10;">
                        <v:fill on="f" focussize="0,0"/>
                        <v:stroke on="f" weight="0.5pt"/>
                        <v:imagedata o:title=""/>
                        <o:lock v:ext="edit" aspectratio="f"/>
                        <v:textbo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经厂区化粪池处理，定期清掏、不外排</w:t>
                              </w:r>
                            </w:p>
                          </w:txbxContent>
                        </v:textbox>
                      </v:shape>
                      <w10:wrap type="none"/>
                      <w10:anchorlock/>
                    </v:group>
                  </w:pict>
                </mc:Fallback>
              </mc:AlternateContent>
            </w:r>
          </w:p>
          <w:p w14:paraId="61C9F25F">
            <w:pPr>
              <w:pStyle w:val="14"/>
              <w:jc w:val="center"/>
              <w:rPr>
                <w:rFonts w:hint="eastAsia" w:ascii="Times New Roman" w:hAnsi="Times New Roman" w:eastAsia="宋体" w:cs="Times New Roman"/>
                <w:b/>
                <w:bCs/>
                <w:color w:val="FF0000"/>
                <w:kern w:val="0"/>
                <w:sz w:val="24"/>
                <w:highlight w:val="none"/>
                <w:lang w:val="en-US" w:eastAsia="zh-CN" w:bidi="ar"/>
              </w:rPr>
            </w:pPr>
          </w:p>
          <w:p w14:paraId="07FF372E">
            <w:pPr>
              <w:wordWrap w:val="0"/>
              <w:topLinePunct/>
              <w:adjustRightInd w:val="0"/>
              <w:snapToGrid w:val="0"/>
              <w:spacing w:line="360" w:lineRule="auto"/>
              <w:ind w:firstLine="2409" w:firstLineChars="1000"/>
              <w:rPr>
                <w:rFonts w:hint="eastAsia" w:ascii="Times New Roman" w:hAnsi="Times New Roman" w:cs="Times New Roman"/>
                <w:color w:val="auto"/>
                <w:sz w:val="24"/>
                <w:highlight w:val="yellow"/>
              </w:rPr>
            </w:pPr>
            <w:r>
              <w:rPr>
                <w:rFonts w:ascii="Times New Roman" w:hAnsi="Times New Roman" w:eastAsia="宋体" w:cs="Times New Roman"/>
                <w:b/>
                <w:color w:val="auto"/>
                <w:sz w:val="24"/>
                <w:highlight w:val="none"/>
              </w:rPr>
              <w:t>图2-</w:t>
            </w:r>
            <w:r>
              <w:rPr>
                <w:rFonts w:hint="eastAsia" w:ascii="Times New Roman" w:hAnsi="Times New Roman" w:eastAsia="宋体" w:cs="Times New Roman"/>
                <w:b/>
                <w:color w:val="auto"/>
                <w:sz w:val="24"/>
                <w:highlight w:val="none"/>
                <w:lang w:val="en-US" w:eastAsia="zh-CN"/>
              </w:rPr>
              <w:t>1</w:t>
            </w:r>
            <w:r>
              <w:rPr>
                <w:rFonts w:ascii="Times New Roman" w:hAnsi="Times New Roman" w:eastAsia="宋体" w:cs="Times New Roman"/>
                <w:b/>
                <w:color w:val="auto"/>
                <w:sz w:val="24"/>
                <w:highlight w:val="none"/>
              </w:rPr>
              <w:t xml:space="preserve">  水量平衡图</w:t>
            </w:r>
            <w:r>
              <w:rPr>
                <w:rFonts w:hint="eastAsia" w:ascii="Times New Roman" w:hAnsi="Times New Roman" w:eastAsia="宋体" w:cs="Times New Roman"/>
                <w:b/>
                <w:color w:val="auto"/>
                <w:sz w:val="24"/>
                <w:highlight w:val="none"/>
                <w:lang w:val="en-US" w:eastAsia="zh-CN"/>
              </w:rPr>
              <w:t xml:space="preserve"> </w:t>
            </w:r>
            <w:r>
              <w:rPr>
                <w:rFonts w:ascii="Times New Roman" w:hAnsi="Times New Roman" w:eastAsia="宋体" w:cs="Times New Roman"/>
                <w:b/>
                <w:color w:val="auto"/>
                <w:sz w:val="24"/>
                <w:highlight w:val="none"/>
              </w:rPr>
              <w:t>（单位：m</w:t>
            </w:r>
            <w:r>
              <w:rPr>
                <w:rFonts w:ascii="Times New Roman" w:hAnsi="Times New Roman" w:eastAsia="宋体" w:cs="Times New Roman"/>
                <w:b/>
                <w:color w:val="auto"/>
                <w:sz w:val="24"/>
                <w:highlight w:val="none"/>
                <w:vertAlign w:val="superscript"/>
              </w:rPr>
              <w:t>3</w:t>
            </w:r>
            <w:r>
              <w:rPr>
                <w:rFonts w:ascii="Times New Roman" w:hAnsi="Times New Roman" w:eastAsia="宋体" w:cs="Times New Roman"/>
                <w:b/>
                <w:color w:val="auto"/>
                <w:sz w:val="24"/>
                <w:highlight w:val="none"/>
              </w:rPr>
              <w:t>/d）</w:t>
            </w:r>
          </w:p>
          <w:p w14:paraId="1A7B0FDE">
            <w:pPr>
              <w:numPr>
                <w:ilvl w:val="0"/>
                <w:numId w:val="3"/>
              </w:numPr>
              <w:spacing w:line="360" w:lineRule="auto"/>
              <w:ind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供热</w:t>
            </w:r>
          </w:p>
          <w:p w14:paraId="478DA133">
            <w:pPr>
              <w:numPr>
                <w:ilvl w:val="0"/>
                <w:numId w:val="0"/>
              </w:numPr>
              <w:spacing w:line="360" w:lineRule="auto"/>
              <w:ind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本项目生产用热采用电加热。</w:t>
            </w:r>
          </w:p>
          <w:p w14:paraId="2D8B82BF">
            <w:pPr>
              <w:numPr>
                <w:ilvl w:val="0"/>
                <w:numId w:val="3"/>
              </w:numPr>
              <w:spacing w:line="360" w:lineRule="auto"/>
              <w:ind w:firstLine="480" w:firstLineChars="200"/>
              <w:rPr>
                <w:rFonts w:hint="eastAsia" w:ascii="Times New Roman" w:hAnsi="Times New Roman" w:eastAsia="宋体" w:cs="Times New Roman"/>
                <w:bCs/>
                <w:color w:val="auto"/>
                <w:sz w:val="24"/>
                <w:highlight w:val="none"/>
                <w:lang w:eastAsia="zh-CN"/>
              </w:rPr>
            </w:pPr>
            <w:r>
              <w:rPr>
                <w:rFonts w:hint="eastAsia"/>
                <w:color w:val="auto"/>
                <w:sz w:val="24"/>
              </w:rPr>
              <w:t>供</w:t>
            </w:r>
            <w:r>
              <w:rPr>
                <w:rFonts w:hint="eastAsia"/>
                <w:color w:val="auto"/>
                <w:sz w:val="24"/>
                <w:lang w:eastAsia="zh-CN"/>
              </w:rPr>
              <w:t>暖与制冷</w:t>
            </w:r>
          </w:p>
          <w:p w14:paraId="781D3D6B">
            <w:pPr>
              <w:autoSpaceDE w:val="0"/>
              <w:autoSpaceDN w:val="0"/>
              <w:spacing w:line="360" w:lineRule="auto"/>
              <w:ind w:firstLine="480" w:firstLineChars="200"/>
              <w:jc w:val="left"/>
              <w:rPr>
                <w:rFonts w:ascii="Calibri" w:hAnsi="Calibri" w:eastAsia="宋体" w:cs="宋体"/>
                <w:color w:val="auto"/>
                <w:kern w:val="0"/>
                <w:sz w:val="11"/>
                <w:szCs w:val="21"/>
                <w:lang w:val="en-US" w:eastAsia="zh-CN" w:bidi="ar-SA"/>
              </w:rPr>
            </w:pPr>
            <w:r>
              <w:rPr>
                <w:rFonts w:hint="eastAsia"/>
                <w:color w:val="auto"/>
                <w:sz w:val="24"/>
                <w:lang w:val="en-US" w:eastAsia="zh-CN"/>
              </w:rPr>
              <w:t>本项目办公生活冬季采暖和夏季制冷由空调提供</w:t>
            </w:r>
            <w:r>
              <w:rPr>
                <w:rFonts w:hint="eastAsia" w:ascii="Times New Roman" w:hAnsi="Times New Roman" w:eastAsia="宋体" w:cs="Times New Roman"/>
                <w:color w:val="auto"/>
                <w:sz w:val="24"/>
              </w:rPr>
              <w:t>。</w:t>
            </w:r>
          </w:p>
          <w:p w14:paraId="64454DDA">
            <w:pPr>
              <w:autoSpaceDE w:val="0"/>
              <w:autoSpaceDN w:val="0"/>
              <w:spacing w:line="360" w:lineRule="auto"/>
              <w:ind w:firstLine="480" w:firstLineChars="200"/>
              <w:jc w:val="left"/>
              <w:rPr>
                <w:rFonts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w:t>
            </w:r>
            <w:r>
              <w:rPr>
                <w:rFonts w:ascii="Times New Roman" w:hAnsi="Times New Roman" w:eastAsia="宋体" w:cs="Times New Roman"/>
                <w:color w:val="000000" w:themeColor="text1"/>
                <w:sz w:val="24"/>
                <w:highlight w:val="none"/>
                <w14:textFill>
                  <w14:solidFill>
                    <w14:schemeClr w14:val="tx1"/>
                  </w14:solidFill>
                </w14:textFill>
              </w:rPr>
              <w:t>、供电</w:t>
            </w:r>
          </w:p>
          <w:p w14:paraId="469E4DCD">
            <w:pPr>
              <w:autoSpaceDE w:val="0"/>
              <w:autoSpaceDN w:val="0"/>
              <w:spacing w:line="360" w:lineRule="auto"/>
              <w:ind w:firstLine="480" w:firstLineChars="200"/>
              <w:jc w:val="left"/>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本项目年耗电量100万kW</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h，由当地供电管网供给，可满足项目用电需求。</w:t>
            </w:r>
          </w:p>
          <w:p w14:paraId="0B5AB857">
            <w:pPr>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8、VOCs平衡</w:t>
            </w:r>
          </w:p>
          <w:p w14:paraId="529F3391">
            <w:pPr>
              <w:autoSpaceDE w:val="0"/>
              <w:autoSpaceDN w:val="0"/>
              <w:spacing w:line="360" w:lineRule="auto"/>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本项目VOCs物料平衡见表2-6。</w:t>
            </w:r>
          </w:p>
          <w:p w14:paraId="1E026D83">
            <w:pPr>
              <w:spacing w:line="460" w:lineRule="exact"/>
              <w:jc w:val="center"/>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表2-</w:t>
            </w:r>
            <w:r>
              <w:rPr>
                <w:rFonts w:hint="default" w:ascii="Times New Roman" w:hAnsi="Times New Roman" w:cs="Times New Roman"/>
                <w:b/>
                <w:color w:val="auto"/>
                <w:sz w:val="24"/>
                <w:highlight w:val="none"/>
                <w:lang w:val="en-US" w:eastAsia="zh-CN"/>
              </w:rPr>
              <w:t>6</w:t>
            </w:r>
            <w:r>
              <w:rPr>
                <w:rFonts w:hint="default" w:ascii="Times New Roman" w:hAnsi="Times New Roman" w:cs="Times New Roman"/>
                <w:b/>
                <w:color w:val="auto"/>
                <w:sz w:val="24"/>
                <w:highlight w:val="none"/>
              </w:rPr>
              <w:t xml:space="preserve">  本项目VOCs物料平衡表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1"/>
              <w:gridCol w:w="1831"/>
              <w:gridCol w:w="1110"/>
              <w:gridCol w:w="627"/>
              <w:gridCol w:w="1325"/>
              <w:gridCol w:w="3042"/>
              <w:gridCol w:w="866"/>
            </w:tblGrid>
            <w:tr w14:paraId="6E881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49" w:type="dxa"/>
                  <w:gridSpan w:val="3"/>
                  <w:noWrap w:val="0"/>
                  <w:vAlign w:val="center"/>
                </w:tcPr>
                <w:p w14:paraId="5F8F7418">
                  <w:pPr>
                    <w:widowControl/>
                    <w:spacing w:line="0" w:lineRule="atLeast"/>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投入（t/a）</w:t>
                  </w:r>
                </w:p>
              </w:tc>
              <w:tc>
                <w:tcPr>
                  <w:tcW w:w="5820" w:type="dxa"/>
                  <w:gridSpan w:val="4"/>
                  <w:noWrap w:val="0"/>
                  <w:vAlign w:val="center"/>
                </w:tcPr>
                <w:p w14:paraId="5E9B4044">
                  <w:pPr>
                    <w:widowControl/>
                    <w:spacing w:line="0" w:lineRule="atLeast"/>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产出（t/a）</w:t>
                  </w:r>
                </w:p>
              </w:tc>
            </w:tr>
            <w:tr w14:paraId="230DF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7" w:type="dxa"/>
                  <w:noWrap w:val="0"/>
                  <w:vAlign w:val="center"/>
                </w:tcPr>
                <w:p w14:paraId="046B9686">
                  <w:pPr>
                    <w:widowControl/>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序号</w:t>
                  </w:r>
                </w:p>
              </w:tc>
              <w:tc>
                <w:tcPr>
                  <w:tcW w:w="1819" w:type="dxa"/>
                  <w:noWrap w:val="0"/>
                  <w:vAlign w:val="center"/>
                </w:tcPr>
                <w:p w14:paraId="33D9D533">
                  <w:pPr>
                    <w:widowControl/>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物料名称</w:t>
                  </w:r>
                </w:p>
              </w:tc>
              <w:tc>
                <w:tcPr>
                  <w:tcW w:w="1103" w:type="dxa"/>
                  <w:noWrap w:val="0"/>
                  <w:vAlign w:val="center"/>
                </w:tcPr>
                <w:p w14:paraId="702AB9F5">
                  <w:pPr>
                    <w:widowControl/>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数量</w:t>
                  </w:r>
                </w:p>
              </w:tc>
              <w:tc>
                <w:tcPr>
                  <w:tcW w:w="623" w:type="dxa"/>
                  <w:noWrap w:val="0"/>
                  <w:vAlign w:val="center"/>
                </w:tcPr>
                <w:p w14:paraId="570F215B">
                  <w:pPr>
                    <w:widowControl/>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序号</w:t>
                  </w:r>
                </w:p>
              </w:tc>
              <w:tc>
                <w:tcPr>
                  <w:tcW w:w="4338" w:type="dxa"/>
                  <w:gridSpan w:val="2"/>
                  <w:noWrap w:val="0"/>
                  <w:vAlign w:val="center"/>
                </w:tcPr>
                <w:p w14:paraId="268E00C1">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部位</w:t>
                  </w:r>
                </w:p>
              </w:tc>
              <w:tc>
                <w:tcPr>
                  <w:tcW w:w="859" w:type="dxa"/>
                  <w:noWrap w:val="0"/>
                  <w:vAlign w:val="center"/>
                </w:tcPr>
                <w:p w14:paraId="28D2D879">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数量</w:t>
                  </w:r>
                </w:p>
              </w:tc>
            </w:tr>
            <w:tr w14:paraId="1C2A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7" w:type="dxa"/>
                  <w:vMerge w:val="restart"/>
                  <w:noWrap w:val="0"/>
                  <w:vAlign w:val="center"/>
                </w:tcPr>
                <w:p w14:paraId="257547EA">
                  <w:pPr>
                    <w:spacing w:line="0" w:lineRule="atLeas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1819" w:type="dxa"/>
                  <w:vMerge w:val="restart"/>
                  <w:noWrap w:val="0"/>
                  <w:vAlign w:val="center"/>
                </w:tcPr>
                <w:p w14:paraId="50BD68FE">
                  <w:pPr>
                    <w:spacing w:line="0" w:lineRule="atLeas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注塑工序中挥发的VOCs</w:t>
                  </w:r>
                </w:p>
              </w:tc>
              <w:tc>
                <w:tcPr>
                  <w:tcW w:w="1103" w:type="dxa"/>
                  <w:vMerge w:val="restart"/>
                  <w:noWrap w:val="0"/>
                  <w:vAlign w:val="center"/>
                </w:tcPr>
                <w:p w14:paraId="2716EBFF">
                  <w:pPr>
                    <w:spacing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27</w:t>
                  </w:r>
                </w:p>
              </w:tc>
              <w:tc>
                <w:tcPr>
                  <w:tcW w:w="623" w:type="dxa"/>
                  <w:noWrap w:val="0"/>
                  <w:vAlign w:val="center"/>
                </w:tcPr>
                <w:p w14:paraId="5CE0E9DD">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316" w:type="dxa"/>
                  <w:vMerge w:val="restart"/>
                  <w:noWrap w:val="0"/>
                  <w:vAlign w:val="center"/>
                </w:tcPr>
                <w:p w14:paraId="4330B8D0">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有组织</w:t>
                  </w:r>
                </w:p>
                <w:p w14:paraId="5CD4F266">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有机废气（</w:t>
                  </w:r>
                  <w:r>
                    <w:rPr>
                      <w:rFonts w:hint="eastAsia" w:ascii="Times New Roman" w:hAnsi="Times New Roman" w:cs="Times New Roman"/>
                      <w:color w:val="auto"/>
                      <w:szCs w:val="21"/>
                      <w:highlight w:val="none"/>
                      <w:lang w:val="en-US" w:eastAsia="zh-CN"/>
                    </w:rPr>
                    <w:t>8</w:t>
                  </w:r>
                  <w:r>
                    <w:rPr>
                      <w:rFonts w:hint="default" w:ascii="Times New Roman" w:hAnsi="Times New Roman" w:cs="Times New Roman"/>
                      <w:color w:val="auto"/>
                      <w:szCs w:val="21"/>
                      <w:highlight w:val="none"/>
                    </w:rPr>
                    <w:t>0%）</w:t>
                  </w:r>
                </w:p>
              </w:tc>
              <w:tc>
                <w:tcPr>
                  <w:tcW w:w="3022" w:type="dxa"/>
                  <w:noWrap w:val="0"/>
                  <w:vAlign w:val="center"/>
                </w:tcPr>
                <w:p w14:paraId="1BA9164F">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活性炭吸附脱附+催化燃烧装置（90%）</w:t>
                  </w:r>
                </w:p>
              </w:tc>
              <w:tc>
                <w:tcPr>
                  <w:tcW w:w="859" w:type="dxa"/>
                  <w:noWrap w:val="0"/>
                  <w:vAlign w:val="center"/>
                </w:tcPr>
                <w:p w14:paraId="6BF2AA06">
                  <w:pPr>
                    <w:spacing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19.44</w:t>
                  </w:r>
                </w:p>
              </w:tc>
            </w:tr>
            <w:tr w14:paraId="4150A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27" w:type="dxa"/>
                  <w:vMerge w:val="continue"/>
                  <w:noWrap w:val="0"/>
                  <w:vAlign w:val="center"/>
                </w:tcPr>
                <w:p w14:paraId="588E387C">
                  <w:pPr>
                    <w:spacing w:line="0" w:lineRule="atLeast"/>
                    <w:jc w:val="center"/>
                    <w:rPr>
                      <w:rFonts w:hint="default" w:ascii="Times New Roman" w:hAnsi="Times New Roman" w:eastAsia="宋体" w:cs="Times New Roman"/>
                      <w:color w:val="auto"/>
                      <w:szCs w:val="21"/>
                      <w:highlight w:val="none"/>
                      <w:lang w:val="en-US" w:eastAsia="zh-CN"/>
                    </w:rPr>
                  </w:pPr>
                </w:p>
              </w:tc>
              <w:tc>
                <w:tcPr>
                  <w:tcW w:w="1819" w:type="dxa"/>
                  <w:vMerge w:val="continue"/>
                  <w:noWrap w:val="0"/>
                  <w:vAlign w:val="center"/>
                </w:tcPr>
                <w:p w14:paraId="7A4E89DA">
                  <w:pPr>
                    <w:spacing w:line="0" w:lineRule="atLeast"/>
                    <w:jc w:val="center"/>
                    <w:rPr>
                      <w:rFonts w:hint="default" w:ascii="Times New Roman" w:hAnsi="Times New Roman" w:eastAsia="宋体" w:cs="Times New Roman"/>
                      <w:color w:val="auto"/>
                      <w:szCs w:val="21"/>
                      <w:highlight w:val="none"/>
                      <w:lang w:val="en-US" w:eastAsia="zh-CN"/>
                    </w:rPr>
                  </w:pPr>
                </w:p>
              </w:tc>
              <w:tc>
                <w:tcPr>
                  <w:tcW w:w="1103" w:type="dxa"/>
                  <w:vMerge w:val="continue"/>
                  <w:noWrap w:val="0"/>
                  <w:vAlign w:val="center"/>
                </w:tcPr>
                <w:p w14:paraId="174C1537">
                  <w:pPr>
                    <w:spacing w:line="0" w:lineRule="atLeast"/>
                    <w:jc w:val="center"/>
                    <w:rPr>
                      <w:rFonts w:hint="default" w:ascii="Times New Roman" w:hAnsi="Times New Roman" w:eastAsia="宋体" w:cs="Times New Roman"/>
                      <w:color w:val="auto"/>
                      <w:szCs w:val="21"/>
                      <w:highlight w:val="none"/>
                      <w:lang w:val="en-US" w:eastAsia="zh-CN"/>
                    </w:rPr>
                  </w:pPr>
                </w:p>
              </w:tc>
              <w:tc>
                <w:tcPr>
                  <w:tcW w:w="623" w:type="dxa"/>
                  <w:noWrap w:val="0"/>
                  <w:vAlign w:val="center"/>
                </w:tcPr>
                <w:p w14:paraId="65073FA6">
                  <w:pPr>
                    <w:spacing w:line="0" w:lineRule="atLeas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316" w:type="dxa"/>
                  <w:vMerge w:val="continue"/>
                  <w:noWrap w:val="0"/>
                  <w:vAlign w:val="center"/>
                </w:tcPr>
                <w:p w14:paraId="3AEB407A">
                  <w:pPr>
                    <w:spacing w:line="0" w:lineRule="atLeast"/>
                    <w:jc w:val="center"/>
                    <w:rPr>
                      <w:rFonts w:hint="default" w:ascii="Times New Roman" w:hAnsi="Times New Roman" w:cs="Times New Roman"/>
                      <w:color w:val="auto"/>
                      <w:szCs w:val="21"/>
                      <w:highlight w:val="none"/>
                    </w:rPr>
                  </w:pPr>
                </w:p>
              </w:tc>
              <w:tc>
                <w:tcPr>
                  <w:tcW w:w="3022" w:type="dxa"/>
                  <w:noWrap w:val="0"/>
                  <w:vAlign w:val="center"/>
                </w:tcPr>
                <w:p w14:paraId="606C9AAD">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排入大气（10%）</w:t>
                  </w:r>
                </w:p>
              </w:tc>
              <w:tc>
                <w:tcPr>
                  <w:tcW w:w="859" w:type="dxa"/>
                  <w:noWrap w:val="0"/>
                  <w:vAlign w:val="center"/>
                </w:tcPr>
                <w:p w14:paraId="4A933F06">
                  <w:pPr>
                    <w:spacing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2.16</w:t>
                  </w:r>
                </w:p>
              </w:tc>
            </w:tr>
            <w:tr w14:paraId="68A8C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6" w:hRule="atLeast"/>
                <w:jc w:val="center"/>
              </w:trPr>
              <w:tc>
                <w:tcPr>
                  <w:tcW w:w="627" w:type="dxa"/>
                  <w:vMerge w:val="continue"/>
                  <w:noWrap w:val="0"/>
                  <w:vAlign w:val="center"/>
                </w:tcPr>
                <w:p w14:paraId="65F23203">
                  <w:pPr>
                    <w:spacing w:line="0" w:lineRule="atLeast"/>
                    <w:jc w:val="center"/>
                    <w:rPr>
                      <w:rFonts w:hint="default" w:ascii="Times New Roman" w:hAnsi="Times New Roman" w:eastAsia="宋体" w:cs="Times New Roman"/>
                      <w:color w:val="auto"/>
                      <w:szCs w:val="21"/>
                      <w:highlight w:val="none"/>
                      <w:lang w:val="en-US" w:eastAsia="zh-CN"/>
                    </w:rPr>
                  </w:pPr>
                </w:p>
              </w:tc>
              <w:tc>
                <w:tcPr>
                  <w:tcW w:w="1819" w:type="dxa"/>
                  <w:vMerge w:val="continue"/>
                  <w:noWrap w:val="0"/>
                  <w:vAlign w:val="center"/>
                </w:tcPr>
                <w:p w14:paraId="4BCCD95B">
                  <w:pPr>
                    <w:spacing w:line="0" w:lineRule="atLeast"/>
                    <w:jc w:val="center"/>
                    <w:rPr>
                      <w:rFonts w:hint="default" w:ascii="Times New Roman" w:hAnsi="Times New Roman" w:eastAsia="宋体" w:cs="Times New Roman"/>
                      <w:color w:val="auto"/>
                      <w:szCs w:val="21"/>
                      <w:highlight w:val="none"/>
                      <w:lang w:val="en-US" w:eastAsia="zh-CN"/>
                    </w:rPr>
                  </w:pPr>
                </w:p>
              </w:tc>
              <w:tc>
                <w:tcPr>
                  <w:tcW w:w="1103" w:type="dxa"/>
                  <w:vMerge w:val="continue"/>
                  <w:noWrap w:val="0"/>
                  <w:vAlign w:val="center"/>
                </w:tcPr>
                <w:p w14:paraId="6FF7ED0B">
                  <w:pPr>
                    <w:spacing w:line="0" w:lineRule="atLeast"/>
                    <w:jc w:val="center"/>
                    <w:rPr>
                      <w:rFonts w:hint="default" w:ascii="Times New Roman" w:hAnsi="Times New Roman" w:eastAsia="宋体" w:cs="Times New Roman"/>
                      <w:color w:val="auto"/>
                      <w:szCs w:val="21"/>
                      <w:highlight w:val="none"/>
                      <w:lang w:val="en-US" w:eastAsia="zh-CN"/>
                    </w:rPr>
                  </w:pPr>
                </w:p>
              </w:tc>
              <w:tc>
                <w:tcPr>
                  <w:tcW w:w="623" w:type="dxa"/>
                  <w:noWrap w:val="0"/>
                  <w:vAlign w:val="center"/>
                </w:tcPr>
                <w:p w14:paraId="6F7952B7">
                  <w:pPr>
                    <w:spacing w:line="0" w:lineRule="atLeas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4338" w:type="dxa"/>
                  <w:gridSpan w:val="2"/>
                  <w:noWrap w:val="0"/>
                  <w:vAlign w:val="center"/>
                </w:tcPr>
                <w:p w14:paraId="1E7D0316">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无组织有机废气（</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0%）</w:t>
                  </w:r>
                </w:p>
              </w:tc>
              <w:tc>
                <w:tcPr>
                  <w:tcW w:w="859" w:type="dxa"/>
                  <w:noWrap w:val="0"/>
                  <w:vAlign w:val="center"/>
                </w:tcPr>
                <w:p w14:paraId="7AF38128">
                  <w:pPr>
                    <w:adjustRightIn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w:t>
                  </w:r>
                </w:p>
              </w:tc>
            </w:tr>
            <w:tr w14:paraId="5641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446" w:type="dxa"/>
                  <w:gridSpan w:val="2"/>
                  <w:noWrap w:val="0"/>
                  <w:vAlign w:val="center"/>
                </w:tcPr>
                <w:p w14:paraId="52EA022E">
                  <w:pPr>
                    <w:spacing w:line="0" w:lineRule="atLeas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合计</w:t>
                  </w:r>
                </w:p>
              </w:tc>
              <w:tc>
                <w:tcPr>
                  <w:tcW w:w="1103" w:type="dxa"/>
                  <w:noWrap w:val="0"/>
                  <w:vAlign w:val="center"/>
                </w:tcPr>
                <w:p w14:paraId="67707D75">
                  <w:pPr>
                    <w:spacing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27</w:t>
                  </w:r>
                </w:p>
              </w:tc>
              <w:tc>
                <w:tcPr>
                  <w:tcW w:w="4961" w:type="dxa"/>
                  <w:gridSpan w:val="3"/>
                  <w:noWrap w:val="0"/>
                  <w:vAlign w:val="center"/>
                </w:tcPr>
                <w:p w14:paraId="355F6EB6">
                  <w:pPr>
                    <w:spacing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859" w:type="dxa"/>
                  <w:noWrap w:val="0"/>
                  <w:vAlign w:val="center"/>
                </w:tcPr>
                <w:p w14:paraId="7D7A99F6">
                  <w:pPr>
                    <w:spacing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27</w:t>
                  </w:r>
                </w:p>
              </w:tc>
            </w:tr>
          </w:tbl>
          <w:p w14:paraId="386EAB26">
            <w:pPr>
              <w:adjustRightInd w:val="0"/>
              <w:snapToGrid w:val="0"/>
              <w:spacing w:line="360" w:lineRule="auto"/>
              <w:rPr>
                <w:rFonts w:hint="eastAsia"/>
                <w:color w:val="FF0000"/>
                <w:sz w:val="24"/>
                <w:highlight w:val="none"/>
              </w:rPr>
            </w:pPr>
          </w:p>
          <w:p w14:paraId="1AD815A8">
            <w:pPr>
              <w:adjustRightInd w:val="0"/>
              <w:snapToGrid w:val="0"/>
              <w:spacing w:line="360" w:lineRule="auto"/>
              <w:rPr>
                <w:rFonts w:hint="eastAsia"/>
                <w:color w:val="FF0000"/>
                <w:sz w:val="24"/>
                <w:highlight w:val="none"/>
              </w:rPr>
            </w:pPr>
          </w:p>
          <w:p w14:paraId="38B82C24">
            <w:pPr>
              <w:adjustRightInd w:val="0"/>
              <w:snapToGrid w:val="0"/>
              <w:spacing w:line="360" w:lineRule="auto"/>
              <w:ind w:firstLine="480" w:firstLineChars="200"/>
              <w:rPr>
                <w:rFonts w:hint="eastAsia"/>
                <w:color w:val="FF0000"/>
                <w:sz w:val="24"/>
                <w:highlight w:val="none"/>
              </w:rPr>
            </w:pPr>
          </w:p>
          <w:p w14:paraId="6AEBBFCE">
            <w:pPr>
              <w:adjustRightInd w:val="0"/>
              <w:snapToGrid w:val="0"/>
              <w:spacing w:line="360" w:lineRule="auto"/>
              <w:ind w:firstLine="480" w:firstLineChars="200"/>
              <w:rPr>
                <w:rFonts w:hint="eastAsia"/>
                <w:color w:val="FF0000"/>
                <w:sz w:val="24"/>
                <w:highlight w:val="none"/>
              </w:rPr>
            </w:pPr>
          </w:p>
          <w:p w14:paraId="04AACF8B">
            <w:pPr>
              <w:adjustRightInd w:val="0"/>
              <w:snapToGrid w:val="0"/>
              <w:spacing w:line="360" w:lineRule="auto"/>
              <w:ind w:firstLine="480" w:firstLineChars="200"/>
              <w:rPr>
                <w:rFonts w:hint="eastAsia"/>
                <w:color w:val="FF0000"/>
                <w:sz w:val="24"/>
                <w:highlight w:val="none"/>
              </w:rPr>
            </w:pPr>
          </w:p>
          <w:p w14:paraId="40C10A45">
            <w:pPr>
              <w:adjustRightInd w:val="0"/>
              <w:snapToGrid w:val="0"/>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rPr>
              <w:t>本项目VOCs物料平衡见下图。</w:t>
            </w:r>
            <w:r>
              <w:rPr>
                <w:rFonts w:hint="default" w:ascii="Times New Roman" w:hAnsi="Times New Roman" w:cs="Times New Roman"/>
                <w:color w:val="auto"/>
                <w:highlight w:val="none"/>
              </w:rPr>
              <mc:AlternateContent>
                <mc:Choice Requires="wps">
                  <w:drawing>
                    <wp:anchor distT="0" distB="0" distL="114300" distR="114300" simplePos="0" relativeHeight="251715584" behindDoc="0" locked="0" layoutInCell="1" allowOverlap="1">
                      <wp:simplePos x="0" y="0"/>
                      <wp:positionH relativeFrom="margin">
                        <wp:posOffset>3775075</wp:posOffset>
                      </wp:positionH>
                      <wp:positionV relativeFrom="paragraph">
                        <wp:posOffset>233045</wp:posOffset>
                      </wp:positionV>
                      <wp:extent cx="960755" cy="295275"/>
                      <wp:effectExtent l="4445" t="4445" r="6350" b="5080"/>
                      <wp:wrapNone/>
                      <wp:docPr id="444" name="文本框 444"/>
                      <wp:cNvGraphicFramePr/>
                      <a:graphic xmlns:a="http://schemas.openxmlformats.org/drawingml/2006/main">
                        <a:graphicData uri="http://schemas.microsoft.com/office/word/2010/wordprocessingShape">
                          <wps:wsp>
                            <wps:cNvSpPr txBox="1"/>
                            <wps:spPr>
                              <a:xfrm>
                                <a:off x="0" y="0"/>
                                <a:ext cx="960755" cy="295275"/>
                              </a:xfrm>
                              <a:prstGeom prst="rect">
                                <a:avLst/>
                              </a:prstGeom>
                              <a:noFill/>
                              <a:ln w="6350">
                                <a:solidFill>
                                  <a:prstClr val="black"/>
                                </a:solidFill>
                              </a:ln>
                              <a:effectLst/>
                            </wps:spPr>
                            <wps:txbx>
                              <w:txbxContent>
                                <w:p w14:paraId="153A0374">
                                  <w:pPr>
                                    <w:jc w:val="center"/>
                                    <w:rPr>
                                      <w:szCs w:val="21"/>
                                    </w:rPr>
                                  </w:pPr>
                                  <w:r>
                                    <w:rPr>
                                      <w:rFonts w:hint="eastAsia"/>
                                      <w:szCs w:val="21"/>
                                    </w:rPr>
                                    <w:t>无组织排放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7.25pt;margin-top:18.35pt;height:23.25pt;width:75.65pt;mso-position-horizontal-relative:margin;z-index:251715584;mso-width-relative:page;mso-height-relative:page;" filled="f" stroked="t" coordsize="21600,21600" o:gfxdata="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Ks6&#10;KcXbAAAACQEAAA8AAAAAAAAAAQAgAAAAIgAAAGRycy9kb3ducmV2LnhtbFBLAQIUABQAAAAIAIdO&#10;4kDEoiesWQIAAJ8EAAAOAAAAAAAAAAEAIAAAACoBAABkcnMvZTJvRG9jLnhtbFBLBQYAAAAABgAG&#10;AFkBAAD1BQAAAAA=&#10;">
                      <v:fill on="f" focussize="0,0"/>
                      <v:stroke weight="0.5pt" color="#000000" joinstyle="round"/>
                      <v:imagedata o:title=""/>
                      <o:lock v:ext="edit" aspectratio="f"/>
                      <v:textbox>
                        <w:txbxContent>
                          <w:p w14:paraId="153A0374">
                            <w:pPr>
                              <w:jc w:val="center"/>
                              <w:rPr>
                                <w:szCs w:val="21"/>
                              </w:rPr>
                            </w:pPr>
                            <w:r>
                              <w:rPr>
                                <w:rFonts w:hint="eastAsia"/>
                                <w:szCs w:val="21"/>
                              </w:rPr>
                              <w:t>无组织排放</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723776" behindDoc="0" locked="0" layoutInCell="1" allowOverlap="1">
                      <wp:simplePos x="0" y="0"/>
                      <wp:positionH relativeFrom="column">
                        <wp:posOffset>3256280</wp:posOffset>
                      </wp:positionH>
                      <wp:positionV relativeFrom="paragraph">
                        <wp:posOffset>153035</wp:posOffset>
                      </wp:positionV>
                      <wp:extent cx="579755" cy="285750"/>
                      <wp:effectExtent l="0" t="0" r="0" b="0"/>
                      <wp:wrapNone/>
                      <wp:docPr id="440" name="文本框 440"/>
                      <wp:cNvGraphicFramePr/>
                      <a:graphic xmlns:a="http://schemas.openxmlformats.org/drawingml/2006/main">
                        <a:graphicData uri="http://schemas.microsoft.com/office/word/2010/wordprocessingShape">
                          <wps:wsp>
                            <wps:cNvSpPr txBox="1"/>
                            <wps:spPr>
                              <a:xfrm>
                                <a:off x="0" y="0"/>
                                <a:ext cx="523875" cy="285750"/>
                              </a:xfrm>
                              <a:prstGeom prst="rect">
                                <a:avLst/>
                              </a:prstGeom>
                              <a:noFill/>
                              <a:ln w="6350">
                                <a:noFill/>
                              </a:ln>
                              <a:effectLst/>
                            </wps:spPr>
                            <wps:txbx>
                              <w:txbxContent>
                                <w:p w14:paraId="2B26C571">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5.4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6.4pt;margin-top:12.05pt;height:22.5pt;width:45.65pt;z-index:251723776;mso-width-relative:page;mso-height-relative:page;" filled="f" stroked="f" coordsize="21600,21600" o:gfxdata="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B2B+F2QAAAAkBAAAPAAAAAAAAAAEAIAAAACIA&#10;AABkcnMvZG93bnJldi54bWxQSwECFAAUAAAACACHTuJAtLUwAkECAAB3BAAADgAAAAAAAAABACAA&#10;AAAoAQAAZHJzL2Uyb0RvYy54bWxQSwUGAAAAAAYABgBZAQAA2wUAAAAA&#10;">
                      <v:fill on="f" focussize="0,0"/>
                      <v:stroke on="f" weight="0.5pt"/>
                      <v:imagedata o:title=""/>
                      <o:lock v:ext="edit" aspectratio="f"/>
                      <v:textbox>
                        <w:txbxContent>
                          <w:p w14:paraId="2B26C571">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5.4</w:t>
                            </w:r>
                          </w:p>
                        </w:txbxContent>
                      </v:textbox>
                    </v:shape>
                  </w:pict>
                </mc:Fallback>
              </mc:AlternateContent>
            </w:r>
          </w:p>
          <w:p w14:paraId="2EF0D41B">
            <w:pPr>
              <w:pStyle w:val="6"/>
              <w:spacing w:before="48" w:after="48" w:line="360" w:lineRule="auto"/>
              <w:ind w:left="0" w:leftChars="0"/>
              <w:rPr>
                <w:color w:val="auto"/>
                <w:highlight w:val="none"/>
              </w:rPr>
            </w:pPr>
            <w:r>
              <w:rPr>
                <w:color w:val="auto"/>
                <w:sz w:val="24"/>
                <w:highlight w:val="none"/>
              </w:rPr>
              <mc:AlternateContent>
                <mc:Choice Requires="wps">
                  <w:drawing>
                    <wp:anchor distT="0" distB="0" distL="114300" distR="114300" simplePos="0" relativeHeight="251724800" behindDoc="0" locked="0" layoutInCell="1" allowOverlap="1">
                      <wp:simplePos x="0" y="0"/>
                      <wp:positionH relativeFrom="column">
                        <wp:posOffset>795020</wp:posOffset>
                      </wp:positionH>
                      <wp:positionV relativeFrom="paragraph">
                        <wp:posOffset>165100</wp:posOffset>
                      </wp:positionV>
                      <wp:extent cx="659765" cy="696595"/>
                      <wp:effectExtent l="0" t="0" r="0" b="0"/>
                      <wp:wrapNone/>
                      <wp:docPr id="438" name="文本框 438"/>
                      <wp:cNvGraphicFramePr/>
                      <a:graphic xmlns:a="http://schemas.openxmlformats.org/drawingml/2006/main">
                        <a:graphicData uri="http://schemas.microsoft.com/office/word/2010/wordprocessingShape">
                          <wps:wsp>
                            <wps:cNvSpPr txBox="1"/>
                            <wps:spPr>
                              <a:xfrm>
                                <a:off x="0" y="0"/>
                                <a:ext cx="913765" cy="285750"/>
                              </a:xfrm>
                              <a:prstGeom prst="rect">
                                <a:avLst/>
                              </a:prstGeom>
                              <a:noFill/>
                              <a:ln w="6350">
                                <a:noFill/>
                              </a:ln>
                              <a:effectLst/>
                            </wps:spPr>
                            <wps:txbx>
                              <w:txbxContent>
                                <w:p w14:paraId="7321B676">
                                  <w:pPr>
                                    <w:jc w:val="center"/>
                                    <w:rPr>
                                      <w:rFonts w:hint="eastAsia"/>
                                      <w:szCs w:val="21"/>
                                    </w:rPr>
                                  </w:pPr>
                                  <w:r>
                                    <w:rPr>
                                      <w:rFonts w:hint="eastAsia"/>
                                      <w:szCs w:val="21"/>
                                    </w:rPr>
                                    <w:t>挥发分</w:t>
                                  </w:r>
                                </w:p>
                                <w:p w14:paraId="510DC7CC">
                                  <w:pPr>
                                    <w:jc w:val="center"/>
                                    <w:rPr>
                                      <w:rFonts w:hint="default" w:ascii="Times New Roman" w:hAnsi="Times New Roman" w:cs="Times New Roman"/>
                                      <w:szCs w:val="21"/>
                                      <w:lang w:val="en-US"/>
                                    </w:rPr>
                                  </w:pPr>
                                  <w:r>
                                    <w:rPr>
                                      <w:rFonts w:hint="default" w:ascii="Times New Roman" w:hAnsi="Times New Roman" w:cs="Times New Roman"/>
                                      <w:szCs w:val="21"/>
                                      <w:lang w:val="en-US" w:eastAsia="zh-CN"/>
                                    </w:rPr>
                                    <w:t>27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6pt;margin-top:13pt;height:54.85pt;width:51.95pt;z-index:251724800;mso-width-relative:page;mso-height-relative:page;" filled="f" stroked="f" coordsize="21600,21600" o:gfxdata="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VWvEnZAAAACgEAAA8AAAAAAAAAAQAgAAAA&#10;IgAAAGRycy9kb3ducmV2LnhtbFBLAQIUABQAAAAIAIdO4kAIijQRQwIAAHcEAAAOAAAAAAAAAAEA&#10;IAAAACgBAABkcnMvZTJvRG9jLnhtbFBLBQYAAAAABgAGAFkBAADdBQAAAAA=&#10;">
                      <v:fill on="f" focussize="0,0"/>
                      <v:stroke on="f" weight="0.5pt"/>
                      <v:imagedata o:title=""/>
                      <o:lock v:ext="edit" aspectratio="f"/>
                      <v:textbox>
                        <w:txbxContent>
                          <w:p w14:paraId="7321B676">
                            <w:pPr>
                              <w:jc w:val="center"/>
                              <w:rPr>
                                <w:rFonts w:hint="eastAsia"/>
                                <w:szCs w:val="21"/>
                              </w:rPr>
                            </w:pPr>
                            <w:r>
                              <w:rPr>
                                <w:rFonts w:hint="eastAsia"/>
                                <w:szCs w:val="21"/>
                              </w:rPr>
                              <w:t>挥发分</w:t>
                            </w:r>
                          </w:p>
                          <w:p w14:paraId="510DC7CC">
                            <w:pPr>
                              <w:jc w:val="center"/>
                              <w:rPr>
                                <w:rFonts w:hint="default" w:ascii="Times New Roman" w:hAnsi="Times New Roman" w:cs="Times New Roman"/>
                                <w:szCs w:val="21"/>
                                <w:lang w:val="en-US"/>
                              </w:rPr>
                            </w:pPr>
                            <w:r>
                              <w:rPr>
                                <w:rFonts w:hint="default" w:ascii="Times New Roman" w:hAnsi="Times New Roman" w:cs="Times New Roman"/>
                                <w:szCs w:val="21"/>
                                <w:lang w:val="en-US" w:eastAsia="zh-CN"/>
                              </w:rPr>
                              <w:t>27</w:t>
                            </w:r>
                          </w:p>
                        </w:txbxContent>
                      </v:textbox>
                    </v:shape>
                  </w:pict>
                </mc:Fallback>
              </mc:AlternateContent>
            </w:r>
            <w:r>
              <w:rPr>
                <w:color w:val="auto"/>
                <w:sz w:val="24"/>
                <w:highlight w:val="none"/>
              </w:rPr>
              <mc:AlternateContent>
                <mc:Choice Requires="wps">
                  <w:drawing>
                    <wp:anchor distT="0" distB="0" distL="114300" distR="114300" simplePos="0" relativeHeight="251712512" behindDoc="0" locked="0" layoutInCell="1" allowOverlap="1">
                      <wp:simplePos x="0" y="0"/>
                      <wp:positionH relativeFrom="column">
                        <wp:posOffset>2257425</wp:posOffset>
                      </wp:positionH>
                      <wp:positionV relativeFrom="paragraph">
                        <wp:posOffset>85725</wp:posOffset>
                      </wp:positionV>
                      <wp:extent cx="1085850" cy="285750"/>
                      <wp:effectExtent l="0" t="0" r="0" b="0"/>
                      <wp:wrapNone/>
                      <wp:docPr id="447" name="文本框 447"/>
                      <wp:cNvGraphicFramePr/>
                      <a:graphic xmlns:a="http://schemas.openxmlformats.org/drawingml/2006/main">
                        <a:graphicData uri="http://schemas.microsoft.com/office/word/2010/wordprocessingShape">
                          <wps:wsp>
                            <wps:cNvSpPr txBox="1"/>
                            <wps:spPr>
                              <a:xfrm>
                                <a:off x="2145030" y="2087245"/>
                                <a:ext cx="1085850" cy="285750"/>
                              </a:xfrm>
                              <a:prstGeom prst="rect">
                                <a:avLst/>
                              </a:prstGeom>
                              <a:noFill/>
                              <a:ln w="6350">
                                <a:noFill/>
                              </a:ln>
                              <a:effectLst/>
                            </wps:spPr>
                            <wps:txbx>
                              <w:txbxContent>
                                <w:p w14:paraId="399E9FEA">
                                  <w:pPr>
                                    <w:rPr>
                                      <w:szCs w:val="21"/>
                                    </w:rPr>
                                  </w:pPr>
                                  <w:r>
                                    <w:rPr>
                                      <w:rFonts w:hint="eastAsia"/>
                                      <w:szCs w:val="21"/>
                                    </w:rPr>
                                    <w:t>收集效</w:t>
                                  </w:r>
                                  <w:r>
                                    <w:rPr>
                                      <w:rFonts w:hint="default" w:ascii="Times New Roman" w:hAnsi="Times New Roman" w:cs="Times New Roman"/>
                                      <w:szCs w:val="21"/>
                                    </w:rPr>
                                    <w:t>率</w:t>
                                  </w:r>
                                  <w:r>
                                    <w:rPr>
                                      <w:rFonts w:hint="default" w:ascii="Times New Roman" w:hAnsi="Times New Roman" w:cs="Times New Roman"/>
                                      <w:szCs w:val="21"/>
                                      <w:lang w:val="en-US" w:eastAsia="zh-CN"/>
                                    </w:rPr>
                                    <w:t>8</w:t>
                                  </w:r>
                                  <w:r>
                                    <w:rPr>
                                      <w:rFonts w:hint="default" w:ascii="Times New Roman" w:hAnsi="Times New Roman" w:cs="Times New Roman"/>
                                      <w:szCs w:val="21"/>
                                    </w:rPr>
                                    <w:t>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7.75pt;margin-top:6.75pt;height:22.5pt;width:85.5pt;z-index:251712512;mso-width-relative:page;mso-height-relative:page;" filled="f" stroked="f" coordsize="21600,21600" o:gfxdata="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MnHiI/ZAAAACQEAAA8AAAAA&#10;AAAAAQAgAAAAIgAAAGRycy9kb3ducmV2LnhtbFBLAQIUABQAAAAIAIdO4kCvDZ9lTAIAAIQEAAAO&#10;AAAAAAAAAAEAIAAAACgBAABkcnMvZTJvRG9jLnhtbFBLBQYAAAAABgAGAFkBAADmBQAAAAA=&#10;">
                      <v:fill on="f" focussize="0,0"/>
                      <v:stroke on="f" weight="0.5pt"/>
                      <v:imagedata o:title=""/>
                      <o:lock v:ext="edit" aspectratio="f"/>
                      <v:textbox>
                        <w:txbxContent>
                          <w:p w14:paraId="399E9FEA">
                            <w:pPr>
                              <w:rPr>
                                <w:szCs w:val="21"/>
                              </w:rPr>
                            </w:pPr>
                            <w:r>
                              <w:rPr>
                                <w:rFonts w:hint="eastAsia"/>
                                <w:szCs w:val="21"/>
                              </w:rPr>
                              <w:t>收集效</w:t>
                            </w:r>
                            <w:r>
                              <w:rPr>
                                <w:rFonts w:hint="default" w:ascii="Times New Roman" w:hAnsi="Times New Roman" w:cs="Times New Roman"/>
                                <w:szCs w:val="21"/>
                              </w:rPr>
                              <w:t>率</w:t>
                            </w:r>
                            <w:r>
                              <w:rPr>
                                <w:rFonts w:hint="default" w:ascii="Times New Roman" w:hAnsi="Times New Roman" w:cs="Times New Roman"/>
                                <w:szCs w:val="21"/>
                                <w:lang w:val="en-US" w:eastAsia="zh-CN"/>
                              </w:rPr>
                              <w:t>8</w:t>
                            </w:r>
                            <w:r>
                              <w:rPr>
                                <w:rFonts w:hint="default" w:ascii="Times New Roman" w:hAnsi="Times New Roman" w:cs="Times New Roman"/>
                                <w:szCs w:val="21"/>
                              </w:rPr>
                              <w:t>0%</w:t>
                            </w:r>
                          </w:p>
                        </w:txbxContent>
                      </v:textbox>
                    </v:shape>
                  </w:pict>
                </mc:Fallback>
              </mc:AlternateContent>
            </w:r>
            <w:r>
              <w:rPr>
                <w:rFonts w:hint="eastAsia"/>
                <w:color w:val="auto"/>
                <w:highlight w:val="none"/>
              </w:rPr>
              <mc:AlternateContent>
                <mc:Choice Requires="wps">
                  <w:drawing>
                    <wp:anchor distT="0" distB="0" distL="114300" distR="114300" simplePos="0" relativeHeight="251725824" behindDoc="0" locked="0" layoutInCell="1" allowOverlap="1">
                      <wp:simplePos x="0" y="0"/>
                      <wp:positionH relativeFrom="margin">
                        <wp:posOffset>-38735</wp:posOffset>
                      </wp:positionH>
                      <wp:positionV relativeFrom="paragraph">
                        <wp:posOffset>189865</wp:posOffset>
                      </wp:positionV>
                      <wp:extent cx="855345" cy="499110"/>
                      <wp:effectExtent l="4445" t="4445" r="16510" b="10795"/>
                      <wp:wrapNone/>
                      <wp:docPr id="450" name="文本框 450"/>
                      <wp:cNvGraphicFramePr/>
                      <a:graphic xmlns:a="http://schemas.openxmlformats.org/drawingml/2006/main">
                        <a:graphicData uri="http://schemas.microsoft.com/office/word/2010/wordprocessingShape">
                          <wps:wsp>
                            <wps:cNvSpPr txBox="1"/>
                            <wps:spPr>
                              <a:xfrm>
                                <a:off x="0" y="0"/>
                                <a:ext cx="855345" cy="295275"/>
                              </a:xfrm>
                              <a:prstGeom prst="rect">
                                <a:avLst/>
                              </a:prstGeom>
                              <a:noFill/>
                              <a:ln w="6350">
                                <a:solidFill>
                                  <a:prstClr val="black"/>
                                </a:solidFill>
                              </a:ln>
                              <a:effectLst/>
                            </wps:spPr>
                            <wps:txbx>
                              <w:txbxContent>
                                <w:p w14:paraId="251510BA">
                                  <w:pPr>
                                    <w:jc w:val="center"/>
                                    <w:rPr>
                                      <w:rFonts w:hint="eastAsia" w:eastAsia="宋体"/>
                                      <w:szCs w:val="21"/>
                                      <w:lang w:eastAsia="zh-CN"/>
                                    </w:rPr>
                                  </w:pPr>
                                  <w:r>
                                    <w:rPr>
                                      <w:rFonts w:hint="eastAsia"/>
                                      <w:szCs w:val="21"/>
                                    </w:rPr>
                                    <w:t>塑料颗粒</w:t>
                                  </w:r>
                                  <w:r>
                                    <w:rPr>
                                      <w:rFonts w:hint="eastAsia"/>
                                      <w:szCs w:val="21"/>
                                      <w:lang w:eastAsia="zh-CN"/>
                                    </w:rPr>
                                    <w:t>加热</w:t>
                                  </w:r>
                                </w:p>
                                <w:p w14:paraId="329016B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pt;margin-top:14.95pt;height:39.3pt;width:67.35pt;mso-position-horizontal-relative:margin;z-index:251725824;mso-width-relative:page;mso-height-relative:page;" filled="f" stroked="t" coordsize="21600,21600" o:gfxdata="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3FCBNkA&#10;AAAJAQAADwAAAAAAAAABACAAAAAiAAAAZHJzL2Rvd25yZXYueG1sUEsBAhQAFAAAAAgAh07iQKeY&#10;CTRXAgAAnwQAAA4AAAAAAAAAAQAgAAAAKAEAAGRycy9lMm9Eb2MueG1sUEsFBgAAAAAGAAYAWQEA&#10;APEFAAAAAA==&#10;">
                      <v:fill on="f" focussize="0,0"/>
                      <v:stroke weight="0.5pt" color="#000000" joinstyle="round"/>
                      <v:imagedata o:title=""/>
                      <o:lock v:ext="edit" aspectratio="f"/>
                      <v:textbox>
                        <w:txbxContent>
                          <w:p w14:paraId="251510BA">
                            <w:pPr>
                              <w:jc w:val="center"/>
                              <w:rPr>
                                <w:rFonts w:hint="eastAsia" w:eastAsia="宋体"/>
                                <w:szCs w:val="21"/>
                                <w:lang w:eastAsia="zh-CN"/>
                              </w:rPr>
                            </w:pPr>
                            <w:r>
                              <w:rPr>
                                <w:rFonts w:hint="eastAsia"/>
                                <w:szCs w:val="21"/>
                              </w:rPr>
                              <w:t>塑料颗粒</w:t>
                            </w:r>
                            <w:r>
                              <w:rPr>
                                <w:rFonts w:hint="eastAsia"/>
                                <w:szCs w:val="21"/>
                                <w:lang w:eastAsia="zh-CN"/>
                              </w:rPr>
                              <w:t>加热</w:t>
                            </w:r>
                          </w:p>
                          <w:p w14:paraId="329016BE"/>
                        </w:txbxContent>
                      </v:textbox>
                    </v:shape>
                  </w:pict>
                </mc:Fallback>
              </mc:AlternateContent>
            </w:r>
            <w:r>
              <w:rPr>
                <w:color w:val="auto"/>
                <w:sz w:val="24"/>
                <w:highlight w:val="none"/>
              </w:rPr>
              <mc:AlternateContent>
                <mc:Choice Requires="wps">
                  <w:drawing>
                    <wp:anchor distT="0" distB="0" distL="114300" distR="114300" simplePos="0" relativeHeight="251726848" behindDoc="0" locked="0" layoutInCell="1" allowOverlap="1">
                      <wp:simplePos x="0" y="0"/>
                      <wp:positionH relativeFrom="column">
                        <wp:posOffset>3306445</wp:posOffset>
                      </wp:positionH>
                      <wp:positionV relativeFrom="paragraph">
                        <wp:posOffset>86360</wp:posOffset>
                      </wp:positionV>
                      <wp:extent cx="0" cy="868045"/>
                      <wp:effectExtent l="4445" t="0" r="14605" b="8255"/>
                      <wp:wrapNone/>
                      <wp:docPr id="23" name="直接箭头连接符 23"/>
                      <wp:cNvGraphicFramePr/>
                      <a:graphic xmlns:a="http://schemas.openxmlformats.org/drawingml/2006/main">
                        <a:graphicData uri="http://schemas.microsoft.com/office/word/2010/wordprocessingShape">
                          <wps:wsp>
                            <wps:cNvCnPr/>
                            <wps:spPr>
                              <a:xfrm>
                                <a:off x="0" y="0"/>
                                <a:ext cx="0" cy="8680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60.35pt;margin-top:6.8pt;height:68.35pt;width:0pt;z-index:251726848;mso-width-relative:page;mso-height-relative:page;" filled="f" stroked="t" coordsize="21600,21600" o:gfxdata="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si9htcAAAAKAQAADwAAAAAAAAABACAAAAAiAAAAZHJzL2Rvd25yZXYu&#10;eG1sUEsBAhQAFAAAAAgAh07iQLUDDL38AQAA7QMAAA4AAAAAAAAAAQAgAAAAJgEAAGRycy9lMm9E&#10;b2MueG1sUEsFBgAAAAAGAAYAWQEAAJQFAAAAAA==&#10;">
                      <v:fill on="f" focussize="0,0"/>
                      <v:stroke color="#000000" joinstyle="round"/>
                      <v:imagedata o:title=""/>
                      <o:lock v:ext="edit" aspectratio="f"/>
                    </v:shape>
                  </w:pict>
                </mc:Fallback>
              </mc:AlternateContent>
            </w:r>
            <w:r>
              <w:rPr>
                <w:color w:val="auto"/>
                <w:sz w:val="24"/>
                <w:highlight w:val="none"/>
              </w:rPr>
              <mc:AlternateContent>
                <mc:Choice Requires="wps">
                  <w:drawing>
                    <wp:anchor distT="0" distB="0" distL="114300" distR="114300" simplePos="0" relativeHeight="251711488" behindDoc="0" locked="0" layoutInCell="1" allowOverlap="1">
                      <wp:simplePos x="0" y="0"/>
                      <wp:positionH relativeFrom="column">
                        <wp:posOffset>3297555</wp:posOffset>
                      </wp:positionH>
                      <wp:positionV relativeFrom="paragraph">
                        <wp:posOffset>86360</wp:posOffset>
                      </wp:positionV>
                      <wp:extent cx="485775" cy="3810"/>
                      <wp:effectExtent l="0" t="37465" r="9525" b="34925"/>
                      <wp:wrapNone/>
                      <wp:docPr id="445" name="直接箭头连接符 445"/>
                      <wp:cNvGraphicFramePr/>
                      <a:graphic xmlns:a="http://schemas.openxmlformats.org/drawingml/2006/main">
                        <a:graphicData uri="http://schemas.microsoft.com/office/word/2010/wordprocessingShape">
                          <wps:wsp>
                            <wps:cNvCnPr/>
                            <wps:spPr>
                              <a:xfrm flipV="1">
                                <a:off x="0" y="0"/>
                                <a:ext cx="485775" cy="381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259.65pt;margin-top:6.8pt;height:0.3pt;width:38.25pt;z-index:251711488;mso-width-relative:page;mso-height-relative:page;" filled="f" stroked="t" coordsize="21600,21600" o:gfxdata="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UdFrH2QAAAAkBAAAPAAAAAAAAAAEAIAAA&#10;ACIAAABkcnMvZG93bnJldi54bWxQSwECFAAUAAAACACHTuJAU2aogAsCAADoAwAADgAAAAAAAAAB&#10;ACAAAAAoAQAAZHJzL2Uyb0RvYy54bWxQSwUGAAAAAAYABgBZAQAApQUAAAAA&#10;">
                      <v:fill on="f" focussize="0,0"/>
                      <v:stroke color="#000000" joinstyle="round" endarrow="block"/>
                      <v:imagedata o:title=""/>
                      <o:lock v:ext="edit" aspectratio="f"/>
                    </v:shape>
                  </w:pict>
                </mc:Fallback>
              </mc:AlternateContent>
            </w:r>
            <w:r>
              <w:rPr>
                <w:rFonts w:hint="eastAsia"/>
                <w:color w:val="auto"/>
                <w:highlight w:val="none"/>
              </w:rPr>
              <mc:AlternateContent>
                <mc:Choice Requires="wps">
                  <w:drawing>
                    <wp:anchor distT="0" distB="0" distL="114300" distR="114300" simplePos="0" relativeHeight="251713536" behindDoc="0" locked="0" layoutInCell="1" allowOverlap="1">
                      <wp:simplePos x="0" y="0"/>
                      <wp:positionH relativeFrom="margin">
                        <wp:posOffset>1400810</wp:posOffset>
                      </wp:positionH>
                      <wp:positionV relativeFrom="paragraph">
                        <wp:posOffset>253365</wp:posOffset>
                      </wp:positionV>
                      <wp:extent cx="889635" cy="271780"/>
                      <wp:effectExtent l="4445" t="4445" r="20320" b="9525"/>
                      <wp:wrapNone/>
                      <wp:docPr id="26" name="文本框 26"/>
                      <wp:cNvGraphicFramePr/>
                      <a:graphic xmlns:a="http://schemas.openxmlformats.org/drawingml/2006/main">
                        <a:graphicData uri="http://schemas.microsoft.com/office/word/2010/wordprocessingShape">
                          <wps:wsp>
                            <wps:cNvSpPr txBox="1"/>
                            <wps:spPr>
                              <a:xfrm>
                                <a:off x="0" y="0"/>
                                <a:ext cx="960755" cy="295275"/>
                              </a:xfrm>
                              <a:prstGeom prst="rect">
                                <a:avLst/>
                              </a:prstGeom>
                              <a:noFill/>
                              <a:ln w="6350">
                                <a:solidFill>
                                  <a:prstClr val="black"/>
                                </a:solidFill>
                              </a:ln>
                              <a:effectLst/>
                            </wps:spPr>
                            <wps:txbx>
                              <w:txbxContent>
                                <w:p w14:paraId="77ACF205">
                                  <w:pPr>
                                    <w:jc w:val="center"/>
                                    <w:rPr>
                                      <w:szCs w:val="21"/>
                                    </w:rPr>
                                  </w:pPr>
                                  <w:r>
                                    <w:rPr>
                                      <w:rFonts w:hint="eastAsia"/>
                                      <w:szCs w:val="21"/>
                                    </w:rPr>
                                    <w:t>非甲烷总烃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3pt;margin-top:19.95pt;height:21.4pt;width:70.05pt;mso-position-horizontal-relative:margin;z-index:251713536;mso-width-relative:page;mso-height-relative:page;" filled="f" stroked="t" coordsize="21600,21600" o:gfxdata="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pANB/&#10;2gAAAAkBAAAPAAAAAAAAAAEAIAAAACIAAABkcnMvZG93bnJldi54bWxQSwECFAAUAAAACACHTuJA&#10;VRZwolgCAACdBAAADgAAAAAAAAABACAAAAApAQAAZHJzL2Uyb0RvYy54bWxQSwUGAAAAAAYABgBZ&#10;AQAA8wUAAAAA&#10;">
                      <v:fill on="f" focussize="0,0"/>
                      <v:stroke weight="0.5pt" color="#000000" joinstyle="round"/>
                      <v:imagedata o:title=""/>
                      <o:lock v:ext="edit" aspectratio="f"/>
                      <v:textbox>
                        <w:txbxContent>
                          <w:p w14:paraId="77ACF205">
                            <w:pPr>
                              <w:jc w:val="center"/>
                              <w:rPr>
                                <w:szCs w:val="21"/>
                              </w:rPr>
                            </w:pPr>
                            <w:r>
                              <w:rPr>
                                <w:rFonts w:hint="eastAsia"/>
                                <w:szCs w:val="21"/>
                              </w:rPr>
                              <w:t>非甲烷总烃</w:t>
                            </w:r>
                          </w:p>
                        </w:txbxContent>
                      </v:textbox>
                    </v:shape>
                  </w:pict>
                </mc:Fallback>
              </mc:AlternateContent>
            </w:r>
          </w:p>
          <w:p w14:paraId="4FA1E6F8">
            <w:pPr>
              <w:pStyle w:val="6"/>
              <w:spacing w:before="48" w:after="48" w:line="360" w:lineRule="auto"/>
              <w:ind w:left="0" w:leftChars="0"/>
              <w:rPr>
                <w:color w:val="auto"/>
                <w:highlight w:val="none"/>
              </w:rPr>
            </w:pPr>
            <w:r>
              <w:rPr>
                <w:color w:val="auto"/>
                <w:sz w:val="24"/>
                <w:highlight w:val="none"/>
              </w:rPr>
              <mc:AlternateContent>
                <mc:Choice Requires="wps">
                  <w:drawing>
                    <wp:anchor distT="0" distB="0" distL="114300" distR="114300" simplePos="0" relativeHeight="251721728" behindDoc="0" locked="0" layoutInCell="1" allowOverlap="1">
                      <wp:simplePos x="0" y="0"/>
                      <wp:positionH relativeFrom="column">
                        <wp:posOffset>2294255</wp:posOffset>
                      </wp:positionH>
                      <wp:positionV relativeFrom="paragraph">
                        <wp:posOffset>22860</wp:posOffset>
                      </wp:positionV>
                      <wp:extent cx="1000125" cy="1270"/>
                      <wp:effectExtent l="0" t="38100" r="9525" b="36830"/>
                      <wp:wrapNone/>
                      <wp:docPr id="451" name="直接箭头连接符 451"/>
                      <wp:cNvGraphicFramePr/>
                      <a:graphic xmlns:a="http://schemas.openxmlformats.org/drawingml/2006/main">
                        <a:graphicData uri="http://schemas.microsoft.com/office/word/2010/wordprocessingShape">
                          <wps:wsp>
                            <wps:cNvCnPr/>
                            <wps:spPr>
                              <a:xfrm flipV="1">
                                <a:off x="0" y="0"/>
                                <a:ext cx="1000125" cy="127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180.65pt;margin-top:1.8pt;height:0.1pt;width:78.75pt;z-index:251721728;mso-width-relative:page;mso-height-relative:page;" filled="f" stroked="t" coordsize="21600,21600" o:gfxdata="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MSSDHWAAAABwEAAA8AAAAAAAAAAQAgAAAAIgAA&#10;AGRycy9kb3ducmV2LnhtbFBLAQIUABQAAAAIAIdO4kAsunnyCgIAAOkDAAAOAAAAAAAAAAEAIAAA&#10;ACUBAABkcnMvZTJvRG9jLnhtbFBLBQYAAAAABgAGAFkBAAChBQ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716608" behindDoc="0" locked="0" layoutInCell="1" allowOverlap="1">
                      <wp:simplePos x="0" y="0"/>
                      <wp:positionH relativeFrom="column">
                        <wp:posOffset>828040</wp:posOffset>
                      </wp:positionH>
                      <wp:positionV relativeFrom="paragraph">
                        <wp:posOffset>28575</wp:posOffset>
                      </wp:positionV>
                      <wp:extent cx="575945" cy="2540"/>
                      <wp:effectExtent l="0" t="36195" r="14605" b="37465"/>
                      <wp:wrapNone/>
                      <wp:docPr id="452" name="直接箭头连接符 452"/>
                      <wp:cNvGraphicFramePr/>
                      <a:graphic xmlns:a="http://schemas.openxmlformats.org/drawingml/2006/main">
                        <a:graphicData uri="http://schemas.microsoft.com/office/word/2010/wordprocessingShape">
                          <wps:wsp>
                            <wps:cNvCnPr/>
                            <wps:spPr>
                              <a:xfrm>
                                <a:off x="0" y="0"/>
                                <a:ext cx="575945" cy="254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65.2pt;margin-top:2.25pt;height:0.2pt;width:45.35pt;z-index:251716608;mso-width-relative:page;mso-height-relative:page;" filled="f" stroked="t" coordsize="21600,21600" o:gfxdata="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h14kNYAAAAHAQAADwAAAAAAAAABACAAAAAiAAAAZHJzL2Rv&#10;d25yZXYueG1sUEsBAhQAFAAAAAgAh07iQAX+s6YDAgAA3gMAAA4AAAAAAAAAAQAgAAAAJQEAAGRy&#10;cy9lMm9Eb2MueG1sUEsFBgAAAAAGAAYAWQEAAJoFAAAAAA==&#10;">
                      <v:fill on="f" focussize="0,0"/>
                      <v:stroke color="#000000" joinstyle="round" endarrow="block"/>
                      <v:imagedata o:title=""/>
                      <o:lock v:ext="edit" aspectratio="f"/>
                    </v:shape>
                  </w:pict>
                </mc:Fallback>
              </mc:AlternateContent>
            </w:r>
          </w:p>
          <w:p w14:paraId="4471AB71">
            <w:pPr>
              <w:pStyle w:val="6"/>
              <w:spacing w:before="48" w:after="48" w:line="360" w:lineRule="auto"/>
              <w:ind w:left="0" w:leftChars="0"/>
              <w:rPr>
                <w:color w:val="auto"/>
                <w:highlight w:val="none"/>
              </w:rPr>
            </w:pPr>
            <w:r>
              <w:rPr>
                <w:color w:val="auto"/>
                <w:sz w:val="24"/>
                <w:highlight w:val="none"/>
              </w:rPr>
              <mc:AlternateContent>
                <mc:Choice Requires="wps">
                  <w:drawing>
                    <wp:anchor distT="0" distB="0" distL="114300" distR="114300" simplePos="0" relativeHeight="251718656" behindDoc="0" locked="0" layoutInCell="1" allowOverlap="1">
                      <wp:simplePos x="0" y="0"/>
                      <wp:positionH relativeFrom="column">
                        <wp:posOffset>3314065</wp:posOffset>
                      </wp:positionH>
                      <wp:positionV relativeFrom="paragraph">
                        <wp:posOffset>17145</wp:posOffset>
                      </wp:positionV>
                      <wp:extent cx="666750" cy="285750"/>
                      <wp:effectExtent l="0" t="0" r="0" b="0"/>
                      <wp:wrapNone/>
                      <wp:docPr id="453" name="文本框 453"/>
                      <wp:cNvGraphicFramePr/>
                      <a:graphic xmlns:a="http://schemas.openxmlformats.org/drawingml/2006/main">
                        <a:graphicData uri="http://schemas.microsoft.com/office/word/2010/wordprocessingShape">
                          <wps:wsp>
                            <wps:cNvSpPr txBox="1"/>
                            <wps:spPr>
                              <a:xfrm>
                                <a:off x="0" y="0"/>
                                <a:ext cx="523875" cy="285750"/>
                              </a:xfrm>
                              <a:prstGeom prst="rect">
                                <a:avLst/>
                              </a:prstGeom>
                              <a:noFill/>
                              <a:ln w="6350">
                                <a:noFill/>
                              </a:ln>
                              <a:effectLst/>
                            </wps:spPr>
                            <wps:txbx>
                              <w:txbxContent>
                                <w:p w14:paraId="467B5BBD">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21.6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0.95pt;margin-top:1.35pt;height:22.5pt;width:52.5pt;z-index:251718656;mso-width-relative:page;mso-height-relative:page;" filled="f" stroked="f" coordsize="21600,21600" o:gfxdata="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Ol8ArZAAAACAEAAA8AAAAAAAAAAQAgAAAA&#10;IgAAAGRycy9kb3ducmV2LnhtbFBLAQIUABQAAAAIAIdO4kCUkhpDQwIAAHcEAAAOAAAAAAAAAAEA&#10;IAAAACgBAABkcnMvZTJvRG9jLnhtbFBLBQYAAAAABgAGAFkBAADdBQAAAAA=&#10;">
                      <v:fill on="f" focussize="0,0"/>
                      <v:stroke on="f" weight="0.5pt"/>
                      <v:imagedata o:title=""/>
                      <o:lock v:ext="edit" aspectratio="f"/>
                      <v:textbox>
                        <w:txbxContent>
                          <w:p w14:paraId="467B5BBD">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21.6</w:t>
                            </w:r>
                          </w:p>
                        </w:txbxContent>
                      </v:textbox>
                    </v:shape>
                  </w:pict>
                </mc:Fallback>
              </mc:AlternateContent>
            </w:r>
            <w:r>
              <w:rPr>
                <w:color w:val="auto"/>
                <w:sz w:val="24"/>
                <w:highlight w:val="none"/>
              </w:rPr>
              <mc:AlternateContent>
                <mc:Choice Requires="wps">
                  <w:drawing>
                    <wp:anchor distT="0" distB="0" distL="114300" distR="114300" simplePos="0" relativeHeight="251717632" behindDoc="0" locked="0" layoutInCell="1" allowOverlap="1">
                      <wp:simplePos x="0" y="0"/>
                      <wp:positionH relativeFrom="column">
                        <wp:posOffset>3686810</wp:posOffset>
                      </wp:positionH>
                      <wp:positionV relativeFrom="paragraph">
                        <wp:posOffset>247650</wp:posOffset>
                      </wp:positionV>
                      <wp:extent cx="0" cy="277495"/>
                      <wp:effectExtent l="38100" t="0" r="38100" b="8255"/>
                      <wp:wrapNone/>
                      <wp:docPr id="455" name="直接箭头连接符 455"/>
                      <wp:cNvGraphicFramePr/>
                      <a:graphic xmlns:a="http://schemas.openxmlformats.org/drawingml/2006/main">
                        <a:graphicData uri="http://schemas.microsoft.com/office/word/2010/wordprocessingShape">
                          <wps:wsp>
                            <wps:cNvCnPr/>
                            <wps:spPr>
                              <a:xfrm>
                                <a:off x="0" y="0"/>
                                <a:ext cx="0" cy="277495"/>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90.3pt;margin-top:19.5pt;height:21.85pt;width:0pt;z-index:251717632;mso-width-relative:page;mso-height-relative:page;" filled="f" stroked="t" coordsize="21600,21600" o:gfxdata="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Hmq822AAAAAkBAAAPAAAAAAAAAAEAIAAAACIAAABkcnMvZG93&#10;bnJldi54bWxQSwECFAAUAAAACACHTuJAEmEDOQACAADbAwAADgAAAAAAAAABACAAAAAnAQAAZHJz&#10;L2Uyb0RvYy54bWxQSwUGAAAAAAYABgBZAQAAmQU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727872" behindDoc="0" locked="0" layoutInCell="1" allowOverlap="1">
                      <wp:simplePos x="0" y="0"/>
                      <wp:positionH relativeFrom="column">
                        <wp:posOffset>3307715</wp:posOffset>
                      </wp:positionH>
                      <wp:positionV relativeFrom="paragraph">
                        <wp:posOffset>244475</wp:posOffset>
                      </wp:positionV>
                      <wp:extent cx="379730" cy="0"/>
                      <wp:effectExtent l="0" t="4445" r="0" b="5080"/>
                      <wp:wrapNone/>
                      <wp:docPr id="27" name="直接箭头连接符 27"/>
                      <wp:cNvGraphicFramePr/>
                      <a:graphic xmlns:a="http://schemas.openxmlformats.org/drawingml/2006/main">
                        <a:graphicData uri="http://schemas.microsoft.com/office/word/2010/wordprocessingShape">
                          <wps:wsp>
                            <wps:cNvCnPr/>
                            <wps:spPr>
                              <a:xfrm>
                                <a:off x="0" y="0"/>
                                <a:ext cx="3797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60.45pt;margin-top:19.25pt;height:0pt;width:29.9pt;z-index:251727872;mso-width-relative:page;mso-height-relative:page;" filled="f" stroked="t" coordsize="21600,21600" o:gfxdata="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dF2I81wAAAAkBAAAPAAAAAAAAAAEAIAAAACIAAABkcnMvZG93bnJl&#10;di54bWxQSwECFAAUAAAACACHTuJAtCVp+f4BAADtAwAADgAAAAAAAAABACAAAAAmAQAAZHJzL2Uy&#10;b0RvYy54bWxQSwUGAAAAAAYABgBZAQAAlgUAAAAA&#10;">
                      <v:fill on="f" focussize="0,0"/>
                      <v:stroke color="#000000" joinstyle="round"/>
                      <v:imagedata o:title=""/>
                      <o:lock v:ext="edit" aspectratio="f"/>
                    </v:shape>
                  </w:pict>
                </mc:Fallback>
              </mc:AlternateContent>
            </w:r>
          </w:p>
          <w:p w14:paraId="60C86B3C">
            <w:pPr>
              <w:pStyle w:val="6"/>
              <w:spacing w:before="48" w:after="48" w:line="360" w:lineRule="auto"/>
              <w:ind w:left="0" w:leftChars="0"/>
              <w:rPr>
                <w:color w:val="auto"/>
                <w:highlight w:val="none"/>
              </w:rPr>
            </w:pPr>
            <w:r>
              <w:rPr>
                <w:rFonts w:hint="eastAsia"/>
                <w:color w:val="auto"/>
                <w:highlight w:val="none"/>
              </w:rPr>
              <mc:AlternateContent>
                <mc:Choice Requires="wps">
                  <w:drawing>
                    <wp:anchor distT="0" distB="0" distL="114300" distR="114300" simplePos="0" relativeHeight="251708416" behindDoc="0" locked="0" layoutInCell="1" allowOverlap="1">
                      <wp:simplePos x="0" y="0"/>
                      <wp:positionH relativeFrom="margin">
                        <wp:posOffset>947420</wp:posOffset>
                      </wp:positionH>
                      <wp:positionV relativeFrom="paragraph">
                        <wp:posOffset>228600</wp:posOffset>
                      </wp:positionV>
                      <wp:extent cx="3449955" cy="295275"/>
                      <wp:effectExtent l="4445" t="4445" r="12700" b="5080"/>
                      <wp:wrapNone/>
                      <wp:docPr id="457" name="文本框 457"/>
                      <wp:cNvGraphicFramePr/>
                      <a:graphic xmlns:a="http://schemas.openxmlformats.org/drawingml/2006/main">
                        <a:graphicData uri="http://schemas.microsoft.com/office/word/2010/wordprocessingShape">
                          <wps:wsp>
                            <wps:cNvSpPr txBox="1"/>
                            <wps:spPr>
                              <a:xfrm>
                                <a:off x="0" y="0"/>
                                <a:ext cx="3449955" cy="295275"/>
                              </a:xfrm>
                              <a:prstGeom prst="rect">
                                <a:avLst/>
                              </a:prstGeom>
                              <a:noFill/>
                              <a:ln w="6350">
                                <a:solidFill>
                                  <a:prstClr val="black"/>
                                </a:solidFill>
                              </a:ln>
                              <a:effectLst/>
                            </wps:spPr>
                            <wps:txbx>
                              <w:txbxContent>
                                <w:p w14:paraId="5F47E8F6">
                                  <w:pPr>
                                    <w:jc w:val="center"/>
                                    <w:rPr>
                                      <w:szCs w:val="21"/>
                                    </w:rPr>
                                  </w:pPr>
                                  <w:r>
                                    <w:rPr>
                                      <w:rFonts w:hint="eastAsia"/>
                                      <w:szCs w:val="21"/>
                                    </w:rPr>
                                    <w:t>活性炭吸附脱附+催化燃烧装置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6pt;margin-top:18pt;height:23.25pt;width:271.65pt;mso-position-horizontal-relative:margin;z-index:251708416;mso-width-relative:page;mso-height-relative:page;" filled="f" stroked="t" coordsize="21600,21600" o:gfxdata="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qEpU+&#10;2QAAAAkBAAAPAAAAAAAAAAEAIAAAACIAAABkcnMvZG93bnJldi54bWxQSwECFAAUAAAACACHTuJA&#10;bwP+iFkCAACgBAAADgAAAAAAAAABACAAAAAoAQAAZHJzL2Uyb0RvYy54bWxQSwUGAAAAAAYABgBZ&#10;AQAA8wUAAAAA&#10;">
                      <v:fill on="f" focussize="0,0"/>
                      <v:stroke weight="0.5pt" color="#000000" joinstyle="round"/>
                      <v:imagedata o:title=""/>
                      <o:lock v:ext="edit" aspectratio="f"/>
                      <v:textbox>
                        <w:txbxContent>
                          <w:p w14:paraId="5F47E8F6">
                            <w:pPr>
                              <w:jc w:val="center"/>
                              <w:rPr>
                                <w:szCs w:val="21"/>
                              </w:rPr>
                            </w:pPr>
                            <w:r>
                              <w:rPr>
                                <w:rFonts w:hint="eastAsia"/>
                                <w:szCs w:val="21"/>
                              </w:rPr>
                              <w:t>活性炭吸附脱附+催化燃烧装置</w:t>
                            </w:r>
                          </w:p>
                        </w:txbxContent>
                      </v:textbox>
                    </v:shape>
                  </w:pict>
                </mc:Fallback>
              </mc:AlternateContent>
            </w:r>
          </w:p>
          <w:p w14:paraId="17579344">
            <w:pPr>
              <w:pStyle w:val="6"/>
              <w:spacing w:before="48" w:after="48" w:line="360" w:lineRule="auto"/>
              <w:ind w:left="0" w:leftChars="0"/>
              <w:rPr>
                <w:color w:val="auto"/>
                <w:highlight w:val="none"/>
              </w:rPr>
            </w:pPr>
            <w:r>
              <w:rPr>
                <w:color w:val="auto"/>
                <w:sz w:val="24"/>
                <w:highlight w:val="none"/>
              </w:rPr>
              <mc:AlternateContent>
                <mc:Choice Requires="wps">
                  <w:drawing>
                    <wp:anchor distT="0" distB="0" distL="114300" distR="114300" simplePos="0" relativeHeight="251709440" behindDoc="0" locked="0" layoutInCell="1" allowOverlap="1">
                      <wp:simplePos x="0" y="0"/>
                      <wp:positionH relativeFrom="column">
                        <wp:posOffset>2557780</wp:posOffset>
                      </wp:positionH>
                      <wp:positionV relativeFrom="paragraph">
                        <wp:posOffset>213360</wp:posOffset>
                      </wp:positionV>
                      <wp:extent cx="1294765" cy="285750"/>
                      <wp:effectExtent l="0" t="0" r="0" b="0"/>
                      <wp:wrapNone/>
                      <wp:docPr id="454" name="文本框 454"/>
                      <wp:cNvGraphicFramePr/>
                      <a:graphic xmlns:a="http://schemas.openxmlformats.org/drawingml/2006/main">
                        <a:graphicData uri="http://schemas.microsoft.com/office/word/2010/wordprocessingShape">
                          <wps:wsp>
                            <wps:cNvSpPr txBox="1"/>
                            <wps:spPr>
                              <a:xfrm>
                                <a:off x="0" y="0"/>
                                <a:ext cx="1294765" cy="285750"/>
                              </a:xfrm>
                              <a:prstGeom prst="rect">
                                <a:avLst/>
                              </a:prstGeom>
                              <a:noFill/>
                              <a:ln w="6350">
                                <a:noFill/>
                              </a:ln>
                              <a:effectLst/>
                            </wps:spPr>
                            <wps:txbx>
                              <w:txbxContent>
                                <w:p w14:paraId="22210084">
                                  <w:pPr>
                                    <w:rPr>
                                      <w:rFonts w:hint="default" w:ascii="Times New Roman" w:hAnsi="Times New Roman" w:cs="Times New Roman"/>
                                      <w:szCs w:val="21"/>
                                    </w:rPr>
                                  </w:pPr>
                                  <w:r>
                                    <w:rPr>
                                      <w:rFonts w:hint="default" w:ascii="Times New Roman" w:hAnsi="Times New Roman" w:cs="Times New Roman"/>
                                      <w:szCs w:val="21"/>
                                    </w:rPr>
                                    <w:t>废气处理效率90%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4pt;margin-top:16.8pt;height:22.5pt;width:101.95pt;z-index:251709440;mso-width-relative:page;mso-height-relative:page;" filled="f" stroked="f" coordsize="21600,21600" o:gfxdata="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WsUedoAAAAJAQAADwAAAAAAAAABACAA&#10;AAAiAAAAZHJzL2Rvd25yZXYueG1sUEsBAhQAFAAAAAgAh07iQMfV02NEAgAAeAQAAA4AAAAAAAAA&#10;AQAgAAAAKQEAAGRycy9lMm9Eb2MueG1sUEsFBgAAAAAGAAYAWQEAAN8FAAAAAA==&#10;">
                      <v:fill on="f" focussize="0,0"/>
                      <v:stroke on="f" weight="0.5pt"/>
                      <v:imagedata o:title=""/>
                      <o:lock v:ext="edit" aspectratio="f"/>
                      <v:textbox>
                        <w:txbxContent>
                          <w:p w14:paraId="22210084">
                            <w:pPr>
                              <w:rPr>
                                <w:rFonts w:hint="default" w:ascii="Times New Roman" w:hAnsi="Times New Roman" w:cs="Times New Roman"/>
                                <w:szCs w:val="21"/>
                              </w:rPr>
                            </w:pPr>
                            <w:r>
                              <w:rPr>
                                <w:rFonts w:hint="default" w:ascii="Times New Roman" w:hAnsi="Times New Roman" w:cs="Times New Roman"/>
                                <w:szCs w:val="21"/>
                              </w:rPr>
                              <w:t>废气处理效率90%</w:t>
                            </w:r>
                          </w:p>
                        </w:txbxContent>
                      </v:textbox>
                    </v:shape>
                  </w:pict>
                </mc:Fallback>
              </mc:AlternateContent>
            </w:r>
            <w:r>
              <w:rPr>
                <w:color w:val="auto"/>
                <w:highlight w:val="none"/>
              </w:rPr>
              <mc:AlternateContent>
                <mc:Choice Requires="wps">
                  <w:drawing>
                    <wp:anchor distT="0" distB="0" distL="114300" distR="114300" simplePos="0" relativeHeight="251730944" behindDoc="0" locked="0" layoutInCell="1" allowOverlap="1">
                      <wp:simplePos x="0" y="0"/>
                      <wp:positionH relativeFrom="column">
                        <wp:posOffset>2663190</wp:posOffset>
                      </wp:positionH>
                      <wp:positionV relativeFrom="paragraph">
                        <wp:posOffset>198120</wp:posOffset>
                      </wp:positionV>
                      <wp:extent cx="0" cy="304165"/>
                      <wp:effectExtent l="38100" t="0" r="38100" b="635"/>
                      <wp:wrapNone/>
                      <wp:docPr id="29" name="直接箭头连接符 29"/>
                      <wp:cNvGraphicFramePr/>
                      <a:graphic xmlns:a="http://schemas.openxmlformats.org/drawingml/2006/main">
                        <a:graphicData uri="http://schemas.microsoft.com/office/word/2010/wordprocessingShape">
                          <wps:wsp>
                            <wps:cNvCnPr/>
                            <wps:spPr>
                              <a:xfrm>
                                <a:off x="0" y="0"/>
                                <a:ext cx="0" cy="3041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9.7pt;margin-top:15.6pt;height:23.95pt;width:0pt;z-index:251730944;mso-width-relative:page;mso-height-relative:page;" filled="f" stroked="t" coordsize="21600,21600" o:gfxdata="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tEqVt2QAAAAkBAAAPAAAAAAAAAAEAIAAAACIAAABkcnMv&#10;ZG93bnJldi54bWxQSwECFAAUAAAACACHTuJAhQ9FDAICAADxAwAADgAAAAAAAAABACAAAAAoAQAA&#10;ZHJzL2Uyb0RvYy54bWxQSwUGAAAAAAYABgBZAQAAnAUAAAAA&#10;">
                      <v:fill on="f" focussize="0,0"/>
                      <v:stroke color="#000000" joinstyle="round" endarrow="block"/>
                      <v:imagedata o:title=""/>
                      <o:lock v:ext="edit" aspectratio="f"/>
                    </v:shape>
                  </w:pict>
                </mc:Fallback>
              </mc:AlternateContent>
            </w:r>
          </w:p>
          <w:p w14:paraId="6DF78D0E">
            <w:pPr>
              <w:pStyle w:val="6"/>
              <w:spacing w:before="48" w:after="48" w:line="360" w:lineRule="auto"/>
              <w:ind w:left="0" w:leftChars="0"/>
              <w:rPr>
                <w:color w:val="auto"/>
                <w:highlight w:val="none"/>
              </w:rPr>
            </w:pPr>
            <w:r>
              <w:rPr>
                <w:color w:val="auto"/>
                <w:sz w:val="24"/>
                <w:highlight w:val="none"/>
              </w:rPr>
              <mc:AlternateContent>
                <mc:Choice Requires="wps">
                  <w:drawing>
                    <wp:anchor distT="0" distB="0" distL="114300" distR="114300" simplePos="0" relativeHeight="251720704" behindDoc="0" locked="0" layoutInCell="1" allowOverlap="1">
                      <wp:simplePos x="0" y="0"/>
                      <wp:positionH relativeFrom="column">
                        <wp:posOffset>3135630</wp:posOffset>
                      </wp:positionH>
                      <wp:positionV relativeFrom="paragraph">
                        <wp:posOffset>178435</wp:posOffset>
                      </wp:positionV>
                      <wp:extent cx="706120" cy="285750"/>
                      <wp:effectExtent l="0" t="0" r="0" b="0"/>
                      <wp:wrapNone/>
                      <wp:docPr id="460" name="文本框 460"/>
                      <wp:cNvGraphicFramePr/>
                      <a:graphic xmlns:a="http://schemas.openxmlformats.org/drawingml/2006/main">
                        <a:graphicData uri="http://schemas.microsoft.com/office/word/2010/wordprocessingShape">
                          <wps:wsp>
                            <wps:cNvSpPr txBox="1"/>
                            <wps:spPr>
                              <a:xfrm>
                                <a:off x="0" y="0"/>
                                <a:ext cx="523875" cy="285750"/>
                              </a:xfrm>
                              <a:prstGeom prst="rect">
                                <a:avLst/>
                              </a:prstGeom>
                              <a:noFill/>
                              <a:ln w="6350">
                                <a:noFill/>
                              </a:ln>
                              <a:effectLst/>
                            </wps:spPr>
                            <wps:txbx>
                              <w:txbxContent>
                                <w:p w14:paraId="461594A0">
                                  <w:pP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2.16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9pt;margin-top:14.05pt;height:22.5pt;width:55.6pt;z-index:251720704;mso-width-relative:page;mso-height-relative:page;" filled="f" stroked="f" coordsize="21600,21600" o:gfxdata="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PFV0S2wAAAAkBAAAPAAAAAAAAAAEAIAAA&#10;ACIAAABkcnMvZG93bnJldi54bWxQSwECFAAUAAAACACHTuJA0RNaO0ICAAB3BAAADgAAAAAAAAAB&#10;ACAAAAAqAQAAZHJzL2Uyb0RvYy54bWxQSwUGAAAAAAYABgBZAQAA3gUAAAAA&#10;">
                      <v:fill on="f" focussize="0,0"/>
                      <v:stroke on="f" weight="0.5pt"/>
                      <v:imagedata o:title=""/>
                      <o:lock v:ext="edit" aspectratio="f"/>
                      <v:textbox>
                        <w:txbxContent>
                          <w:p w14:paraId="461594A0">
                            <w:pP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2.16</w:t>
                            </w:r>
                          </w:p>
                        </w:txbxContent>
                      </v:textbox>
                    </v:shape>
                  </w:pict>
                </mc:Fallback>
              </mc:AlternateContent>
            </w:r>
            <w:r>
              <w:rPr>
                <w:color w:val="auto"/>
                <w:sz w:val="24"/>
                <w:highlight w:val="none"/>
              </w:rPr>
              <mc:AlternateContent>
                <mc:Choice Requires="wps">
                  <w:drawing>
                    <wp:anchor distT="0" distB="0" distL="114300" distR="114300" simplePos="0" relativeHeight="251710464" behindDoc="0" locked="0" layoutInCell="1" allowOverlap="1">
                      <wp:simplePos x="0" y="0"/>
                      <wp:positionH relativeFrom="column">
                        <wp:posOffset>3120390</wp:posOffset>
                      </wp:positionH>
                      <wp:positionV relativeFrom="paragraph">
                        <wp:posOffset>183515</wp:posOffset>
                      </wp:positionV>
                      <wp:extent cx="0" cy="248920"/>
                      <wp:effectExtent l="38100" t="0" r="38100" b="17780"/>
                      <wp:wrapNone/>
                      <wp:docPr id="461" name="直接箭头连接符 461"/>
                      <wp:cNvGraphicFramePr/>
                      <a:graphic xmlns:a="http://schemas.openxmlformats.org/drawingml/2006/main">
                        <a:graphicData uri="http://schemas.microsoft.com/office/word/2010/wordprocessingShape">
                          <wps:wsp>
                            <wps:cNvCnPr/>
                            <wps:spPr>
                              <a:xfrm>
                                <a:off x="0" y="0"/>
                                <a:ext cx="0" cy="24892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45.7pt;margin-top:14.45pt;height:19.6pt;width:0pt;z-index:251710464;mso-width-relative:page;mso-height-relative:page;" filled="f" stroked="t" coordsize="21600,21600" o:gfxdata="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Ri72l2AAAAAkBAAAPAAAAAAAAAAEAIAAAACIAAABkcnMvZG93&#10;bnJldi54bWxQSwECFAAUAAAACACHTuJAZr92BwACAADbAwAADgAAAAAAAAABACAAAAAnAQAAZHJz&#10;L2Uyb0RvYy54bWxQSwUGAAAAAAYABgBZAQAAmQU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719680" behindDoc="0" locked="0" layoutInCell="1" allowOverlap="1">
                      <wp:simplePos x="0" y="0"/>
                      <wp:positionH relativeFrom="column">
                        <wp:posOffset>1645285</wp:posOffset>
                      </wp:positionH>
                      <wp:positionV relativeFrom="paragraph">
                        <wp:posOffset>148590</wp:posOffset>
                      </wp:positionV>
                      <wp:extent cx="657225" cy="285750"/>
                      <wp:effectExtent l="0" t="0" r="0" b="0"/>
                      <wp:wrapNone/>
                      <wp:docPr id="459" name="文本框 459"/>
                      <wp:cNvGraphicFramePr/>
                      <a:graphic xmlns:a="http://schemas.openxmlformats.org/drawingml/2006/main">
                        <a:graphicData uri="http://schemas.microsoft.com/office/word/2010/wordprocessingShape">
                          <wps:wsp>
                            <wps:cNvSpPr txBox="1"/>
                            <wps:spPr>
                              <a:xfrm>
                                <a:off x="0" y="0"/>
                                <a:ext cx="523875" cy="285750"/>
                              </a:xfrm>
                              <a:prstGeom prst="rect">
                                <a:avLst/>
                              </a:prstGeom>
                              <a:noFill/>
                              <a:ln w="6350">
                                <a:noFill/>
                              </a:ln>
                              <a:effectLst/>
                            </wps:spPr>
                            <wps:txbx>
                              <w:txbxContent>
                                <w:p w14:paraId="2C8EE4AA">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19.44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55pt;margin-top:11.7pt;height:22.5pt;width:51.75pt;z-index:251719680;mso-width-relative:page;mso-height-relative:page;" filled="f" stroked="f" coordsize="21600,21600" o:gfxdata="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B3rtsAAAAJAQAADwAAAAAAAAABACAA&#10;AAAiAAAAZHJzL2Rvd25yZXYueG1sUEsBAhQAFAAAAAgAh07iQLqsKFVDAgAAdwQAAA4AAAAAAAAA&#10;AQAgAAAAKgEAAGRycy9lMm9Eb2MueG1sUEsFBgAAAAAGAAYAWQEAAN8FAAAAAA==&#10;">
                      <v:fill on="f" focussize="0,0"/>
                      <v:stroke on="f" weight="0.5pt"/>
                      <v:imagedata o:title=""/>
                      <o:lock v:ext="edit" aspectratio="f"/>
                      <v:textbox>
                        <w:txbxContent>
                          <w:p w14:paraId="2C8EE4AA">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19.44</w:t>
                            </w:r>
                          </w:p>
                        </w:txbxContent>
                      </v:textbox>
                    </v:shape>
                  </w:pict>
                </mc:Fallback>
              </mc:AlternateContent>
            </w:r>
            <w:r>
              <w:rPr>
                <w:color w:val="auto"/>
                <w:sz w:val="24"/>
                <w:highlight w:val="none"/>
              </w:rPr>
              <mc:AlternateContent>
                <mc:Choice Requires="wps">
                  <w:drawing>
                    <wp:anchor distT="0" distB="0" distL="114300" distR="114300" simplePos="0" relativeHeight="251729920" behindDoc="0" locked="0" layoutInCell="1" allowOverlap="1">
                      <wp:simplePos x="0" y="0"/>
                      <wp:positionH relativeFrom="column">
                        <wp:posOffset>2237740</wp:posOffset>
                      </wp:positionH>
                      <wp:positionV relativeFrom="paragraph">
                        <wp:posOffset>190500</wp:posOffset>
                      </wp:positionV>
                      <wp:extent cx="0" cy="229870"/>
                      <wp:effectExtent l="38100" t="0" r="38100" b="17780"/>
                      <wp:wrapNone/>
                      <wp:docPr id="30" name="直接箭头连接符 30"/>
                      <wp:cNvGraphicFramePr/>
                      <a:graphic xmlns:a="http://schemas.openxmlformats.org/drawingml/2006/main">
                        <a:graphicData uri="http://schemas.microsoft.com/office/word/2010/wordprocessingShape">
                          <wps:wsp>
                            <wps:cNvCnPr/>
                            <wps:spPr>
                              <a:xfrm>
                                <a:off x="0" y="0"/>
                                <a:ext cx="0" cy="2298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6.2pt;margin-top:15pt;height:18.1pt;width:0pt;z-index:251729920;mso-width-relative:page;mso-height-relative:page;" filled="f" stroked="t" coordsize="21600,21600" o:gfxdata="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IqPc9gAAAAJAQAADwAAAAAAAAABACAAAAAiAAAAZHJz&#10;L2Rvd25yZXYueG1sUEsBAhQAFAAAAAgAh07iQGQLcxwEAgAA8QMAAA4AAAAAAAAAAQAgAAAAJwEA&#10;AGRycy9lMm9Eb2MueG1sUEsFBgAAAAAGAAYAWQEAAJ0FA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728896" behindDoc="0" locked="0" layoutInCell="1" allowOverlap="1">
                      <wp:simplePos x="0" y="0"/>
                      <wp:positionH relativeFrom="column">
                        <wp:posOffset>2230755</wp:posOffset>
                      </wp:positionH>
                      <wp:positionV relativeFrom="paragraph">
                        <wp:posOffset>184785</wp:posOffset>
                      </wp:positionV>
                      <wp:extent cx="875030" cy="0"/>
                      <wp:effectExtent l="0" t="4445" r="0" b="5080"/>
                      <wp:wrapNone/>
                      <wp:docPr id="31" name="直接箭头连接符 31"/>
                      <wp:cNvGraphicFramePr/>
                      <a:graphic xmlns:a="http://schemas.openxmlformats.org/drawingml/2006/main">
                        <a:graphicData uri="http://schemas.microsoft.com/office/word/2010/wordprocessingShape">
                          <wps:wsp>
                            <wps:cNvCnPr/>
                            <wps:spPr>
                              <a:xfrm>
                                <a:off x="0" y="0"/>
                                <a:ext cx="8750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75.65pt;margin-top:14.55pt;height:0pt;width:68.9pt;z-index:251728896;mso-width-relative:page;mso-height-relative:page;" filled="f" stroked="t" coordsize="21600,21600" o:gfxdata="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d8g49YAAAAJAQAADwAAAAAAAAABACAAAAAiAAAAZHJzL2Rvd25yZXYu&#10;eG1sUEsBAhQAFAAAAAgAh07iQB6vJ539AQAA7QMAAA4AAAAAAAAAAQAgAAAAJQEAAGRycy9lMm9E&#10;b2MueG1sUEsFBgAAAAAGAAYAWQEAAJQFAAAAAA==&#10;">
                      <v:fill on="f" focussize="0,0"/>
                      <v:stroke color="#000000" joinstyle="round"/>
                      <v:imagedata o:title=""/>
                      <o:lock v:ext="edit" aspectratio="f"/>
                    </v:shape>
                  </w:pict>
                </mc:Fallback>
              </mc:AlternateContent>
            </w:r>
          </w:p>
          <w:p w14:paraId="6A540724">
            <w:pPr>
              <w:pStyle w:val="6"/>
              <w:spacing w:before="48" w:after="48" w:line="360" w:lineRule="auto"/>
              <w:ind w:left="0" w:leftChars="0"/>
              <w:rPr>
                <w:color w:val="auto"/>
                <w:highlight w:val="none"/>
              </w:rPr>
            </w:pPr>
            <w:r>
              <w:rPr>
                <w:rFonts w:hint="eastAsia"/>
                <w:color w:val="auto"/>
                <w:highlight w:val="none"/>
              </w:rPr>
              <mc:AlternateContent>
                <mc:Choice Requires="wps">
                  <w:drawing>
                    <wp:anchor distT="0" distB="0" distL="114300" distR="114300" simplePos="0" relativeHeight="251722752" behindDoc="0" locked="0" layoutInCell="1" allowOverlap="1">
                      <wp:simplePos x="0" y="0"/>
                      <wp:positionH relativeFrom="margin">
                        <wp:posOffset>2907665</wp:posOffset>
                      </wp:positionH>
                      <wp:positionV relativeFrom="paragraph">
                        <wp:posOffset>125095</wp:posOffset>
                      </wp:positionV>
                      <wp:extent cx="1150620" cy="295275"/>
                      <wp:effectExtent l="4445" t="5080" r="6985" b="4445"/>
                      <wp:wrapNone/>
                      <wp:docPr id="464" name="文本框 464"/>
                      <wp:cNvGraphicFramePr/>
                      <a:graphic xmlns:a="http://schemas.openxmlformats.org/drawingml/2006/main">
                        <a:graphicData uri="http://schemas.microsoft.com/office/word/2010/wordprocessingShape">
                          <wps:wsp>
                            <wps:cNvSpPr txBox="1"/>
                            <wps:spPr>
                              <a:xfrm>
                                <a:off x="0" y="0"/>
                                <a:ext cx="1150620" cy="295275"/>
                              </a:xfrm>
                              <a:prstGeom prst="rect">
                                <a:avLst/>
                              </a:prstGeom>
                              <a:noFill/>
                              <a:ln w="6350">
                                <a:solidFill>
                                  <a:prstClr val="black"/>
                                </a:solidFill>
                              </a:ln>
                              <a:effectLst/>
                            </wps:spPr>
                            <wps:txbx>
                              <w:txbxContent>
                                <w:p w14:paraId="006B4B3D">
                                  <w:pPr>
                                    <w:jc w:val="center"/>
                                    <w:rPr>
                                      <w:szCs w:val="21"/>
                                    </w:rPr>
                                  </w:pPr>
                                  <w:r>
                                    <w:rPr>
                                      <w:rFonts w:hint="eastAsia"/>
                                      <w:szCs w:val="21"/>
                                    </w:rPr>
                                    <w:t>有组织排放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8.95pt;margin-top:9.85pt;height:23.25pt;width:90.6pt;mso-position-horizontal-relative:margin;z-index:251722752;mso-width-relative:page;mso-height-relative:page;" filled="f" stroked="t" coordsize="21600,21600" o:gfxdata="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wNM2TZ&#10;AAAACQEAAA8AAAAAAAAAAQAgAAAAIgAAAGRycy9kb3ducmV2LnhtbFBLAQIUABQAAAAIAIdO4kDS&#10;SHm/WAIAAKAEAAAOAAAAAAAAAAEAIAAAACgBAABkcnMvZTJvRG9jLnhtbFBLBQYAAAAABgAGAFkB&#10;AADyBQAAAAA=&#10;">
                      <v:fill on="f" focussize="0,0"/>
                      <v:stroke weight="0.5pt" color="#000000" joinstyle="round"/>
                      <v:imagedata o:title=""/>
                      <o:lock v:ext="edit" aspectratio="f"/>
                      <v:textbox>
                        <w:txbxContent>
                          <w:p w14:paraId="006B4B3D">
                            <w:pPr>
                              <w:jc w:val="center"/>
                              <w:rPr>
                                <w:szCs w:val="21"/>
                              </w:rPr>
                            </w:pPr>
                            <w:r>
                              <w:rPr>
                                <w:rFonts w:hint="eastAsia"/>
                                <w:szCs w:val="21"/>
                              </w:rPr>
                              <w:t>有组织排放</w:t>
                            </w:r>
                          </w:p>
                        </w:txbxContent>
                      </v:textbox>
                    </v:shape>
                  </w:pict>
                </mc:Fallback>
              </mc:AlternateContent>
            </w:r>
            <w:r>
              <w:rPr>
                <w:rFonts w:hint="eastAsia"/>
                <w:color w:val="auto"/>
                <w:highlight w:val="none"/>
              </w:rPr>
              <mc:AlternateContent>
                <mc:Choice Requires="wps">
                  <w:drawing>
                    <wp:anchor distT="0" distB="0" distL="114300" distR="114300" simplePos="0" relativeHeight="251714560" behindDoc="0" locked="0" layoutInCell="1" allowOverlap="1">
                      <wp:simplePos x="0" y="0"/>
                      <wp:positionH relativeFrom="margin">
                        <wp:posOffset>1800225</wp:posOffset>
                      </wp:positionH>
                      <wp:positionV relativeFrom="paragraph">
                        <wp:posOffset>102235</wp:posOffset>
                      </wp:positionV>
                      <wp:extent cx="960755" cy="295275"/>
                      <wp:effectExtent l="4445" t="4445" r="6350" b="5080"/>
                      <wp:wrapNone/>
                      <wp:docPr id="470" name="文本框 470"/>
                      <wp:cNvGraphicFramePr/>
                      <a:graphic xmlns:a="http://schemas.openxmlformats.org/drawingml/2006/main">
                        <a:graphicData uri="http://schemas.microsoft.com/office/word/2010/wordprocessingShape">
                          <wps:wsp>
                            <wps:cNvSpPr txBox="1"/>
                            <wps:spPr>
                              <a:xfrm>
                                <a:off x="0" y="0"/>
                                <a:ext cx="960755" cy="295275"/>
                              </a:xfrm>
                              <a:prstGeom prst="rect">
                                <a:avLst/>
                              </a:prstGeom>
                              <a:noFill/>
                              <a:ln w="6350">
                                <a:solidFill>
                                  <a:prstClr val="black"/>
                                </a:solidFill>
                              </a:ln>
                              <a:effectLst/>
                            </wps:spPr>
                            <wps:txbx>
                              <w:txbxContent>
                                <w:p w14:paraId="4863A098">
                                  <w:pPr>
                                    <w:jc w:val="center"/>
                                    <w:rPr>
                                      <w:szCs w:val="21"/>
                                    </w:rPr>
                                  </w:pPr>
                                  <w:r>
                                    <w:rPr>
                                      <w:rFonts w:hint="eastAsia"/>
                                      <w:szCs w:val="21"/>
                                    </w:rPr>
                                    <w:t>分解净化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75pt;margin-top:8.05pt;height:23.25pt;width:75.65pt;mso-position-horizontal-relative:margin;z-index:251714560;mso-width-relative:page;mso-height-relative:page;" filled="f" stroked="t" coordsize="21600,21600" o:gfxdata="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8aPs&#10;QtoAAAAJAQAADwAAAAAAAAABACAAAAAiAAAAZHJzL2Rvd25yZXYueG1sUEsBAhQAFAAAAAgAh07i&#10;QDqAzD9ZAgAAnwQAAA4AAAAAAAAAAQAgAAAAKQEAAGRycy9lMm9Eb2MueG1sUEsFBgAAAAAGAAYA&#10;WQEAAPQFAAAAAA==&#10;">
                      <v:fill on="f" focussize="0,0"/>
                      <v:stroke weight="0.5pt" color="#000000" joinstyle="round"/>
                      <v:imagedata o:title=""/>
                      <o:lock v:ext="edit" aspectratio="f"/>
                      <v:textbox>
                        <w:txbxContent>
                          <w:p w14:paraId="4863A098">
                            <w:pPr>
                              <w:jc w:val="center"/>
                              <w:rPr>
                                <w:szCs w:val="21"/>
                              </w:rPr>
                            </w:pPr>
                            <w:r>
                              <w:rPr>
                                <w:rFonts w:hint="eastAsia"/>
                                <w:szCs w:val="21"/>
                              </w:rPr>
                              <w:t>分解净化</w:t>
                            </w:r>
                          </w:p>
                        </w:txbxContent>
                      </v:textbox>
                    </v:shape>
                  </w:pict>
                </mc:Fallback>
              </mc:AlternateContent>
            </w:r>
          </w:p>
          <w:p w14:paraId="18326469">
            <w:pPr>
              <w:rPr>
                <w:color w:val="auto"/>
                <w:highlight w:val="none"/>
              </w:rPr>
            </w:pPr>
          </w:p>
          <w:p w14:paraId="476BC56F">
            <w:pPr>
              <w:autoSpaceDE w:val="0"/>
              <w:autoSpaceDN w:val="0"/>
              <w:spacing w:line="360" w:lineRule="auto"/>
              <w:ind w:firstLine="2891" w:firstLineChars="1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b/>
                <w:color w:val="auto"/>
                <w:kern w:val="0"/>
                <w:sz w:val="24"/>
                <w:highlight w:val="none"/>
              </w:rPr>
              <w:t>图</w:t>
            </w:r>
            <w:r>
              <w:rPr>
                <w:rFonts w:hint="eastAsia" w:ascii="Times New Roman" w:hAnsi="Times New Roman" w:eastAsia="宋体" w:cs="Times New Roman"/>
                <w:b/>
                <w:color w:val="auto"/>
                <w:kern w:val="0"/>
                <w:sz w:val="24"/>
                <w:highlight w:val="none"/>
                <w:lang w:val="en-US" w:eastAsia="zh-CN"/>
              </w:rPr>
              <w:t xml:space="preserve"> </w:t>
            </w:r>
            <w:r>
              <w:rPr>
                <w:rFonts w:hint="default" w:ascii="Times New Roman" w:hAnsi="Times New Roman" w:eastAsia="宋体" w:cs="Times New Roman"/>
                <w:b/>
                <w:color w:val="auto"/>
                <w:kern w:val="0"/>
                <w:sz w:val="24"/>
                <w:highlight w:val="none"/>
              </w:rPr>
              <w:t>2-</w:t>
            </w:r>
            <w:r>
              <w:rPr>
                <w:rFonts w:hint="default" w:ascii="Times New Roman" w:hAnsi="Times New Roman" w:eastAsia="宋体" w:cs="Times New Roman"/>
                <w:b/>
                <w:color w:val="auto"/>
                <w:kern w:val="0"/>
                <w:sz w:val="24"/>
                <w:highlight w:val="none"/>
                <w:lang w:val="en-US" w:eastAsia="zh-CN"/>
              </w:rPr>
              <w:t>2</w:t>
            </w:r>
            <w:r>
              <w:rPr>
                <w:rFonts w:hint="default" w:ascii="Times New Roman" w:hAnsi="Times New Roman" w:eastAsia="宋体" w:cs="Times New Roman"/>
                <w:b/>
                <w:color w:val="auto"/>
                <w:kern w:val="0"/>
                <w:sz w:val="24"/>
                <w:highlight w:val="none"/>
              </w:rPr>
              <w:t xml:space="preserve">  VOCs物料平衡图</w:t>
            </w:r>
            <w:r>
              <w:rPr>
                <w:rFonts w:hint="eastAsia" w:ascii="Times New Roman" w:hAnsi="Times New Roman" w:eastAsia="宋体" w:cs="Times New Roman"/>
                <w:b/>
                <w:color w:val="auto"/>
                <w:kern w:val="0"/>
                <w:sz w:val="24"/>
                <w:highlight w:val="none"/>
                <w:lang w:val="en-US" w:eastAsia="zh-CN"/>
              </w:rPr>
              <w:t xml:space="preserve"> </w:t>
            </w:r>
            <w:r>
              <w:rPr>
                <w:rFonts w:ascii="Times New Roman" w:hAnsi="Times New Roman" w:eastAsia="宋体" w:cs="Times New Roman"/>
                <w:b/>
                <w:color w:val="auto"/>
                <w:sz w:val="24"/>
                <w:highlight w:val="none"/>
              </w:rPr>
              <w:t>（单位：</w:t>
            </w:r>
            <w:r>
              <w:rPr>
                <w:rFonts w:hint="eastAsia" w:ascii="Times New Roman" w:hAnsi="Times New Roman" w:eastAsia="宋体" w:cs="Times New Roman"/>
                <w:b/>
                <w:color w:val="auto"/>
                <w:sz w:val="24"/>
                <w:highlight w:val="none"/>
                <w:lang w:val="en-US" w:eastAsia="zh-CN"/>
              </w:rPr>
              <w:t>t</w:t>
            </w:r>
            <w:r>
              <w:rPr>
                <w:rFonts w:ascii="Times New Roman" w:hAnsi="Times New Roman" w:eastAsia="宋体" w:cs="Times New Roman"/>
                <w:b/>
                <w:color w:val="auto"/>
                <w:sz w:val="24"/>
                <w:highlight w:val="none"/>
              </w:rPr>
              <w:t>）</w:t>
            </w:r>
          </w:p>
        </w:tc>
      </w:tr>
      <w:tr w14:paraId="596B44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94"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3F2CDC2A">
            <w:pPr>
              <w:pStyle w:val="27"/>
              <w:adjustRightInd w:val="0"/>
              <w:snapToGrid w:val="0"/>
              <w:spacing w:beforeAutospacing="0" w:afterAutospacing="0"/>
              <w:jc w:val="center"/>
              <w:rPr>
                <w:rFonts w:hint="default" w:ascii="Times New Roman" w:hAnsi="Times New Roman"/>
                <w:color w:val="000000" w:themeColor="text1"/>
                <w:szCs w:val="24"/>
                <w14:textFill>
                  <w14:solidFill>
                    <w14:schemeClr w14:val="tx1"/>
                  </w14:solidFill>
                </w14:textFill>
              </w:rPr>
            </w:pPr>
            <w:r>
              <w:rPr>
                <w:color w:val="auto"/>
                <w:sz w:val="24"/>
              </w:rPr>
              <mc:AlternateContent>
                <mc:Choice Requires="wps">
                  <w:drawing>
                    <wp:anchor distT="0" distB="0" distL="114300" distR="114300" simplePos="0" relativeHeight="251687936" behindDoc="0" locked="0" layoutInCell="1" allowOverlap="1">
                      <wp:simplePos x="0" y="0"/>
                      <wp:positionH relativeFrom="column">
                        <wp:posOffset>198120</wp:posOffset>
                      </wp:positionH>
                      <wp:positionV relativeFrom="paragraph">
                        <wp:posOffset>-938530</wp:posOffset>
                      </wp:positionV>
                      <wp:extent cx="1132840" cy="51308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132840" cy="513080"/>
                              </a:xfrm>
                              <a:prstGeom prst="rect">
                                <a:avLst/>
                              </a:prstGeom>
                              <a:noFill/>
                              <a:ln>
                                <a:noFill/>
                              </a:ln>
                            </wps:spPr>
                            <wps:txbx>
                              <w:txbxContent>
                                <w:p w14:paraId="526269CF">
                                  <w:pPr>
                                    <w:jc w:val="center"/>
                                    <w:rPr>
                                      <w:rFonts w:hint="default" w:ascii="Times New Roman" w:hAnsi="Times New Roman" w:cs="Times New Roman"/>
                                    </w:rPr>
                                  </w:pPr>
                                  <w:r>
                                    <w:rPr>
                                      <w:rFonts w:hint="default" w:ascii="Times New Roman" w:hAnsi="Times New Roman" w:cs="Times New Roman"/>
                                      <w:lang w:val="en-US" w:eastAsia="zh-CN"/>
                                    </w:rPr>
                                    <w:t>PP颗粒/PE颗粒、色母</w:t>
                                  </w:r>
                                </w:p>
                              </w:txbxContent>
                            </wps:txbx>
                            <wps:bodyPr upright="1"/>
                          </wps:wsp>
                        </a:graphicData>
                      </a:graphic>
                    </wp:anchor>
                  </w:drawing>
                </mc:Choice>
                <mc:Fallback>
                  <w:pict>
                    <v:shape id="_x0000_s1026" o:spid="_x0000_s1026" o:spt="202" type="#_x0000_t202" style="position:absolute;left:0pt;margin-left:15.6pt;margin-top:-73.9pt;height:40.4pt;width:89.2pt;z-index:251687936;mso-width-relative:page;mso-height-relative:page;" filled="f" stroked="f" coordsize="21600,21600" o:gfxdata="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tB6&#10;VNkAAAALAQAADwAAAAAAAAABACAAAAAiAAAAZHJzL2Rvd25yZXYueG1sUEsBAhQAFAAAAAgAh07i&#10;QGKPMoKvAQAAUgMAAA4AAAAAAAAAAQAgAAAAKAEAAGRycy9lMm9Eb2MueG1sUEsFBgAAAAAGAAYA&#10;WQEAAEkFAAAAAA==&#10;">
                      <v:fill on="f" focussize="0,0"/>
                      <v:stroke on="f"/>
                      <v:imagedata o:title=""/>
                      <o:lock v:ext="edit" aspectratio="f"/>
                      <v:textbox>
                        <w:txbxContent>
                          <w:p w14:paraId="526269CF">
                            <w:pPr>
                              <w:jc w:val="center"/>
                              <w:rPr>
                                <w:rFonts w:hint="default" w:ascii="Times New Roman" w:hAnsi="Times New Roman" w:cs="Times New Roman"/>
                              </w:rPr>
                            </w:pPr>
                            <w:r>
                              <w:rPr>
                                <w:rFonts w:hint="default" w:ascii="Times New Roman" w:hAnsi="Times New Roman" w:cs="Times New Roman"/>
                                <w:lang w:val="en-US" w:eastAsia="zh-CN"/>
                              </w:rPr>
                              <w:t>PP颗粒/PE颗粒、色母</w:t>
                            </w:r>
                          </w:p>
                        </w:txbxContent>
                      </v:textbox>
                    </v:shape>
                  </w:pict>
                </mc:Fallback>
              </mc:AlternateContent>
            </w:r>
            <w:r>
              <w:rPr>
                <w:rFonts w:hint="default" w:ascii="Times New Roman" w:hAnsi="Times New Roman"/>
                <w:color w:val="000000" w:themeColor="text1"/>
                <w:szCs w:val="24"/>
                <w14:textFill>
                  <w14:solidFill>
                    <w14:schemeClr w14:val="tx1"/>
                  </w14:solidFill>
                </w14:textFill>
              </w:rPr>
              <w:t>工艺流程和产排污环节</w:t>
            </w:r>
          </w:p>
        </w:tc>
        <w:tc>
          <w:tcPr>
            <w:tcW w:w="9595" w:type="dxa"/>
            <w:tcBorders>
              <w:top w:val="single" w:color="auto" w:sz="4" w:space="0"/>
              <w:left w:val="single" w:color="auto" w:sz="4" w:space="0"/>
              <w:bottom w:val="single" w:color="auto" w:sz="4" w:space="0"/>
              <w:right w:val="single" w:color="auto" w:sz="8" w:space="0"/>
            </w:tcBorders>
            <w:shd w:val="clear" w:color="auto" w:fill="auto"/>
          </w:tcPr>
          <w:p w14:paraId="1B2CC2B1">
            <w:pPr>
              <w:tabs>
                <w:tab w:val="left" w:pos="312"/>
              </w:tabs>
              <w:spacing w:line="360" w:lineRule="auto"/>
              <w:ind w:firstLine="482" w:firstLineChars="200"/>
              <w:rPr>
                <w:rFonts w:hint="eastAsia" w:ascii="Times New Roman" w:hAnsi="Times New Roman" w:cs="Times New Roman"/>
                <w:b/>
                <w:bCs/>
                <w:color w:val="auto"/>
                <w:sz w:val="24"/>
                <w:highlight w:val="none"/>
                <w:lang w:eastAsia="zh-CN"/>
              </w:rPr>
            </w:pPr>
            <w:bookmarkStart w:id="1" w:name="_Hlk70019085"/>
            <w:r>
              <w:rPr>
                <w:rFonts w:hint="eastAsia" w:ascii="Times New Roman" w:hAnsi="Times New Roman" w:cs="Times New Roman"/>
                <w:b/>
                <w:bCs/>
                <w:color w:val="auto"/>
                <w:sz w:val="24"/>
                <w:highlight w:val="none"/>
                <w:lang w:eastAsia="zh-CN"/>
              </w:rPr>
              <w:t>1、施工期</w:t>
            </w:r>
          </w:p>
          <w:p w14:paraId="5B95888A">
            <w:pPr>
              <w:tabs>
                <w:tab w:val="left" w:pos="312"/>
              </w:tabs>
              <w:spacing w:line="360" w:lineRule="auto"/>
              <w:ind w:firstLine="480"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val="0"/>
                <w:bCs w:val="0"/>
                <w:color w:val="auto"/>
                <w:sz w:val="24"/>
                <w:highlight w:val="none"/>
                <w:lang w:eastAsia="zh-CN"/>
              </w:rPr>
              <w:t>本项目在现有土地及厂房基础上进行设备安装等简单施工，仅有少量噪声产生，对周围环境影响不大。</w:t>
            </w:r>
          </w:p>
          <w:p w14:paraId="5B95E575">
            <w:pPr>
              <w:tabs>
                <w:tab w:val="left" w:pos="312"/>
              </w:tabs>
              <w:spacing w:line="360" w:lineRule="auto"/>
              <w:ind w:firstLine="482"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bCs/>
                <w:color w:val="auto"/>
                <w:sz w:val="24"/>
                <w:highlight w:val="none"/>
                <w:lang w:eastAsia="zh-CN"/>
              </w:rPr>
              <w:t>2、运营期</w:t>
            </w:r>
          </w:p>
          <w:p w14:paraId="743A41B4">
            <w:pPr>
              <w:adjustRightInd w:val="0"/>
              <w:snapToGrid w:val="0"/>
              <w:spacing w:line="360" w:lineRule="auto"/>
              <w:ind w:firstLine="482" w:firstLineChars="200"/>
              <w:rPr>
                <w:color w:val="auto"/>
              </w:rPr>
            </w:pPr>
            <w:r>
              <w:rPr>
                <w:rFonts w:hint="eastAsia" w:ascii="Times New Roman" w:hAnsi="Times New Roman" w:eastAsia="宋体" w:cs="Times New Roman"/>
                <w:b/>
                <w:bCs w:val="0"/>
                <w:kern w:val="0"/>
                <w:sz w:val="24"/>
                <w:highlight w:val="none"/>
                <w:lang w:eastAsia="zh-CN"/>
              </w:rPr>
              <w:t>（</w:t>
            </w:r>
            <w:r>
              <w:rPr>
                <w:rFonts w:hint="eastAsia" w:ascii="Times New Roman" w:hAnsi="Times New Roman" w:eastAsia="宋体" w:cs="Times New Roman"/>
                <w:b/>
                <w:bCs w:val="0"/>
                <w:kern w:val="0"/>
                <w:sz w:val="24"/>
                <w:highlight w:val="none"/>
                <w:lang w:val="en-US" w:eastAsia="zh-CN"/>
              </w:rPr>
              <w:t>1</w:t>
            </w:r>
            <w:r>
              <w:rPr>
                <w:rFonts w:hint="eastAsia" w:ascii="Times New Roman" w:hAnsi="Times New Roman" w:eastAsia="宋体" w:cs="Times New Roman"/>
                <w:b/>
                <w:bCs w:val="0"/>
                <w:kern w:val="0"/>
                <w:sz w:val="24"/>
                <w:highlight w:val="none"/>
                <w:lang w:eastAsia="zh-CN"/>
              </w:rPr>
              <w:t>）注塑件生产工艺</w:t>
            </w:r>
          </w:p>
          <w:p w14:paraId="042C1417">
            <w:pPr>
              <w:spacing w:line="360" w:lineRule="auto"/>
              <w:rPr>
                <w:color w:val="auto"/>
                <w:sz w:val="24"/>
              </w:rPr>
            </w:pPr>
            <w:r>
              <w:rPr>
                <w:color w:val="auto"/>
                <w:sz w:val="24"/>
              </w:rPr>
              <mc:AlternateContent>
                <mc:Choice Requires="wps">
                  <w:drawing>
                    <wp:anchor distT="0" distB="0" distL="114300" distR="114300" simplePos="0" relativeHeight="251683840" behindDoc="0" locked="0" layoutInCell="1" allowOverlap="1">
                      <wp:simplePos x="0" y="0"/>
                      <wp:positionH relativeFrom="column">
                        <wp:posOffset>2437765</wp:posOffset>
                      </wp:positionH>
                      <wp:positionV relativeFrom="paragraph">
                        <wp:posOffset>149860</wp:posOffset>
                      </wp:positionV>
                      <wp:extent cx="632460" cy="276225"/>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632460" cy="276225"/>
                              </a:xfrm>
                              <a:prstGeom prst="rect">
                                <a:avLst/>
                              </a:prstGeom>
                              <a:noFill/>
                              <a:ln w="9525" cap="flat" cmpd="sng">
                                <a:noFill/>
                                <a:prstDash val="dash"/>
                                <a:miter/>
                                <a:headEnd type="none" w="med" len="med"/>
                                <a:tailEnd type="none" w="med" len="med"/>
                              </a:ln>
                              <a:effectLst/>
                            </wps:spPr>
                            <wps:txbx>
                              <w:txbxContent>
                                <w:p w14:paraId="4588E3BD">
                                  <w:pPr>
                                    <w:jc w:val="center"/>
                                    <w:rPr>
                                      <w:rFonts w:hint="default" w:ascii="Times New Roman" w:hAnsi="Times New Roman" w:eastAsia="宋体" w:cs="Times New Roman"/>
                                    </w:rPr>
                                  </w:pPr>
                                  <w:r>
                                    <w:rPr>
                                      <w:rFonts w:hint="default" w:ascii="Times New Roman" w:hAnsi="Times New Roman" w:cs="Times New Roman"/>
                                    </w:rPr>
                                    <w:t>G</w:t>
                                  </w:r>
                                  <w:r>
                                    <w:rPr>
                                      <w:rFonts w:hint="default" w:ascii="Times New Roman" w:hAnsi="Times New Roman" w:cs="Times New Roman"/>
                                      <w:lang w:val="en-US" w:eastAsia="zh-CN"/>
                                    </w:rPr>
                                    <w:t>1</w:t>
                                  </w:r>
                                  <w:r>
                                    <w:rPr>
                                      <w:rFonts w:hint="default" w:ascii="Times New Roman" w:hAnsi="Times New Roman" w:cs="Times New Roman"/>
                                    </w:rPr>
                                    <w:t>、N</w:t>
                                  </w:r>
                                </w:p>
                              </w:txbxContent>
                            </wps:txbx>
                            <wps:bodyPr upright="1"/>
                          </wps:wsp>
                        </a:graphicData>
                      </a:graphic>
                    </wp:anchor>
                  </w:drawing>
                </mc:Choice>
                <mc:Fallback>
                  <w:pict>
                    <v:shape id="_x0000_s1026" o:spid="_x0000_s1026" o:spt="202" type="#_x0000_t202" style="position:absolute;left:0pt;margin-left:191.95pt;margin-top:11.8pt;height:21.75pt;width:49.8pt;z-index:251683840;mso-width-relative:page;mso-height-relative:page;" filled="f" stroked="f" coordsize="21600,21600" o:gfxdata="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iSn9XXAAAACQEAAA8AAAAAAAAAAQAgAAAAIgAAAGRycy9kb3ducmV2LnhtbFBL&#10;AQIUABQAAAAIAIdO4kDRLTOe9wEAAPQDAAAOAAAAAAAAAAEAIAAAACYBAABkcnMvZTJvRG9jLnht&#10;bFBLBQYAAAAABgAGAFkBAACPBQAAAAA=&#10;">
                      <v:fill on="f" focussize="0,0"/>
                      <v:stroke on="f" joinstyle="miter" dashstyle="dash"/>
                      <v:imagedata o:title=""/>
                      <o:lock v:ext="edit" aspectratio="f"/>
                      <v:textbox>
                        <w:txbxContent>
                          <w:p w14:paraId="4588E3BD">
                            <w:pPr>
                              <w:jc w:val="center"/>
                              <w:rPr>
                                <w:rFonts w:hint="default" w:ascii="Times New Roman" w:hAnsi="Times New Roman" w:eastAsia="宋体" w:cs="Times New Roman"/>
                              </w:rPr>
                            </w:pPr>
                            <w:r>
                              <w:rPr>
                                <w:rFonts w:hint="default" w:ascii="Times New Roman" w:hAnsi="Times New Roman" w:cs="Times New Roman"/>
                              </w:rPr>
                              <w:t>G</w:t>
                            </w:r>
                            <w:r>
                              <w:rPr>
                                <w:rFonts w:hint="default" w:ascii="Times New Roman" w:hAnsi="Times New Roman" w:cs="Times New Roman"/>
                                <w:lang w:val="en-US" w:eastAsia="zh-CN"/>
                              </w:rPr>
                              <w:t>1</w:t>
                            </w:r>
                            <w:r>
                              <w:rPr>
                                <w:rFonts w:hint="default" w:ascii="Times New Roman" w:hAnsi="Times New Roman" w:cs="Times New Roman"/>
                              </w:rPr>
                              <w:t>、N</w:t>
                            </w:r>
                          </w:p>
                        </w:txbxContent>
                      </v:textbox>
                    </v:shape>
                  </w:pict>
                </mc:Fallback>
              </mc:AlternateContent>
            </w:r>
            <w:r>
              <w:rPr>
                <w:color w:val="auto"/>
                <w:sz w:val="24"/>
              </w:rPr>
              <mc:AlternateContent>
                <mc:Choice Requires="wps">
                  <w:drawing>
                    <wp:anchor distT="0" distB="0" distL="114300" distR="114300" simplePos="0" relativeHeight="251686912" behindDoc="0" locked="0" layoutInCell="1" allowOverlap="1">
                      <wp:simplePos x="0" y="0"/>
                      <wp:positionH relativeFrom="column">
                        <wp:posOffset>1507490</wp:posOffset>
                      </wp:positionH>
                      <wp:positionV relativeFrom="paragraph">
                        <wp:posOffset>140335</wp:posOffset>
                      </wp:positionV>
                      <wp:extent cx="542925" cy="276225"/>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542925" cy="276225"/>
                              </a:xfrm>
                              <a:prstGeom prst="rect">
                                <a:avLst/>
                              </a:prstGeom>
                              <a:noFill/>
                              <a:ln w="9525" cap="flat" cmpd="sng">
                                <a:noFill/>
                                <a:prstDash val="dash"/>
                                <a:miter/>
                                <a:headEnd type="none" w="med" len="med"/>
                                <a:tailEnd type="none" w="med" len="med"/>
                              </a:ln>
                              <a:effectLst/>
                            </wps:spPr>
                            <wps:txbx>
                              <w:txbxContent>
                                <w:p w14:paraId="21FC8B6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S1、N</w:t>
                                  </w:r>
                                </w:p>
                              </w:txbxContent>
                            </wps:txbx>
                            <wps:bodyPr upright="1"/>
                          </wps:wsp>
                        </a:graphicData>
                      </a:graphic>
                    </wp:anchor>
                  </w:drawing>
                </mc:Choice>
                <mc:Fallback>
                  <w:pict>
                    <v:shape id="_x0000_s1026" o:spid="_x0000_s1026" o:spt="202" type="#_x0000_t202" style="position:absolute;left:0pt;margin-left:118.7pt;margin-top:11.05pt;height:21.75pt;width:42.75pt;z-index:251686912;mso-width-relative:page;mso-height-relative:page;" filled="f" stroked="f" coordsize="21600,21600" o:gfxdata="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wVWvNcAAAAJAQAADwAAAAAAAAABACAAAAAiAAAAZHJzL2Rvd25yZXYueG1sUEsB&#10;AhQAFAAAAAgAh07iQCaheiz2AQAA9AMAAA4AAAAAAAAAAQAgAAAAJgEAAGRycy9lMm9Eb2MueG1s&#10;UEsFBgAAAAAGAAYAWQEAAI4FAAAAAA==&#10;">
                      <v:fill on="f" focussize="0,0"/>
                      <v:stroke on="f" joinstyle="miter" dashstyle="dash"/>
                      <v:imagedata o:title=""/>
                      <o:lock v:ext="edit" aspectratio="f"/>
                      <v:textbox>
                        <w:txbxContent>
                          <w:p w14:paraId="21FC8B68">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S1、N</w:t>
                            </w:r>
                          </w:p>
                        </w:txbxContent>
                      </v:textbox>
                    </v:shape>
                  </w:pict>
                </mc:Fallback>
              </mc:AlternateContent>
            </w:r>
          </w:p>
          <w:p w14:paraId="489501E3">
            <w:pPr>
              <w:spacing w:line="360" w:lineRule="auto"/>
              <w:rPr>
                <w:b/>
                <w:bCs/>
                <w:color w:val="auto"/>
                <w:sz w:val="24"/>
              </w:rPr>
            </w:pPr>
            <w:r>
              <w:rPr>
                <w:color w:val="auto"/>
                <w:sz w:val="24"/>
              </w:rPr>
              <mc:AlternateContent>
                <mc:Choice Requires="wps">
                  <w:drawing>
                    <wp:anchor distT="0" distB="0" distL="114300" distR="114300" simplePos="0" relativeHeight="251682816" behindDoc="0" locked="0" layoutInCell="1" allowOverlap="1">
                      <wp:simplePos x="0" y="0"/>
                      <wp:positionH relativeFrom="column">
                        <wp:posOffset>2738120</wp:posOffset>
                      </wp:positionH>
                      <wp:positionV relativeFrom="paragraph">
                        <wp:posOffset>133985</wp:posOffset>
                      </wp:positionV>
                      <wp:extent cx="635" cy="328930"/>
                      <wp:effectExtent l="37465" t="0" r="38100" b="13970"/>
                      <wp:wrapNone/>
                      <wp:docPr id="152" name="直接连接符 152"/>
                      <wp:cNvGraphicFramePr/>
                      <a:graphic xmlns:a="http://schemas.openxmlformats.org/drawingml/2006/main">
                        <a:graphicData uri="http://schemas.microsoft.com/office/word/2010/wordprocessingShape">
                          <wps:wsp>
                            <wps:cNvCnPr/>
                            <wps:spPr>
                              <a:xfrm flipH="1">
                                <a:off x="0" y="0"/>
                                <a:ext cx="635" cy="32893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flip:x;margin-left:215.6pt;margin-top:10.55pt;height:25.9pt;width:0.05pt;z-index:251682816;mso-width-relative:page;mso-height-relative:page;" filled="f" stroked="t" coordsize="21600,21600" o:gfxdata="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Mw9tHXAAAACQEAAA8AAAAAAAAAAQAgAAAAIgAAAGRy&#10;cy9kb3ducmV2LnhtbFBLAQIUABQAAAAIAIdO4kDoKno3BgIAAPgDAAAOAAAAAAAAAAEAIAAAACYB&#10;AABkcnMvZTJvRG9jLnhtbFBLBQYAAAAABgAGAFkBAACeBQAAAAA=&#10;">
                      <v:fill on="f" focussize="0,0"/>
                      <v:stroke color="#000000" joinstyle="round" dashstyle="dash" startarrow="block"/>
                      <v:imagedata o:title=""/>
                      <o:lock v:ext="edit" aspectratio="f"/>
                    </v:line>
                  </w:pict>
                </mc:Fallback>
              </mc:AlternateContent>
            </w:r>
            <w:r>
              <w:rPr>
                <w:color w:val="auto"/>
                <w:sz w:val="24"/>
              </w:rPr>
              <mc:AlternateContent>
                <mc:Choice Requires="wps">
                  <w:drawing>
                    <wp:anchor distT="0" distB="0" distL="114300" distR="114300" simplePos="0" relativeHeight="251691008" behindDoc="0" locked="0" layoutInCell="1" allowOverlap="1">
                      <wp:simplePos x="0" y="0"/>
                      <wp:positionH relativeFrom="column">
                        <wp:posOffset>1802130</wp:posOffset>
                      </wp:positionH>
                      <wp:positionV relativeFrom="paragraph">
                        <wp:posOffset>139065</wp:posOffset>
                      </wp:positionV>
                      <wp:extent cx="635" cy="328930"/>
                      <wp:effectExtent l="37465" t="0" r="38100" b="13970"/>
                      <wp:wrapNone/>
                      <wp:docPr id="167" name="直接连接符 167"/>
                      <wp:cNvGraphicFramePr/>
                      <a:graphic xmlns:a="http://schemas.openxmlformats.org/drawingml/2006/main">
                        <a:graphicData uri="http://schemas.microsoft.com/office/word/2010/wordprocessingShape">
                          <wps:wsp>
                            <wps:cNvCnPr/>
                            <wps:spPr>
                              <a:xfrm flipH="1">
                                <a:off x="0" y="0"/>
                                <a:ext cx="635" cy="32893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flip:x;margin-left:141.9pt;margin-top:10.95pt;height:25.9pt;width:0.05pt;z-index:251691008;mso-width-relative:page;mso-height-relative:page;" filled="f" stroked="t" coordsize="21600,21600" o:gfxdata="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98IXo2AAAAAkBAAAPAAAAAAAAAAEAIAAAACIAAABk&#10;cnMvZG93bnJldi54bWxQSwECFAAUAAAACACHTuJA+hczWAYCAAD4AwAADgAAAAAAAAABACAAAAAn&#10;AQAAZHJzL2Uyb0RvYy54bWxQSwUGAAAAAAYABgBZAQAAnwUAAAAA&#10;">
                      <v:fill on="f" focussize="0,0"/>
                      <v:stroke color="#000000" joinstyle="round" dashstyle="dash" startarrow="block"/>
                      <v:imagedata o:title=""/>
                      <o:lock v:ext="edit" aspectratio="f"/>
                    </v:line>
                  </w:pict>
                </mc:Fallback>
              </mc:AlternateContent>
            </w:r>
          </w:p>
          <w:p w14:paraId="7B9250D7">
            <w:pPr>
              <w:spacing w:line="360" w:lineRule="auto"/>
              <w:rPr>
                <w:b/>
                <w:bCs/>
                <w:color w:val="auto"/>
                <w:sz w:val="24"/>
              </w:rPr>
            </w:pPr>
            <w:r>
              <w:rPr>
                <w:color w:val="auto"/>
                <w:sz w:val="24"/>
              </w:rPr>
              <mc:AlternateContent>
                <mc:Choice Requires="wps">
                  <w:drawing>
                    <wp:anchor distT="0" distB="0" distL="114300" distR="114300" simplePos="0" relativeHeight="251689984" behindDoc="0" locked="0" layoutInCell="1" allowOverlap="1">
                      <wp:simplePos x="0" y="0"/>
                      <wp:positionH relativeFrom="column">
                        <wp:posOffset>1243965</wp:posOffset>
                      </wp:positionH>
                      <wp:positionV relativeFrom="paragraph">
                        <wp:posOffset>173355</wp:posOffset>
                      </wp:positionV>
                      <wp:extent cx="822960" cy="276225"/>
                      <wp:effectExtent l="4445" t="4445" r="10795" b="5080"/>
                      <wp:wrapNone/>
                      <wp:docPr id="166" name="文本框 166"/>
                      <wp:cNvGraphicFramePr/>
                      <a:graphic xmlns:a="http://schemas.openxmlformats.org/drawingml/2006/main">
                        <a:graphicData uri="http://schemas.microsoft.com/office/word/2010/wordprocessingShape">
                          <wps:wsp>
                            <wps:cNvSpPr txBox="1"/>
                            <wps:spPr>
                              <a:xfrm>
                                <a:off x="0" y="0"/>
                                <a:ext cx="822960" cy="276225"/>
                              </a:xfrm>
                              <a:prstGeom prst="rect">
                                <a:avLst/>
                              </a:prstGeom>
                              <a:noFill/>
                              <a:ln w="9525" cap="flat" cmpd="sng">
                                <a:solidFill>
                                  <a:srgbClr val="000000"/>
                                </a:solidFill>
                                <a:prstDash val="solid"/>
                                <a:miter/>
                                <a:headEnd type="none" w="med" len="med"/>
                                <a:tailEnd type="none" w="med" len="med"/>
                              </a:ln>
                              <a:effectLst/>
                            </wps:spPr>
                            <wps:txbx>
                              <w:txbxContent>
                                <w:p w14:paraId="028E09D9">
                                  <w:pPr>
                                    <w:jc w:val="center"/>
                                    <w:rPr>
                                      <w:rFonts w:hint="eastAsia" w:eastAsia="宋体"/>
                                      <w:lang w:eastAsia="zh-CN"/>
                                    </w:rPr>
                                  </w:pPr>
                                  <w:r>
                                    <w:rPr>
                                      <w:rFonts w:hint="eastAsia" w:eastAsia="宋体"/>
                                      <w:color w:val="auto"/>
                                      <w:lang w:eastAsia="zh-CN"/>
                                    </w:rPr>
                                    <w:t>上料、</w:t>
                                  </w:r>
                                  <w:r>
                                    <w:rPr>
                                      <w:rFonts w:hint="eastAsia" w:eastAsia="宋体"/>
                                      <w:lang w:eastAsia="zh-CN"/>
                                    </w:rPr>
                                    <w:t>混料</w:t>
                                  </w:r>
                                </w:p>
                              </w:txbxContent>
                            </wps:txbx>
                            <wps:bodyPr upright="1"/>
                          </wps:wsp>
                        </a:graphicData>
                      </a:graphic>
                    </wp:anchor>
                  </w:drawing>
                </mc:Choice>
                <mc:Fallback>
                  <w:pict>
                    <v:shape id="_x0000_s1026" o:spid="_x0000_s1026" o:spt="202" type="#_x0000_t202" style="position:absolute;left:0pt;margin-left:97.95pt;margin-top:13.65pt;height:21.75pt;width:64.8pt;z-index:251689984;mso-width-relative:page;mso-height-relative:page;" filled="f" stroked="t" coordsize="21600,21600" o:gfxdata="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V1Cy1gAAAAkBAAAPAAAAAAAAAAEAIAAAACIA&#10;AABkcnMvZG93bnJldi54bWxQSwECFAAUAAAACACHTuJAH3TF8AsCAAAeBAAADgAAAAAAAAABACAA&#10;AAAlAQAAZHJzL2Uyb0RvYy54bWxQSwUGAAAAAAYABgBZAQAAogUAAAAA&#10;">
                      <v:fill on="f" focussize="0,0"/>
                      <v:stroke color="#000000" joinstyle="miter"/>
                      <v:imagedata o:title=""/>
                      <o:lock v:ext="edit" aspectratio="f"/>
                      <v:textbox>
                        <w:txbxContent>
                          <w:p w14:paraId="028E09D9">
                            <w:pPr>
                              <w:jc w:val="center"/>
                              <w:rPr>
                                <w:rFonts w:hint="eastAsia" w:eastAsia="宋体"/>
                                <w:lang w:eastAsia="zh-CN"/>
                              </w:rPr>
                            </w:pPr>
                            <w:r>
                              <w:rPr>
                                <w:rFonts w:hint="eastAsia" w:eastAsia="宋体"/>
                                <w:color w:val="auto"/>
                                <w:lang w:eastAsia="zh-CN"/>
                              </w:rPr>
                              <w:t>上料、</w:t>
                            </w:r>
                            <w:r>
                              <w:rPr>
                                <w:rFonts w:hint="eastAsia" w:eastAsia="宋体"/>
                                <w:lang w:eastAsia="zh-CN"/>
                              </w:rPr>
                              <w:t>混料</w:t>
                            </w:r>
                          </w:p>
                        </w:txbxContent>
                      </v:textbox>
                    </v:shape>
                  </w:pict>
                </mc:Fallback>
              </mc:AlternateContent>
            </w:r>
            <w:r>
              <w:rPr>
                <w:color w:val="auto"/>
              </w:rPr>
              <mc:AlternateContent>
                <mc:Choice Requires="wps">
                  <w:drawing>
                    <wp:anchor distT="0" distB="0" distL="114300" distR="114300" simplePos="0" relativeHeight="251684864" behindDoc="0" locked="0" layoutInCell="1" allowOverlap="1">
                      <wp:simplePos x="0" y="0"/>
                      <wp:positionH relativeFrom="column">
                        <wp:posOffset>4787900</wp:posOffset>
                      </wp:positionH>
                      <wp:positionV relativeFrom="paragraph">
                        <wp:posOffset>185420</wp:posOffset>
                      </wp:positionV>
                      <wp:extent cx="617220" cy="276225"/>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617220" cy="276225"/>
                              </a:xfrm>
                              <a:prstGeom prst="rect">
                                <a:avLst/>
                              </a:prstGeom>
                              <a:noFill/>
                              <a:ln>
                                <a:noFill/>
                              </a:ln>
                            </wps:spPr>
                            <wps:txbx>
                              <w:txbxContent>
                                <w:p w14:paraId="61B190E6">
                                  <w:pPr>
                                    <w:jc w:val="center"/>
                                    <w:rPr>
                                      <w:rFonts w:hint="eastAsia" w:eastAsia="宋体"/>
                                      <w:lang w:eastAsia="zh-CN"/>
                                    </w:rPr>
                                  </w:pPr>
                                  <w:r>
                                    <w:rPr>
                                      <w:rFonts w:hint="eastAsia" w:eastAsia="宋体"/>
                                      <w:lang w:eastAsia="zh-CN"/>
                                    </w:rPr>
                                    <w:t>注塑件</w:t>
                                  </w:r>
                                </w:p>
                              </w:txbxContent>
                            </wps:txbx>
                            <wps:bodyPr upright="1"/>
                          </wps:wsp>
                        </a:graphicData>
                      </a:graphic>
                    </wp:anchor>
                  </w:drawing>
                </mc:Choice>
                <mc:Fallback>
                  <w:pict>
                    <v:shape id="_x0000_s1026" o:spid="_x0000_s1026" o:spt="202" type="#_x0000_t202" style="position:absolute;left:0pt;margin-left:377pt;margin-top:14.6pt;height:21.75pt;width:48.6pt;z-index:251684864;mso-width-relative:page;mso-height-relative:page;" filled="f" stroked="f" coordsize="21600,21600" o:gfxdata="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UDleJ1wAA&#10;AAkBAAAPAAAAAAAAAAEAIAAAACIAAABkcnMvZG93bnJldi54bWxQSwECFAAUAAAACACHTuJATJ40&#10;EK0BAABRAwAADgAAAAAAAAABACAAAAAmAQAAZHJzL2Uyb0RvYy54bWxQSwUGAAAAAAYABgBZAQAA&#10;RQUAAAAA&#10;">
                      <v:fill on="f" focussize="0,0"/>
                      <v:stroke on="f"/>
                      <v:imagedata o:title=""/>
                      <o:lock v:ext="edit" aspectratio="f"/>
                      <v:textbox>
                        <w:txbxContent>
                          <w:p w14:paraId="61B190E6">
                            <w:pPr>
                              <w:jc w:val="center"/>
                              <w:rPr>
                                <w:rFonts w:hint="eastAsia" w:eastAsia="宋体"/>
                                <w:lang w:eastAsia="zh-CN"/>
                              </w:rPr>
                            </w:pPr>
                            <w:r>
                              <w:rPr>
                                <w:rFonts w:hint="eastAsia" w:eastAsia="宋体"/>
                                <w:lang w:eastAsia="zh-CN"/>
                              </w:rPr>
                              <w:t>注塑件</w:t>
                            </w:r>
                          </w:p>
                        </w:txbxContent>
                      </v:textbox>
                    </v:shape>
                  </w:pict>
                </mc:Fallback>
              </mc:AlternateContent>
            </w:r>
            <w:r>
              <w:rPr>
                <w:color w:val="auto"/>
                <w:sz w:val="24"/>
              </w:rPr>
              <mc:AlternateContent>
                <mc:Choice Requires="wps">
                  <w:drawing>
                    <wp:anchor distT="0" distB="0" distL="114300" distR="114300" simplePos="0" relativeHeight="251678720" behindDoc="0" locked="0" layoutInCell="1" allowOverlap="1">
                      <wp:simplePos x="0" y="0"/>
                      <wp:positionH relativeFrom="column">
                        <wp:posOffset>4090670</wp:posOffset>
                      </wp:positionH>
                      <wp:positionV relativeFrom="paragraph">
                        <wp:posOffset>164465</wp:posOffset>
                      </wp:positionV>
                      <wp:extent cx="469900" cy="276225"/>
                      <wp:effectExtent l="4445" t="4445" r="20955" b="5080"/>
                      <wp:wrapNone/>
                      <wp:docPr id="159" name="文本框 159"/>
                      <wp:cNvGraphicFramePr/>
                      <a:graphic xmlns:a="http://schemas.openxmlformats.org/drawingml/2006/main">
                        <a:graphicData uri="http://schemas.microsoft.com/office/word/2010/wordprocessingShape">
                          <wps:wsp>
                            <wps:cNvSpPr txBox="1"/>
                            <wps:spPr>
                              <a:xfrm>
                                <a:off x="0" y="0"/>
                                <a:ext cx="469900" cy="276225"/>
                              </a:xfrm>
                              <a:prstGeom prst="rect">
                                <a:avLst/>
                              </a:prstGeom>
                              <a:noFill/>
                              <a:ln w="9525" cap="flat" cmpd="sng">
                                <a:solidFill>
                                  <a:srgbClr val="000000"/>
                                </a:solidFill>
                                <a:prstDash val="solid"/>
                                <a:miter/>
                                <a:headEnd type="none" w="med" len="med"/>
                                <a:tailEnd type="none" w="med" len="med"/>
                              </a:ln>
                              <a:effectLst/>
                            </wps:spPr>
                            <wps:txbx>
                              <w:txbxContent>
                                <w:p w14:paraId="7FB263F3">
                                  <w:pPr>
                                    <w:jc w:val="center"/>
                                  </w:pPr>
                                  <w:r>
                                    <w:rPr>
                                      <w:rFonts w:hint="eastAsia"/>
                                    </w:rPr>
                                    <w:t>检验</w:t>
                                  </w:r>
                                </w:p>
                              </w:txbxContent>
                            </wps:txbx>
                            <wps:bodyPr upright="1"/>
                          </wps:wsp>
                        </a:graphicData>
                      </a:graphic>
                    </wp:anchor>
                  </w:drawing>
                </mc:Choice>
                <mc:Fallback>
                  <w:pict>
                    <v:shape id="_x0000_s1026" o:spid="_x0000_s1026" o:spt="202" type="#_x0000_t202" style="position:absolute;left:0pt;margin-left:322.1pt;margin-top:12.95pt;height:21.75pt;width:37pt;z-index:251678720;mso-width-relative:page;mso-height-relative:page;" filled="f" stroked="t" coordsize="21600,21600" o:gfxdata="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H7z1j1gAAAAkBAAAPAAAAAAAAAAEAIAAAACIA&#10;AABkcnMvZG93bnJldi54bWxQSwECFAAUAAAACACHTuJA/RFq6AsCAAAeBAAADgAAAAAAAAABACAA&#10;AAAlAQAAZHJzL2Uyb0RvYy54bWxQSwUGAAAAAAYABgBZAQAAogUAAAAA&#10;">
                      <v:fill on="f" focussize="0,0"/>
                      <v:stroke color="#000000" joinstyle="miter"/>
                      <v:imagedata o:title=""/>
                      <o:lock v:ext="edit" aspectratio="f"/>
                      <v:textbox>
                        <w:txbxContent>
                          <w:p w14:paraId="7FB263F3">
                            <w:pPr>
                              <w:jc w:val="center"/>
                            </w:pPr>
                            <w:r>
                              <w:rPr>
                                <w:rFonts w:hint="eastAsia"/>
                              </w:rPr>
                              <w:t>检验</w:t>
                            </w:r>
                          </w:p>
                        </w:txbxContent>
                      </v:textbox>
                    </v:shape>
                  </w:pict>
                </mc:Fallback>
              </mc:AlternateContent>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2357120</wp:posOffset>
                      </wp:positionH>
                      <wp:positionV relativeFrom="paragraph">
                        <wp:posOffset>169545</wp:posOffset>
                      </wp:positionV>
                      <wp:extent cx="751205" cy="276225"/>
                      <wp:effectExtent l="4445" t="4445" r="6350" b="5080"/>
                      <wp:wrapNone/>
                      <wp:docPr id="158" name="文本框 158"/>
                      <wp:cNvGraphicFramePr/>
                      <a:graphic xmlns:a="http://schemas.openxmlformats.org/drawingml/2006/main">
                        <a:graphicData uri="http://schemas.microsoft.com/office/word/2010/wordprocessingShape">
                          <wps:wsp>
                            <wps:cNvSpPr txBox="1"/>
                            <wps:spPr>
                              <a:xfrm>
                                <a:off x="0" y="0"/>
                                <a:ext cx="751205" cy="276225"/>
                              </a:xfrm>
                              <a:prstGeom prst="rect">
                                <a:avLst/>
                              </a:prstGeom>
                              <a:noFill/>
                              <a:ln w="9525" cap="flat" cmpd="sng">
                                <a:solidFill>
                                  <a:srgbClr val="000000"/>
                                </a:solidFill>
                                <a:prstDash val="solid"/>
                                <a:miter/>
                                <a:headEnd type="none" w="med" len="med"/>
                                <a:tailEnd type="none" w="med" len="med"/>
                              </a:ln>
                              <a:effectLst/>
                            </wps:spPr>
                            <wps:txbx>
                              <w:txbxContent>
                                <w:p w14:paraId="46C55554">
                                  <w:pPr>
                                    <w:jc w:val="center"/>
                                  </w:pPr>
                                  <w:r>
                                    <w:rPr>
                                      <w:rFonts w:hint="eastAsia"/>
                                    </w:rPr>
                                    <w:t>注塑成型</w:t>
                                  </w:r>
                                </w:p>
                              </w:txbxContent>
                            </wps:txbx>
                            <wps:bodyPr upright="1"/>
                          </wps:wsp>
                        </a:graphicData>
                      </a:graphic>
                    </wp:anchor>
                  </w:drawing>
                </mc:Choice>
                <mc:Fallback>
                  <w:pict>
                    <v:shape id="_x0000_s1026" o:spid="_x0000_s1026" o:spt="202" type="#_x0000_t202" style="position:absolute;left:0pt;margin-left:185.6pt;margin-top:13.35pt;height:21.75pt;width:59.15pt;z-index:251668480;mso-width-relative:page;mso-height-relative:page;" filled="f" stroked="t" coordsize="21600,21600" o:gfxdata="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35399cAAAAJAQAADwAAAAAAAAABACAAAAAi&#10;AAAAZHJzL2Rvd25yZXYueG1sUEsBAhQAFAAAAAgAh07iQPMPiOELAgAAHgQAAA4AAAAAAAAAAQAg&#10;AAAAJgEAAGRycy9lMm9Eb2MueG1sUEsFBgAAAAAGAAYAWQEAAKMFAAAAAA==&#10;">
                      <v:fill on="f" focussize="0,0"/>
                      <v:stroke color="#000000" joinstyle="miter"/>
                      <v:imagedata o:title=""/>
                      <o:lock v:ext="edit" aspectratio="f"/>
                      <v:textbox>
                        <w:txbxContent>
                          <w:p w14:paraId="46C55554">
                            <w:pPr>
                              <w:jc w:val="center"/>
                            </w:pPr>
                            <w:r>
                              <w:rPr>
                                <w:rFonts w:hint="eastAsia"/>
                              </w:rPr>
                              <w:t>注塑成型</w:t>
                            </w:r>
                          </w:p>
                        </w:txbxContent>
                      </v:textbox>
                    </v:shape>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3395980</wp:posOffset>
                      </wp:positionH>
                      <wp:positionV relativeFrom="paragraph">
                        <wp:posOffset>170815</wp:posOffset>
                      </wp:positionV>
                      <wp:extent cx="471170" cy="276225"/>
                      <wp:effectExtent l="4445" t="4445" r="19685" b="5080"/>
                      <wp:wrapNone/>
                      <wp:docPr id="157" name="文本框 157"/>
                      <wp:cNvGraphicFramePr/>
                      <a:graphic xmlns:a="http://schemas.openxmlformats.org/drawingml/2006/main">
                        <a:graphicData uri="http://schemas.microsoft.com/office/word/2010/wordprocessingShape">
                          <wps:wsp>
                            <wps:cNvSpPr txBox="1"/>
                            <wps:spPr>
                              <a:xfrm>
                                <a:off x="0" y="0"/>
                                <a:ext cx="471170" cy="276225"/>
                              </a:xfrm>
                              <a:prstGeom prst="rect">
                                <a:avLst/>
                              </a:prstGeom>
                              <a:noFill/>
                              <a:ln w="9525" cap="flat" cmpd="sng">
                                <a:solidFill>
                                  <a:srgbClr val="000000"/>
                                </a:solidFill>
                                <a:prstDash val="solid"/>
                                <a:miter/>
                                <a:headEnd type="none" w="med" len="med"/>
                                <a:tailEnd type="none" w="med" len="med"/>
                              </a:ln>
                              <a:effectLst/>
                            </wps:spPr>
                            <wps:txbx>
                              <w:txbxContent>
                                <w:p w14:paraId="3DE3CA28">
                                  <w:pPr>
                                    <w:jc w:val="center"/>
                                    <w:rPr>
                                      <w:rFonts w:eastAsia="宋体"/>
                                    </w:rPr>
                                  </w:pPr>
                                  <w:r>
                                    <w:rPr>
                                      <w:rFonts w:hint="eastAsia"/>
                                    </w:rPr>
                                    <w:t>冷却</w:t>
                                  </w:r>
                                </w:p>
                              </w:txbxContent>
                            </wps:txbx>
                            <wps:bodyPr upright="1"/>
                          </wps:wsp>
                        </a:graphicData>
                      </a:graphic>
                    </wp:anchor>
                  </w:drawing>
                </mc:Choice>
                <mc:Fallback>
                  <w:pict>
                    <v:shape id="_x0000_s1026" o:spid="_x0000_s1026" o:spt="202" type="#_x0000_t202" style="position:absolute;left:0pt;margin-left:267.4pt;margin-top:13.45pt;height:21.75pt;width:37.1pt;z-index:251667456;mso-width-relative:page;mso-height-relative:page;" filled="f" stroked="t" coordsize="21600,21600" o:gfxdata="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8IxYc1wAAAAkBAAAPAAAAAAAAAAEAIAAAACIA&#10;AABkcnMvZG93bnJldi54bWxQSwECFAAUAAAACACHTuJA9PXw9AoCAAAeBAAADgAAAAAAAAABACAA&#10;AAAmAQAAZHJzL2Uyb0RvYy54bWxQSwUGAAAAAAYABgBZAQAAogUAAAAA&#10;">
                      <v:fill on="f" focussize="0,0"/>
                      <v:stroke color="#000000" joinstyle="miter"/>
                      <v:imagedata o:title=""/>
                      <o:lock v:ext="edit" aspectratio="f"/>
                      <v:textbox>
                        <w:txbxContent>
                          <w:p w14:paraId="3DE3CA28">
                            <w:pPr>
                              <w:jc w:val="center"/>
                              <w:rPr>
                                <w:rFonts w:eastAsia="宋体"/>
                              </w:rPr>
                            </w:pPr>
                            <w:r>
                              <w:rPr>
                                <w:rFonts w:hint="eastAsia"/>
                              </w:rPr>
                              <w:t>冷却</w:t>
                            </w:r>
                          </w:p>
                        </w:txbxContent>
                      </v:textbox>
                    </v:shape>
                  </w:pict>
                </mc:Fallback>
              </mc:AlternateContent>
            </w:r>
          </w:p>
          <w:p w14:paraId="2A0B03B6">
            <w:pPr>
              <w:pStyle w:val="4"/>
              <w:rPr>
                <w:bCs/>
                <w:color w:val="auto"/>
                <w:szCs w:val="24"/>
              </w:rPr>
            </w:pPr>
            <w:r>
              <w:rPr>
                <w:color w:val="auto"/>
              </w:rPr>
              <mc:AlternateContent>
                <mc:Choice Requires="wps">
                  <w:drawing>
                    <wp:anchor distT="0" distB="0" distL="114300" distR="114300" simplePos="0" relativeHeight="251688960" behindDoc="0" locked="0" layoutInCell="1" allowOverlap="1">
                      <wp:simplePos x="0" y="0"/>
                      <wp:positionH relativeFrom="column">
                        <wp:posOffset>956310</wp:posOffset>
                      </wp:positionH>
                      <wp:positionV relativeFrom="paragraph">
                        <wp:posOffset>15875</wp:posOffset>
                      </wp:positionV>
                      <wp:extent cx="265430" cy="635"/>
                      <wp:effectExtent l="0" t="38100" r="1270" b="37465"/>
                      <wp:wrapNone/>
                      <wp:docPr id="165" name="直接连接符 165"/>
                      <wp:cNvGraphicFramePr/>
                      <a:graphic xmlns:a="http://schemas.openxmlformats.org/drawingml/2006/main">
                        <a:graphicData uri="http://schemas.microsoft.com/office/word/2010/wordprocessingShape">
                          <wps:wsp>
                            <wps:cNvCnPr/>
                            <wps:spPr>
                              <a:xfrm flipV="1">
                                <a:off x="0" y="0"/>
                                <a:ext cx="26543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75.3pt;margin-top:1.25pt;height:0.05pt;width:20.9pt;z-index:251688960;mso-width-relative:page;mso-height-relative:page;" filled="f" stroked="t" coordsize="21600,21600" o:gfxdata="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l+PxdUAAAAHAQAADwAAAAAAAAABACAAAAAiAAAAZHJzL2Rv&#10;d25yZXYueG1sUEsBAhQAFAAAAAgAh07iQCLVti0EAgAA+QMAAA4AAAAAAAAAAQAgAAAAJAEAAGRy&#10;cy9lMm9Eb2MueG1sUEsFBgAAAAAGAAYAWQEAAJoFAAAAAA==&#10;">
                      <v:fill on="f" focussize="0,0"/>
                      <v:stroke color="#000000" joinstyle="round" endarrow="block"/>
                      <v:imagedata o:title=""/>
                      <o:lock v:ext="edit" aspectratio="f"/>
                    </v:line>
                  </w:pict>
                </mc:Fallback>
              </mc:AlternateContent>
            </w:r>
            <w:r>
              <w:rPr>
                <w:color w:val="auto"/>
                <w:sz w:val="24"/>
              </w:rPr>
              <mc:AlternateContent>
                <mc:Choice Requires="wps">
                  <w:drawing>
                    <wp:anchor distT="0" distB="0" distL="114300" distR="114300" simplePos="0" relativeHeight="251699200" behindDoc="0" locked="0" layoutInCell="1" allowOverlap="1">
                      <wp:simplePos x="0" y="0"/>
                      <wp:positionH relativeFrom="column">
                        <wp:posOffset>4534535</wp:posOffset>
                      </wp:positionH>
                      <wp:positionV relativeFrom="paragraph">
                        <wp:posOffset>180340</wp:posOffset>
                      </wp:positionV>
                      <wp:extent cx="632460" cy="276225"/>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632460" cy="276225"/>
                              </a:xfrm>
                              <a:prstGeom prst="rect">
                                <a:avLst/>
                              </a:prstGeom>
                              <a:noFill/>
                              <a:ln w="9525" cap="flat" cmpd="sng">
                                <a:noFill/>
                                <a:prstDash val="dash"/>
                                <a:miter/>
                                <a:headEnd type="none" w="med" len="med"/>
                                <a:tailEnd type="none" w="med" len="med"/>
                              </a:ln>
                              <a:effectLst/>
                            </wps:spPr>
                            <wps:txbx>
                              <w:txbxContent>
                                <w:p w14:paraId="13068D6B">
                                  <w:pPr>
                                    <w:jc w:val="center"/>
                                    <w:rPr>
                                      <w:rFonts w:hint="default" w:ascii="Times New Roman" w:hAnsi="Times New Roman" w:eastAsia="宋体" w:cs="Times New Roman"/>
                                    </w:rPr>
                                  </w:pPr>
                                  <w:r>
                                    <w:rPr>
                                      <w:rFonts w:hint="default" w:ascii="Times New Roman" w:hAnsi="Times New Roman" w:cs="Times New Roman"/>
                                    </w:rPr>
                                    <w:t>G</w:t>
                                  </w:r>
                                  <w:r>
                                    <w:rPr>
                                      <w:rFonts w:hint="eastAsia" w:ascii="Times New Roman" w:hAnsi="Times New Roman" w:cs="Times New Roman"/>
                                      <w:lang w:val="en-US" w:eastAsia="zh-CN"/>
                                    </w:rPr>
                                    <w:t>2</w:t>
                                  </w:r>
                                  <w:r>
                                    <w:rPr>
                                      <w:rFonts w:hint="default" w:ascii="Times New Roman" w:hAnsi="Times New Roman" w:cs="Times New Roman"/>
                                    </w:rPr>
                                    <w:t>、N</w:t>
                                  </w:r>
                                </w:p>
                              </w:txbxContent>
                            </wps:txbx>
                            <wps:bodyPr upright="1"/>
                          </wps:wsp>
                        </a:graphicData>
                      </a:graphic>
                    </wp:anchor>
                  </w:drawing>
                </mc:Choice>
                <mc:Fallback>
                  <w:pict>
                    <v:shape id="_x0000_s1026" o:spid="_x0000_s1026" o:spt="202" type="#_x0000_t202" style="position:absolute;left:0pt;margin-left:357.05pt;margin-top:14.2pt;height:21.75pt;width:49.8pt;z-index:251699200;mso-width-relative:page;mso-height-relative:page;" filled="f" stroked="f" coordsize="21600,21600" o:gfxdata="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WRkdtYAAAAJAQAADwAAAAAAAAABACAAAAAiAAAAZHJzL2Rvd25yZXYueG1sUEsB&#10;AhQAFAAAAAgAh07iQOnmejr3AQAA9AMAAA4AAAAAAAAAAQAgAAAAJQEAAGRycy9lMm9Eb2MueG1s&#10;UEsFBgAAAAAGAAYAWQEAAI4FAAAAAA==&#10;">
                      <v:fill on="f" focussize="0,0"/>
                      <v:stroke on="f" joinstyle="miter" dashstyle="dash"/>
                      <v:imagedata o:title=""/>
                      <o:lock v:ext="edit" aspectratio="f"/>
                      <v:textbox>
                        <w:txbxContent>
                          <w:p w14:paraId="13068D6B">
                            <w:pPr>
                              <w:jc w:val="center"/>
                              <w:rPr>
                                <w:rFonts w:hint="default" w:ascii="Times New Roman" w:hAnsi="Times New Roman" w:eastAsia="宋体" w:cs="Times New Roman"/>
                              </w:rPr>
                            </w:pPr>
                            <w:r>
                              <w:rPr>
                                <w:rFonts w:hint="default" w:ascii="Times New Roman" w:hAnsi="Times New Roman" w:cs="Times New Roman"/>
                              </w:rPr>
                              <w:t>G</w:t>
                            </w:r>
                            <w:r>
                              <w:rPr>
                                <w:rFonts w:hint="eastAsia" w:ascii="Times New Roman" w:hAnsi="Times New Roman" w:cs="Times New Roman"/>
                                <w:lang w:val="en-US" w:eastAsia="zh-CN"/>
                              </w:rPr>
                              <w:t>2</w:t>
                            </w:r>
                            <w:r>
                              <w:rPr>
                                <w:rFonts w:hint="default" w:ascii="Times New Roman" w:hAnsi="Times New Roman" w:cs="Times New Roman"/>
                              </w:rPr>
                              <w:t>、N</w:t>
                            </w:r>
                          </w:p>
                        </w:txbxContent>
                      </v:textbox>
                    </v:shape>
                  </w:pict>
                </mc:Fallback>
              </mc:AlternateContent>
            </w:r>
            <w:r>
              <w:rPr>
                <w:color w:val="auto"/>
              </w:rPr>
              <mc:AlternateContent>
                <mc:Choice Requires="wps">
                  <w:drawing>
                    <wp:anchor distT="0" distB="0" distL="114300" distR="114300" simplePos="0" relativeHeight="251671552" behindDoc="0" locked="0" layoutInCell="1" allowOverlap="1">
                      <wp:simplePos x="0" y="0"/>
                      <wp:positionH relativeFrom="column">
                        <wp:posOffset>4353560</wp:posOffset>
                      </wp:positionH>
                      <wp:positionV relativeFrom="paragraph">
                        <wp:posOffset>188595</wp:posOffset>
                      </wp:positionV>
                      <wp:extent cx="0" cy="544830"/>
                      <wp:effectExtent l="38100" t="0" r="38100" b="7620"/>
                      <wp:wrapNone/>
                      <wp:docPr id="81" name="直接连接符 81"/>
                      <wp:cNvGraphicFramePr/>
                      <a:graphic xmlns:a="http://schemas.openxmlformats.org/drawingml/2006/main">
                        <a:graphicData uri="http://schemas.microsoft.com/office/word/2010/wordprocessingShape">
                          <wps:wsp>
                            <wps:cNvCnPr>
                              <a:stCxn id="39" idx="0"/>
                            </wps:cNvCnPr>
                            <wps:spPr>
                              <a:xfrm flipV="1">
                                <a:off x="0" y="0"/>
                                <a:ext cx="0" cy="54483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flip:y;margin-left:342.8pt;margin-top:14.85pt;height:42.9pt;width:0pt;z-index:251671552;mso-width-relative:page;mso-height-relative:page;" filled="f" stroked="t" coordsize="21600,21600" o:gfxdata="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NtcZtcAAAAKAQAADwAAAAAAAAAB&#10;ACAAAAAiAAAAZHJzL2Rvd25yZXYueG1sUEsBAhQAFAAAAAgAh07iQKEmOOIRAgAAGwQAAA4AAAAA&#10;AAAAAQAgAAAAJgEAAGRycy9lMm9Eb2MueG1sUEsFBgAAAAAGAAYAWQEAAKkFAAAAAA==&#10;">
                      <v:fill on="f" focussize="0,0"/>
                      <v:stroke color="#000000" joinstyle="round" dashstyle="dash" startarrow="block"/>
                      <v:imagedata o:title=""/>
                      <o:lock v:ext="edit" aspectratio="f"/>
                    </v:line>
                  </w:pict>
                </mc:Fallback>
              </mc:AlternateContent>
            </w:r>
            <w:r>
              <w:rPr>
                <w:color w:val="auto"/>
                <w:sz w:val="24"/>
              </w:rPr>
              <mc:AlternateContent>
                <mc:Choice Requires="wps">
                  <w:drawing>
                    <wp:anchor distT="0" distB="0" distL="114300" distR="114300" simplePos="0" relativeHeight="251695104" behindDoc="0" locked="0" layoutInCell="1" allowOverlap="1">
                      <wp:simplePos x="0" y="0"/>
                      <wp:positionH relativeFrom="column">
                        <wp:posOffset>1964055</wp:posOffset>
                      </wp:positionH>
                      <wp:positionV relativeFrom="paragraph">
                        <wp:posOffset>93345</wp:posOffset>
                      </wp:positionV>
                      <wp:extent cx="632460" cy="276225"/>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632460" cy="276225"/>
                              </a:xfrm>
                              <a:prstGeom prst="rect">
                                <a:avLst/>
                              </a:prstGeom>
                              <a:noFill/>
                              <a:ln w="9525" cap="flat" cmpd="sng">
                                <a:noFill/>
                                <a:prstDash val="dash"/>
                                <a:miter/>
                                <a:headEnd type="none" w="med" len="med"/>
                                <a:tailEnd type="none" w="med" len="med"/>
                              </a:ln>
                              <a:effectLst/>
                            </wps:spPr>
                            <wps:txbx>
                              <w:txbxContent>
                                <w:p w14:paraId="0E688869">
                                  <w:pPr>
                                    <w:jc w:val="center"/>
                                    <w:rPr>
                                      <w:rFonts w:hint="default" w:ascii="Times New Roman" w:hAnsi="Times New Roman" w:eastAsia="宋体" w:cs="Times New Roman"/>
                                    </w:rPr>
                                  </w:pPr>
                                  <w:r>
                                    <w:rPr>
                                      <w:rFonts w:hint="default" w:ascii="Times New Roman" w:hAnsi="Times New Roman" w:cs="Times New Roman"/>
                                    </w:rPr>
                                    <w:t>N</w:t>
                                  </w:r>
                                </w:p>
                              </w:txbxContent>
                            </wps:txbx>
                            <wps:bodyPr upright="1"/>
                          </wps:wsp>
                        </a:graphicData>
                      </a:graphic>
                    </wp:anchor>
                  </w:drawing>
                </mc:Choice>
                <mc:Fallback>
                  <w:pict>
                    <v:shape id="_x0000_s1026" o:spid="_x0000_s1026" o:spt="202" type="#_x0000_t202" style="position:absolute;left:0pt;margin-left:154.65pt;margin-top:7.35pt;height:21.75pt;width:49.8pt;z-index:251695104;mso-width-relative:page;mso-height-relative:page;" filled="f" stroked="f" coordsize="21600,21600" o:gfxdata="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2u+YnWAAAACQEAAA8AAAAAAAAAAQAgAAAAIgAAAGRycy9kb3ducmV2LnhtbFBL&#10;AQIUABQAAAAIAIdO4kBQNblB+AEAAPQDAAAOAAAAAAAAAAEAIAAAACUBAABkcnMvZTJvRG9jLnht&#10;bFBLBQYAAAAABgAGAFkBAACPBQAAAAA=&#10;">
                      <v:fill on="f" focussize="0,0"/>
                      <v:stroke on="f" joinstyle="miter" dashstyle="dash"/>
                      <v:imagedata o:title=""/>
                      <o:lock v:ext="edit" aspectratio="f"/>
                      <v:textbox>
                        <w:txbxContent>
                          <w:p w14:paraId="0E688869">
                            <w:pPr>
                              <w:jc w:val="center"/>
                              <w:rPr>
                                <w:rFonts w:hint="default" w:ascii="Times New Roman" w:hAnsi="Times New Roman" w:eastAsia="宋体" w:cs="Times New Roman"/>
                              </w:rPr>
                            </w:pPr>
                            <w:r>
                              <w:rPr>
                                <w:rFonts w:hint="default" w:ascii="Times New Roman" w:hAnsi="Times New Roman" w:cs="Times New Roman"/>
                              </w:rPr>
                              <w:t>N</w:t>
                            </w:r>
                          </w:p>
                        </w:txbxContent>
                      </v:textbox>
                    </v:shape>
                  </w:pict>
                </mc:Fallback>
              </mc:AlternateContent>
            </w:r>
            <w:r>
              <w:rPr>
                <w:color w:val="auto"/>
              </w:rPr>
              <mc:AlternateContent>
                <mc:Choice Requires="wps">
                  <w:drawing>
                    <wp:anchor distT="0" distB="0" distL="114300" distR="114300" simplePos="0" relativeHeight="251693056" behindDoc="0" locked="0" layoutInCell="1" allowOverlap="1">
                      <wp:simplePos x="0" y="0"/>
                      <wp:positionH relativeFrom="column">
                        <wp:posOffset>2648585</wp:posOffset>
                      </wp:positionH>
                      <wp:positionV relativeFrom="paragraph">
                        <wp:posOffset>176530</wp:posOffset>
                      </wp:positionV>
                      <wp:extent cx="798830" cy="28321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798830" cy="283210"/>
                              </a:xfrm>
                              <a:prstGeom prst="rect">
                                <a:avLst/>
                              </a:prstGeom>
                              <a:noFill/>
                              <a:ln>
                                <a:noFill/>
                              </a:ln>
                              <a:effectLst/>
                            </wps:spPr>
                            <wps:txbx>
                              <w:txbxContent>
                                <w:p w14:paraId="22994AD3">
                                  <w:pPr>
                                    <w:jc w:val="left"/>
                                    <w:rPr>
                                      <w:rFonts w:hint="default" w:eastAsiaTheme="minorEastAsia"/>
                                      <w:lang w:val="en-US" w:eastAsia="zh-CN"/>
                                    </w:rPr>
                                  </w:pPr>
                                  <w:r>
                                    <w:rPr>
                                      <w:rFonts w:hint="eastAsia"/>
                                    </w:rPr>
                                    <w:t>边角料</w:t>
                                  </w:r>
                                  <w:r>
                                    <w:rPr>
                                      <w:rFonts w:hint="default" w:ascii="Times New Roman" w:hAnsi="Times New Roman" w:cs="Times New Roman"/>
                                      <w:lang w:val="en-US" w:eastAsia="zh-CN"/>
                                    </w:rPr>
                                    <w:t>S2</w:t>
                                  </w:r>
                                </w:p>
                              </w:txbxContent>
                            </wps:txbx>
                            <wps:bodyPr upright="1"/>
                          </wps:wsp>
                        </a:graphicData>
                      </a:graphic>
                    </wp:anchor>
                  </w:drawing>
                </mc:Choice>
                <mc:Fallback>
                  <w:pict>
                    <v:shape id="_x0000_s1026" o:spid="_x0000_s1026" o:spt="202" type="#_x0000_t202" style="position:absolute;left:0pt;margin-left:208.55pt;margin-top:13.9pt;height:22.3pt;width:62.9pt;z-index:251693056;mso-width-relative:page;mso-height-relative:page;" filled="f" stroked="f" coordsize="21600,21600" o:gfxdata="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Ai&#10;MKzWAAAACQEAAA8AAAAAAAAAAQAgAAAAIgAAAGRycy9kb3ducmV2LnhtbFBLAQIUABQAAAAIAIdO&#10;4kCUVpnjswEAAF8DAAAOAAAAAAAAAAEAIAAAACUBAABkcnMvZTJvRG9jLnhtbFBLBQYAAAAABgAG&#10;AFkBAABKBQAAAAA=&#10;">
                      <v:fill on="f" focussize="0,0"/>
                      <v:stroke on="f"/>
                      <v:imagedata o:title=""/>
                      <o:lock v:ext="edit" aspectratio="f"/>
                      <v:textbox>
                        <w:txbxContent>
                          <w:p w14:paraId="22994AD3">
                            <w:pPr>
                              <w:jc w:val="left"/>
                              <w:rPr>
                                <w:rFonts w:hint="default" w:eastAsiaTheme="minorEastAsia"/>
                                <w:lang w:val="en-US" w:eastAsia="zh-CN"/>
                              </w:rPr>
                            </w:pPr>
                            <w:r>
                              <w:rPr>
                                <w:rFonts w:hint="eastAsia"/>
                              </w:rPr>
                              <w:t>边角料</w:t>
                            </w:r>
                            <w:r>
                              <w:rPr>
                                <w:rFonts w:hint="default" w:ascii="Times New Roman" w:hAnsi="Times New Roman" w:cs="Times New Roman"/>
                                <w:lang w:val="en-US" w:eastAsia="zh-CN"/>
                              </w:rPr>
                              <w:t>S2</w:t>
                            </w:r>
                          </w:p>
                        </w:txbxContent>
                      </v:textbox>
                    </v:shape>
                  </w:pict>
                </mc:Fallback>
              </mc:AlternateContent>
            </w:r>
            <w:r>
              <w:rPr>
                <w:color w:val="auto"/>
              </w:rPr>
              <mc:AlternateContent>
                <mc:Choice Requires="wps">
                  <w:drawing>
                    <wp:anchor distT="0" distB="0" distL="114300" distR="114300" simplePos="0" relativeHeight="251692032" behindDoc="0" locked="0" layoutInCell="1" allowOverlap="1">
                      <wp:simplePos x="0" y="0"/>
                      <wp:positionH relativeFrom="column">
                        <wp:posOffset>2734310</wp:posOffset>
                      </wp:positionH>
                      <wp:positionV relativeFrom="paragraph">
                        <wp:posOffset>177800</wp:posOffset>
                      </wp:positionV>
                      <wp:extent cx="6350" cy="316865"/>
                      <wp:effectExtent l="36830" t="0" r="33020" b="6350"/>
                      <wp:wrapNone/>
                      <wp:docPr id="170" name="直接连接符 170"/>
                      <wp:cNvGraphicFramePr/>
                      <a:graphic xmlns:a="http://schemas.openxmlformats.org/drawingml/2006/main">
                        <a:graphicData uri="http://schemas.microsoft.com/office/word/2010/wordprocessingShape">
                          <wps:wsp>
                            <wps:cNvCnPr/>
                            <wps:spPr>
                              <a:xfrm flipV="1">
                                <a:off x="0" y="0"/>
                                <a:ext cx="6350" cy="316865"/>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flip:y;margin-left:215.3pt;margin-top:14pt;height:24.95pt;width:0.5pt;z-index:251692032;mso-width-relative:page;mso-height-relative:page;" filled="f" stroked="t" coordsize="21600,21600" o:gfxdata="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YN6E32AAAAAkBAAAPAAAAAAAAAAEAIAAAACIAAABkcnMv&#10;ZG93bnJldi54bWxQSwECFAAUAAAACACHTuJAFQ876QMCAAD5AwAADgAAAAAAAAABACAAAAAnAQAA&#10;ZHJzL2Uyb0RvYy54bWxQSwUGAAAAAAYABgBZAQAAnAUAAAAA&#10;">
                      <v:fill on="f" focussize="0,0"/>
                      <v:stroke color="#000000" joinstyle="round" dashstyle="dash" startarrow="block"/>
                      <v:imagedata o:title=""/>
                      <o:lock v:ext="edit" aspectratio="f"/>
                    </v:line>
                  </w:pict>
                </mc:Fallback>
              </mc:AlternateContent>
            </w:r>
            <w:r>
              <w:rPr>
                <w:color w:val="auto"/>
              </w:rPr>
              <mc:AlternateContent>
                <mc:Choice Requires="wps">
                  <w:drawing>
                    <wp:anchor distT="0" distB="0" distL="114300" distR="114300" simplePos="0" relativeHeight="251673600" behindDoc="0" locked="0" layoutInCell="1" allowOverlap="1">
                      <wp:simplePos x="0" y="0"/>
                      <wp:positionH relativeFrom="column">
                        <wp:posOffset>1829435</wp:posOffset>
                      </wp:positionH>
                      <wp:positionV relativeFrom="paragraph">
                        <wp:posOffset>145415</wp:posOffset>
                      </wp:positionV>
                      <wp:extent cx="5715" cy="743585"/>
                      <wp:effectExtent l="33020" t="0" r="37465" b="18415"/>
                      <wp:wrapNone/>
                      <wp:docPr id="163" name="直接箭头连接符 163"/>
                      <wp:cNvGraphicFramePr/>
                      <a:graphic xmlns:a="http://schemas.openxmlformats.org/drawingml/2006/main">
                        <a:graphicData uri="http://schemas.microsoft.com/office/word/2010/wordprocessingShape">
                          <wps:wsp>
                            <wps:cNvCnPr/>
                            <wps:spPr>
                              <a:xfrm flipH="1">
                                <a:off x="0" y="0"/>
                                <a:ext cx="5715" cy="743585"/>
                              </a:xfrm>
                              <a:prstGeom prst="straightConnector1">
                                <a:avLst/>
                              </a:prstGeom>
                              <a:ln w="9525" cap="flat" cmpd="sng">
                                <a:solidFill>
                                  <a:srgbClr val="000000"/>
                                </a:solidFill>
                                <a:prstDash val="dash"/>
                                <a:round/>
                                <a:headEnd type="triangle" w="med" len="med"/>
                                <a:tailEnd type="none" w="med" len="med"/>
                              </a:ln>
                            </wps:spPr>
                            <wps:bodyPr/>
                          </wps:wsp>
                        </a:graphicData>
                      </a:graphic>
                    </wp:anchor>
                  </w:drawing>
                </mc:Choice>
                <mc:Fallback>
                  <w:pict>
                    <v:shape id="_x0000_s1026" o:spid="_x0000_s1026" o:spt="32" type="#_x0000_t32" style="position:absolute;left:0pt;flip:x;margin-left:144.05pt;margin-top:11.45pt;height:58.55pt;width:0.45pt;z-index:251673600;mso-width-relative:page;mso-height-relative:page;" filled="f" stroked="t" coordsize="21600,21600" o:gfxdata="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nz8Fl2AAAAAoBAAAPAAAA&#10;AAAAAAEAIAAAACIAAABkcnMvZG93bnJldi54bWxQSwECFAAUAAAACACHTuJAcaPjkhUCAAAJBAAA&#10;DgAAAAAAAAABACAAAAAnAQAAZHJzL2Uyb0RvYy54bWxQSwUGAAAAAAYABgBZAQAArgUAAAAA&#10;">
                      <v:fill on="f" focussize="0,0"/>
                      <v:stroke color="#000000" joinstyle="round" dashstyle="dash" startarrow="block"/>
                      <v:imagedata o:title=""/>
                      <o:lock v:ext="edit" aspectratio="f"/>
                    </v:shape>
                  </w:pict>
                </mc:Fallback>
              </mc:AlternateContent>
            </w:r>
            <w:r>
              <w:rPr>
                <w:color w:val="auto"/>
              </w:rPr>
              <mc:AlternateContent>
                <mc:Choice Requires="wps">
                  <w:drawing>
                    <wp:anchor distT="0" distB="0" distL="114300" distR="114300" simplePos="0" relativeHeight="251681792" behindDoc="0" locked="0" layoutInCell="1" allowOverlap="1">
                      <wp:simplePos x="0" y="0"/>
                      <wp:positionH relativeFrom="column">
                        <wp:posOffset>2077720</wp:posOffset>
                      </wp:positionH>
                      <wp:positionV relativeFrom="paragraph">
                        <wp:posOffset>6350</wp:posOffset>
                      </wp:positionV>
                      <wp:extent cx="265430" cy="635"/>
                      <wp:effectExtent l="0" t="38100" r="1270" b="37465"/>
                      <wp:wrapNone/>
                      <wp:docPr id="161" name="直接连接符 161"/>
                      <wp:cNvGraphicFramePr/>
                      <a:graphic xmlns:a="http://schemas.openxmlformats.org/drawingml/2006/main">
                        <a:graphicData uri="http://schemas.microsoft.com/office/word/2010/wordprocessingShape">
                          <wps:wsp>
                            <wps:cNvCnPr/>
                            <wps:spPr>
                              <a:xfrm flipV="1">
                                <a:off x="0" y="0"/>
                                <a:ext cx="26543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163.6pt;margin-top:0.5pt;height:0.05pt;width:20.9pt;z-index:251681792;mso-width-relative:page;mso-height-relative:page;" filled="f" stroked="t" coordsize="21600,21600" o:gfxdata="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0ItOtcAAAAHAQAADwAAAAAAAAABACAAAAAiAAAAZHJzL2Rv&#10;d25yZXYueG1sUEsBAhQAFAAAAAgAh07iQAIOppUCAgAA+QMAAA4AAAAAAAAAAQAgAAAAJgEAAGRy&#10;cy9lMm9Eb2MueG1sUEsFBgAAAAAGAAYAWQEAAJoFAAAAAA==&#10;">
                      <v:fill on="f" focussize="0,0"/>
                      <v:stroke color="#000000" joinstyle="round" endarrow="block"/>
                      <v:imagedata o:title=""/>
                      <o:lock v:ext="edit" aspectratio="f"/>
                    </v:line>
                  </w:pict>
                </mc:Fallback>
              </mc:AlternateContent>
            </w:r>
            <w:r>
              <w:rPr>
                <w:color w:val="auto"/>
              </w:rPr>
              <mc:AlternateContent>
                <mc:Choice Requires="wps">
                  <w:drawing>
                    <wp:anchor distT="0" distB="0" distL="114300" distR="114300" simplePos="0" relativeHeight="251679744" behindDoc="0" locked="0" layoutInCell="1" allowOverlap="1">
                      <wp:simplePos x="0" y="0"/>
                      <wp:positionH relativeFrom="column">
                        <wp:posOffset>4557395</wp:posOffset>
                      </wp:positionH>
                      <wp:positionV relativeFrom="paragraph">
                        <wp:posOffset>24130</wp:posOffset>
                      </wp:positionV>
                      <wp:extent cx="219710" cy="6985"/>
                      <wp:effectExtent l="0" t="33655" r="8890" b="35560"/>
                      <wp:wrapNone/>
                      <wp:docPr id="164" name="直接连接符 164"/>
                      <wp:cNvGraphicFramePr/>
                      <a:graphic xmlns:a="http://schemas.openxmlformats.org/drawingml/2006/main">
                        <a:graphicData uri="http://schemas.microsoft.com/office/word/2010/wordprocessingShape">
                          <wps:wsp>
                            <wps:cNvCnPr/>
                            <wps:spPr>
                              <a:xfrm>
                                <a:off x="0" y="0"/>
                                <a:ext cx="219710" cy="698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358.85pt;margin-top:1.9pt;height:0.55pt;width:17.3pt;z-index:251679744;mso-width-relative:page;mso-height-relative:page;" filled="f" stroked="t" coordsize="21600,21600" o:gfxdata="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a5dg2QAAAAcBAAAPAAAAAAAAAAEAIAAAACIAAABkcnMvZG93bnJl&#10;di54bWxQSwECFAAUAAAACACHTuJAOmxgKvwBAADwAwAADgAAAAAAAAABACAAAAAoAQAAZHJzL2Uy&#10;b0RvYy54bWxQSwUGAAAAAAYABgBZAQAAlgUAAAAA&#10;">
                      <v:fill on="f" focussize="0,0"/>
                      <v:stroke color="#000000" joinstyle="round" endarrow="block"/>
                      <v:imagedata o:title=""/>
                      <o:lock v:ext="edit" aspectratio="f"/>
                    </v:line>
                  </w:pict>
                </mc:Fallback>
              </mc:AlternateContent>
            </w:r>
            <w:r>
              <w:rPr>
                <w:b/>
                <w:color w:val="auto"/>
              </w:rPr>
              <mc:AlternateContent>
                <mc:Choice Requires="wps">
                  <w:drawing>
                    <wp:anchor distT="0" distB="0" distL="114300" distR="114300" simplePos="0" relativeHeight="251676672" behindDoc="0" locked="0" layoutInCell="1" allowOverlap="1">
                      <wp:simplePos x="0" y="0"/>
                      <wp:positionH relativeFrom="column">
                        <wp:posOffset>3870325</wp:posOffset>
                      </wp:positionH>
                      <wp:positionV relativeFrom="paragraph">
                        <wp:posOffset>29210</wp:posOffset>
                      </wp:positionV>
                      <wp:extent cx="212090" cy="635"/>
                      <wp:effectExtent l="0" t="38100" r="16510" b="37465"/>
                      <wp:wrapNone/>
                      <wp:docPr id="150" name="直接连接符 150"/>
                      <wp:cNvGraphicFramePr/>
                      <a:graphic xmlns:a="http://schemas.openxmlformats.org/drawingml/2006/main">
                        <a:graphicData uri="http://schemas.microsoft.com/office/word/2010/wordprocessingShape">
                          <wps:wsp>
                            <wps:cNvCnPr/>
                            <wps:spPr>
                              <a:xfrm flipV="1">
                                <a:off x="0" y="0"/>
                                <a:ext cx="21209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304.75pt;margin-top:2.3pt;height:0.05pt;width:16.7pt;z-index:251676672;mso-width-relative:page;mso-height-relative:page;" filled="f" stroked="t" coordsize="21600,21600" o:gfxdata="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svrA1wAAAAcBAAAPAAAAAAAAAAEAIAAAACIAAABkcnMvZG93&#10;bnJldi54bWxQSwECFAAUAAAACACHTuJA1nEegAECAAD5AwAADgAAAAAAAAABACAAAAAmAQAAZHJz&#10;L2Uyb0RvYy54bWxQSwUGAAAAAAYABgBZAQAAmQUAAAAA&#10;">
                      <v:fill on="f" focussize="0,0"/>
                      <v:stroke color="#000000" joinstyle="round" endarrow="block"/>
                      <v:imagedata o:title=""/>
                      <o:lock v:ext="edit" aspectratio="f"/>
                    </v:line>
                  </w:pict>
                </mc:Fallback>
              </mc:AlternateContent>
            </w:r>
            <w:r>
              <w:rPr>
                <w:b/>
                <w:color w:val="auto"/>
              </w:rPr>
              <mc:AlternateContent>
                <mc:Choice Requires="wps">
                  <w:drawing>
                    <wp:anchor distT="0" distB="0" distL="114300" distR="114300" simplePos="0" relativeHeight="251675648" behindDoc="0" locked="0" layoutInCell="1" allowOverlap="1">
                      <wp:simplePos x="0" y="0"/>
                      <wp:positionH relativeFrom="column">
                        <wp:posOffset>3114040</wp:posOffset>
                      </wp:positionH>
                      <wp:positionV relativeFrom="paragraph">
                        <wp:posOffset>17780</wp:posOffset>
                      </wp:positionV>
                      <wp:extent cx="288290" cy="635"/>
                      <wp:effectExtent l="0" t="38100" r="16510" b="37465"/>
                      <wp:wrapNone/>
                      <wp:docPr id="15" name="直接连接符 15"/>
                      <wp:cNvGraphicFramePr/>
                      <a:graphic xmlns:a="http://schemas.openxmlformats.org/drawingml/2006/main">
                        <a:graphicData uri="http://schemas.microsoft.com/office/word/2010/wordprocessingShape">
                          <wps:wsp>
                            <wps:cNvCnPr/>
                            <wps:spPr>
                              <a:xfrm flipV="1">
                                <a:off x="0" y="0"/>
                                <a:ext cx="28829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245.2pt;margin-top:1.4pt;height:0.05pt;width:22.7pt;z-index:251675648;mso-width-relative:page;mso-height-relative:page;" filled="f" stroked="t" coordsize="21600,21600" o:gfxdata="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0wlcBNYAAAAHAQAADwAAAAAAAAABACAAAAAiAAAAZHJzL2Rv&#10;d25yZXYueG1sUEsBAhQAFAAAAAgAh07iQBD7YD8DAgAA9wMAAA4AAAAAAAAAAQAgAAAAJQEAAGRy&#10;cy9lMm9Eb2MueG1sUEsFBgAAAAAGAAYAWQEAAJoFAAAAAA==&#10;">
                      <v:fill on="f" focussize="0,0"/>
                      <v:stroke color="#000000" joinstyle="round" endarrow="block"/>
                      <v:imagedata o:title=""/>
                      <o:lock v:ext="edit" aspectratio="f"/>
                    </v:line>
                  </w:pict>
                </mc:Fallback>
              </mc:AlternateContent>
            </w:r>
          </w:p>
          <w:p w14:paraId="2C76ED60">
            <w:pPr>
              <w:pStyle w:val="4"/>
              <w:rPr>
                <w:bCs/>
                <w:color w:val="auto"/>
                <w:szCs w:val="24"/>
              </w:rPr>
            </w:pPr>
            <w:r>
              <w:rPr>
                <w:color w:val="auto"/>
              </w:rPr>
              <mc:AlternateContent>
                <mc:Choice Requires="wps">
                  <w:drawing>
                    <wp:anchor distT="0" distB="0" distL="114300" distR="114300" simplePos="0" relativeHeight="251674624" behindDoc="0" locked="0" layoutInCell="1" allowOverlap="1">
                      <wp:simplePos x="0" y="0"/>
                      <wp:positionH relativeFrom="column">
                        <wp:posOffset>3723640</wp:posOffset>
                      </wp:positionH>
                      <wp:positionV relativeFrom="paragraph">
                        <wp:posOffset>43815</wp:posOffset>
                      </wp:positionV>
                      <wp:extent cx="894080" cy="452755"/>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894080" cy="452755"/>
                              </a:xfrm>
                              <a:prstGeom prst="rect">
                                <a:avLst/>
                              </a:prstGeom>
                              <a:noFill/>
                              <a:ln>
                                <a:noFill/>
                              </a:ln>
                              <a:effectLst/>
                            </wps:spPr>
                            <wps:txbx>
                              <w:txbxContent>
                                <w:p w14:paraId="307DF7DA">
                                  <w:pPr>
                                    <w:jc w:val="left"/>
                                    <w:rPr>
                                      <w:rFonts w:hint="default" w:eastAsiaTheme="minorEastAsia"/>
                                      <w:lang w:val="en-US" w:eastAsia="zh-CN"/>
                                    </w:rPr>
                                  </w:pPr>
                                  <w:r>
                                    <w:rPr>
                                      <w:rFonts w:hint="eastAsia"/>
                                    </w:rPr>
                                    <w:t>不合格品</w:t>
                                  </w:r>
                                  <w:r>
                                    <w:rPr>
                                      <w:rFonts w:hint="default" w:ascii="Times New Roman" w:hAnsi="Times New Roman" w:cs="Times New Roman"/>
                                      <w:lang w:val="en-US" w:eastAsia="zh-CN"/>
                                    </w:rPr>
                                    <w:t>S3</w:t>
                                  </w:r>
                                </w:p>
                              </w:txbxContent>
                            </wps:txbx>
                            <wps:bodyPr upright="1"/>
                          </wps:wsp>
                        </a:graphicData>
                      </a:graphic>
                    </wp:anchor>
                  </w:drawing>
                </mc:Choice>
                <mc:Fallback>
                  <w:pict>
                    <v:shape id="_x0000_s1026" o:spid="_x0000_s1026" o:spt="202" type="#_x0000_t202" style="position:absolute;left:0pt;margin-left:293.2pt;margin-top:3.45pt;height:35.65pt;width:70.4pt;z-index:251674624;mso-width-relative:page;mso-height-relative:page;" filled="f" stroked="f" coordsize="21600,21600" o:gfxdata="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pU&#10;2jLXAAAACAEAAA8AAAAAAAAAAQAgAAAAIgAAAGRycy9kb3ducmV2LnhtbFBLAQIUABQAAAAIAIdO&#10;4kBOdQGesgEAAF8DAAAOAAAAAAAAAAEAIAAAACYBAABkcnMvZTJvRG9jLnhtbFBLBQYAAAAABgAG&#10;AFkBAABKBQAAAAA=&#10;">
                      <v:fill on="f" focussize="0,0"/>
                      <v:stroke on="f"/>
                      <v:imagedata o:title=""/>
                      <o:lock v:ext="edit" aspectratio="f"/>
                      <v:textbox>
                        <w:txbxContent>
                          <w:p w14:paraId="307DF7DA">
                            <w:pPr>
                              <w:jc w:val="left"/>
                              <w:rPr>
                                <w:rFonts w:hint="default" w:eastAsiaTheme="minorEastAsia"/>
                                <w:lang w:val="en-US" w:eastAsia="zh-CN"/>
                              </w:rPr>
                            </w:pPr>
                            <w:r>
                              <w:rPr>
                                <w:rFonts w:hint="eastAsia"/>
                              </w:rPr>
                              <w:t>不合格品</w:t>
                            </w:r>
                            <w:r>
                              <w:rPr>
                                <w:rFonts w:hint="default" w:ascii="Times New Roman" w:hAnsi="Times New Roman" w:cs="Times New Roman"/>
                                <w:lang w:val="en-US" w:eastAsia="zh-CN"/>
                              </w:rPr>
                              <w:t>S3</w:t>
                            </w:r>
                          </w:p>
                        </w:txbxContent>
                      </v:textbox>
                    </v:shape>
                  </w:pict>
                </mc:Fallback>
              </mc:AlternateContent>
            </w:r>
            <w:r>
              <w:rPr>
                <w:color w:val="auto"/>
              </w:rPr>
              <mc:AlternateContent>
                <mc:Choice Requires="wps">
                  <w:drawing>
                    <wp:anchor distT="0" distB="0" distL="114300" distR="114300" simplePos="0" relativeHeight="251672576" behindDoc="0" locked="0" layoutInCell="1" allowOverlap="1">
                      <wp:simplePos x="0" y="0"/>
                      <wp:positionH relativeFrom="column">
                        <wp:posOffset>2300605</wp:posOffset>
                      </wp:positionH>
                      <wp:positionV relativeFrom="paragraph">
                        <wp:posOffset>134620</wp:posOffset>
                      </wp:positionV>
                      <wp:extent cx="225425" cy="163830"/>
                      <wp:effectExtent l="0" t="0" r="3175" b="7620"/>
                      <wp:wrapNone/>
                      <wp:docPr id="13" name="直接连接符 13"/>
                      <wp:cNvGraphicFramePr/>
                      <a:graphic xmlns:a="http://schemas.openxmlformats.org/drawingml/2006/main">
                        <a:graphicData uri="http://schemas.microsoft.com/office/word/2010/wordprocessingShape">
                          <wps:wsp>
                            <wps:cNvCnPr/>
                            <wps:spPr>
                              <a:xfrm>
                                <a:off x="0" y="0"/>
                                <a:ext cx="225425" cy="16383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margin-left:181.15pt;margin-top:10.6pt;height:12.9pt;width:17.75pt;z-index:251672576;mso-width-relative:page;mso-height-relative:page;" filled="f" stroked="t" coordsize="21600,21600" o:gfxdata="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xom8doAAAAJAQAADwAAAAAAAAABACAAAAAiAAAAZHJzL2Rv&#10;d25yZXYueG1sUEsBAhQAFAAAAAgAh07iQIJO6tz/AQAA7wMAAA4AAAAAAAAAAQAgAAAAKQEAAGRy&#10;cy9lMm9Eb2MueG1sUEsFBgAAAAAGAAYAWQEAAJoFAAAAAA==&#10;">
                      <v:fill on="f" focussize="0,0"/>
                      <v:stroke color="#000000" joinstyle="round" dashstyle="dash" startarrow="block"/>
                      <v:imagedata o:title=""/>
                      <o:lock v:ext="edit" aspectratio="f"/>
                    </v:line>
                  </w:pict>
                </mc:Fallback>
              </mc:AlternateContent>
            </w:r>
            <w:r>
              <w:rPr>
                <w:color w:val="auto"/>
              </w:rPr>
              <mc:AlternateContent>
                <mc:Choice Requires="wps">
                  <w:drawing>
                    <wp:anchor distT="0" distB="0" distL="114300" distR="114300" simplePos="0" relativeHeight="251669504" behindDoc="0" locked="0" layoutInCell="1" allowOverlap="1">
                      <wp:simplePos x="0" y="0"/>
                      <wp:positionH relativeFrom="column">
                        <wp:posOffset>971550</wp:posOffset>
                      </wp:positionH>
                      <wp:positionV relativeFrom="paragraph">
                        <wp:posOffset>177165</wp:posOffset>
                      </wp:positionV>
                      <wp:extent cx="861060" cy="23749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861060" cy="237490"/>
                              </a:xfrm>
                              <a:prstGeom prst="rect">
                                <a:avLst/>
                              </a:prstGeom>
                              <a:noFill/>
                              <a:ln>
                                <a:noFill/>
                              </a:ln>
                              <a:effectLst/>
                            </wps:spPr>
                            <wps:txbx>
                              <w:txbxContent>
                                <w:p w14:paraId="5C41FA64">
                                  <w:pPr>
                                    <w:spacing w:line="240" w:lineRule="exact"/>
                                    <w:jc w:val="center"/>
                                  </w:pPr>
                                  <w:r>
                                    <w:rPr>
                                      <w:rFonts w:hint="eastAsia"/>
                                    </w:rPr>
                                    <w:t>回用于生产</w:t>
                                  </w:r>
                                </w:p>
                              </w:txbxContent>
                            </wps:txbx>
                            <wps:bodyPr upright="1"/>
                          </wps:wsp>
                        </a:graphicData>
                      </a:graphic>
                    </wp:anchor>
                  </w:drawing>
                </mc:Choice>
                <mc:Fallback>
                  <w:pict>
                    <v:shape id="_x0000_s1026" o:spid="_x0000_s1026" o:spt="202" type="#_x0000_t202" style="position:absolute;left:0pt;margin-left:76.5pt;margin-top:13.95pt;height:18.7pt;width:67.8pt;z-index:251669504;mso-width-relative:page;mso-height-relative:page;" filled="f" stroked="f" coordsize="21600,21600" o:gfxdata="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a&#10;D7ul1wAAAAkBAAAPAAAAAAAAAAEAIAAAACIAAABkcnMvZG93bnJldi54bWxQSwECFAAUAAAACACH&#10;TuJAe3lO5rMBAABdAwAADgAAAAAAAAABACAAAAAmAQAAZHJzL2Uyb0RvYy54bWxQSwUGAAAAAAYA&#10;BgBZAQAASwUAAAAA&#10;">
                      <v:fill on="f" focussize="0,0"/>
                      <v:stroke on="f"/>
                      <v:imagedata o:title=""/>
                      <o:lock v:ext="edit" aspectratio="f"/>
                      <v:textbox>
                        <w:txbxContent>
                          <w:p w14:paraId="5C41FA64">
                            <w:pPr>
                              <w:spacing w:line="240" w:lineRule="exact"/>
                              <w:jc w:val="center"/>
                            </w:pPr>
                            <w:r>
                              <w:rPr>
                                <w:rFonts w:hint="eastAsia"/>
                              </w:rPr>
                              <w:t>回用于生产</w:t>
                            </w:r>
                          </w:p>
                        </w:txbxContent>
                      </v:textbox>
                    </v:shape>
                  </w:pict>
                </mc:Fallback>
              </mc:AlternateContent>
            </w:r>
          </w:p>
          <w:p w14:paraId="1B470DB1">
            <w:pPr>
              <w:pStyle w:val="4"/>
              <w:rPr>
                <w:bCs/>
                <w:color w:val="auto"/>
                <w:szCs w:val="24"/>
              </w:rPr>
            </w:pPr>
            <w:r>
              <w:rPr>
                <w:color w:val="auto"/>
                <w:sz w:val="24"/>
              </w:rPr>
              <mc:AlternateContent>
                <mc:Choice Requires="wps">
                  <w:drawing>
                    <wp:anchor distT="0" distB="0" distL="114300" distR="114300" simplePos="0" relativeHeight="251698176" behindDoc="0" locked="0" layoutInCell="1" allowOverlap="1">
                      <wp:simplePos x="0" y="0"/>
                      <wp:positionH relativeFrom="column">
                        <wp:posOffset>4811395</wp:posOffset>
                      </wp:positionH>
                      <wp:positionV relativeFrom="paragraph">
                        <wp:posOffset>1270</wp:posOffset>
                      </wp:positionV>
                      <wp:extent cx="635" cy="328930"/>
                      <wp:effectExtent l="37465" t="0" r="38100" b="13970"/>
                      <wp:wrapNone/>
                      <wp:docPr id="187" name="直接连接符 187"/>
                      <wp:cNvGraphicFramePr/>
                      <a:graphic xmlns:a="http://schemas.openxmlformats.org/drawingml/2006/main">
                        <a:graphicData uri="http://schemas.microsoft.com/office/word/2010/wordprocessingShape">
                          <wps:wsp>
                            <wps:cNvCnPr/>
                            <wps:spPr>
                              <a:xfrm flipH="1">
                                <a:off x="0" y="0"/>
                                <a:ext cx="635" cy="32893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flip:x;margin-left:378.85pt;margin-top:0.1pt;height:25.9pt;width:0.05pt;z-index:251698176;mso-width-relative:page;mso-height-relative:page;" filled="f" stroked="t" coordsize="21600,21600" o:gfxdata="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eop/1QAAAAcBAAAPAAAAAAAAAAEAIAAAACIAAABkcnMv&#10;ZG93bnJldi54bWxQSwECFAAUAAAACACHTuJASxF7FwYCAAD4AwAADgAAAAAAAAABACAAAAAkAQAA&#10;ZHJzL2Uyb0RvYy54bWxQSwUGAAAAAAYABgBZAQAAnAUAAAAA&#10;">
                      <v:fill on="f" focussize="0,0"/>
                      <v:stroke color="#000000" joinstyle="round" dashstyle="dash" startarrow="block"/>
                      <v:imagedata o:title=""/>
                      <o:lock v:ext="edit" aspectratio="f"/>
                    </v:line>
                  </w:pict>
                </mc:Fallback>
              </mc:AlternateContent>
            </w:r>
            <w:r>
              <w:rPr>
                <w:color w:val="auto"/>
              </w:rPr>
              <mc:AlternateContent>
                <mc:Choice Requires="wps">
                  <w:drawing>
                    <wp:anchor distT="0" distB="0" distL="114300" distR="114300" simplePos="0" relativeHeight="251694080" behindDoc="0" locked="0" layoutInCell="1" allowOverlap="1">
                      <wp:simplePos x="0" y="0"/>
                      <wp:positionH relativeFrom="column">
                        <wp:posOffset>2183765</wp:posOffset>
                      </wp:positionH>
                      <wp:positionV relativeFrom="paragraph">
                        <wp:posOffset>95250</wp:posOffset>
                      </wp:positionV>
                      <wp:extent cx="1173480" cy="276225"/>
                      <wp:effectExtent l="4445" t="4445" r="22225" b="5080"/>
                      <wp:wrapNone/>
                      <wp:docPr id="178" name="文本框 178"/>
                      <wp:cNvGraphicFramePr/>
                      <a:graphic xmlns:a="http://schemas.openxmlformats.org/drawingml/2006/main">
                        <a:graphicData uri="http://schemas.microsoft.com/office/word/2010/wordprocessingShape">
                          <wps:wsp>
                            <wps:cNvSpPr txBox="1"/>
                            <wps:spPr>
                              <a:xfrm>
                                <a:off x="0" y="0"/>
                                <a:ext cx="1173480" cy="276225"/>
                              </a:xfrm>
                              <a:prstGeom prst="rect">
                                <a:avLst/>
                              </a:prstGeom>
                              <a:noFill/>
                              <a:ln w="9525" cap="flat" cmpd="sng">
                                <a:solidFill>
                                  <a:srgbClr val="000000"/>
                                </a:solidFill>
                                <a:prstDash val="solid"/>
                                <a:miter/>
                                <a:headEnd type="none" w="med" len="med"/>
                                <a:tailEnd type="none" w="med" len="med"/>
                              </a:ln>
                              <a:effectLst/>
                            </wps:spPr>
                            <wps:txbx>
                              <w:txbxContent>
                                <w:p w14:paraId="1B31FE7F">
                                  <w:pPr>
                                    <w:jc w:val="center"/>
                                  </w:pPr>
                                  <w:r>
                                    <w:rPr>
                                      <w:rFonts w:hint="eastAsia"/>
                                      <w:lang w:eastAsia="zh-CN"/>
                                    </w:rPr>
                                    <w:t>低速断料</w:t>
                                  </w:r>
                                  <w:r>
                                    <w:rPr>
                                      <w:rFonts w:hint="eastAsia"/>
                                      <w:color w:val="auto"/>
                                      <w:lang w:eastAsia="zh-CN"/>
                                    </w:rPr>
                                    <w:t>机</w:t>
                                  </w:r>
                                  <w:r>
                                    <w:rPr>
                                      <w:rFonts w:hint="eastAsia"/>
                                      <w:color w:val="auto"/>
                                      <w:lang w:val="en-US" w:eastAsia="zh-CN"/>
                                    </w:rPr>
                                    <w:t>剪切</w:t>
                                  </w:r>
                                </w:p>
                              </w:txbxContent>
                            </wps:txbx>
                            <wps:bodyPr upright="1"/>
                          </wps:wsp>
                        </a:graphicData>
                      </a:graphic>
                    </wp:anchor>
                  </w:drawing>
                </mc:Choice>
                <mc:Fallback>
                  <w:pict>
                    <v:shape id="_x0000_s1026" o:spid="_x0000_s1026" o:spt="202" type="#_x0000_t202" style="position:absolute;left:0pt;margin-left:171.95pt;margin-top:7.5pt;height:21.75pt;width:92.4pt;z-index:251694080;mso-width-relative:page;mso-height-relative:page;" filled="f" stroked="t" coordsize="21600,21600" o:gfxdata="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Y+79YAAAAJAQAADwAAAAAAAAABACAAAAAi&#10;AAAAZHJzL2Rvd25yZXYueG1sUEsBAhQAFAAAAAgAh07iQHYM6uYMAgAAHwQAAA4AAAAAAAAAAQAg&#10;AAAAJQEAAGRycy9lMm9Eb2MueG1sUEsFBgAAAAAGAAYAWQEAAKMFAAAAAA==&#10;">
                      <v:fill on="f" focussize="0,0"/>
                      <v:stroke color="#000000" joinstyle="miter"/>
                      <v:imagedata o:title=""/>
                      <o:lock v:ext="edit" aspectratio="f"/>
                      <v:textbox>
                        <w:txbxContent>
                          <w:p w14:paraId="1B31FE7F">
                            <w:pPr>
                              <w:jc w:val="center"/>
                            </w:pPr>
                            <w:r>
                              <w:rPr>
                                <w:rFonts w:hint="eastAsia"/>
                                <w:lang w:eastAsia="zh-CN"/>
                              </w:rPr>
                              <w:t>低速断料</w:t>
                            </w:r>
                            <w:r>
                              <w:rPr>
                                <w:rFonts w:hint="eastAsia"/>
                                <w:color w:val="auto"/>
                                <w:lang w:eastAsia="zh-CN"/>
                              </w:rPr>
                              <w:t>机</w:t>
                            </w:r>
                            <w:r>
                              <w:rPr>
                                <w:rFonts w:hint="eastAsia"/>
                                <w:color w:val="auto"/>
                                <w:lang w:val="en-US" w:eastAsia="zh-CN"/>
                              </w:rPr>
                              <w:t>剪切</w:t>
                            </w:r>
                          </w:p>
                        </w:txbxContent>
                      </v:textbox>
                    </v:shape>
                  </w:pict>
                </mc:Fallback>
              </mc:AlternateContent>
            </w:r>
          </w:p>
          <w:p w14:paraId="43EE1189">
            <w:pPr>
              <w:pStyle w:val="4"/>
              <w:rPr>
                <w:bCs/>
                <w:color w:val="auto"/>
                <w:szCs w:val="24"/>
              </w:rPr>
            </w:pPr>
            <w:r>
              <w:rPr>
                <w:color w:val="auto"/>
              </w:rPr>
              <mc:AlternateContent>
                <mc:Choice Requires="wps">
                  <w:drawing>
                    <wp:anchor distT="0" distB="0" distL="114300" distR="114300" simplePos="0" relativeHeight="251697152" behindDoc="0" locked="0" layoutInCell="1" allowOverlap="1">
                      <wp:simplePos x="0" y="0"/>
                      <wp:positionH relativeFrom="column">
                        <wp:posOffset>5043170</wp:posOffset>
                      </wp:positionH>
                      <wp:positionV relativeFrom="paragraph">
                        <wp:posOffset>142240</wp:posOffset>
                      </wp:positionV>
                      <wp:extent cx="1068705" cy="276225"/>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1068705" cy="276225"/>
                              </a:xfrm>
                              <a:prstGeom prst="rect">
                                <a:avLst/>
                              </a:prstGeom>
                              <a:noFill/>
                              <a:ln>
                                <a:noFill/>
                              </a:ln>
                            </wps:spPr>
                            <wps:txbx>
                              <w:txbxContent>
                                <w:p w14:paraId="3B20A96F">
                                  <w:pPr>
                                    <w:jc w:val="center"/>
                                    <w:rPr>
                                      <w:rFonts w:hint="eastAsia" w:eastAsia="宋体"/>
                                      <w:lang w:eastAsia="zh-CN"/>
                                    </w:rPr>
                                  </w:pPr>
                                  <w:r>
                                    <w:rPr>
                                      <w:rFonts w:hint="eastAsia" w:eastAsia="宋体"/>
                                      <w:lang w:eastAsia="zh-CN"/>
                                    </w:rPr>
                                    <w:t>退货订单产品</w:t>
                                  </w:r>
                                </w:p>
                              </w:txbxContent>
                            </wps:txbx>
                            <wps:bodyPr upright="1"/>
                          </wps:wsp>
                        </a:graphicData>
                      </a:graphic>
                    </wp:anchor>
                  </w:drawing>
                </mc:Choice>
                <mc:Fallback>
                  <w:pict>
                    <v:shape id="_x0000_s1026" o:spid="_x0000_s1026" o:spt="202" type="#_x0000_t202" style="position:absolute;left:0pt;margin-left:397.1pt;margin-top:11.2pt;height:21.75pt;width:84.15pt;z-index:251697152;mso-width-relative:page;mso-height-relative:page;" filled="f" stroked="f" coordsize="21600,21600" o:gfxdata="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1l5XdcA&#10;AAAJAQAADwAAAAAAAAABACAAAAAiAAAAZHJzL2Rvd25yZXYueG1sUEsBAhQAFAAAAAgAh07iQCyk&#10;4squAQAAUgMAAA4AAAAAAAAAAQAgAAAAJgEAAGRycy9lMm9Eb2MueG1sUEsFBgAAAAAGAAYAWQEA&#10;AEYFAAAAAA==&#10;">
                      <v:fill on="f" focussize="0,0"/>
                      <v:stroke on="f"/>
                      <v:imagedata o:title=""/>
                      <o:lock v:ext="edit" aspectratio="f"/>
                      <v:textbox>
                        <w:txbxContent>
                          <w:p w14:paraId="3B20A96F">
                            <w:pPr>
                              <w:jc w:val="center"/>
                              <w:rPr>
                                <w:rFonts w:hint="eastAsia" w:eastAsia="宋体"/>
                                <w:lang w:eastAsia="zh-CN"/>
                              </w:rPr>
                            </w:pPr>
                            <w:r>
                              <w:rPr>
                                <w:rFonts w:hint="eastAsia" w:eastAsia="宋体"/>
                                <w:lang w:eastAsia="zh-CN"/>
                              </w:rPr>
                              <w:t>退货订单产品</w:t>
                            </w:r>
                          </w:p>
                        </w:txbxContent>
                      </v:textbox>
                    </v:shape>
                  </w:pict>
                </mc:Fallback>
              </mc:AlternateContent>
            </w:r>
            <w:r>
              <w:rPr>
                <w:color w:val="auto"/>
              </w:rPr>
              <mc:AlternateContent>
                <mc:Choice Requires="wps">
                  <w:drawing>
                    <wp:anchor distT="0" distB="0" distL="114300" distR="114300" simplePos="0" relativeHeight="251680768" behindDoc="0" locked="0" layoutInCell="1" allowOverlap="1">
                      <wp:simplePos x="0" y="0"/>
                      <wp:positionH relativeFrom="column">
                        <wp:posOffset>1835785</wp:posOffset>
                      </wp:positionH>
                      <wp:positionV relativeFrom="paragraph">
                        <wp:posOffset>33020</wp:posOffset>
                      </wp:positionV>
                      <wp:extent cx="351790" cy="1905"/>
                      <wp:effectExtent l="0" t="0" r="0" b="0"/>
                      <wp:wrapNone/>
                      <wp:docPr id="149" name="直接连接符 149"/>
                      <wp:cNvGraphicFramePr/>
                      <a:graphic xmlns:a="http://schemas.openxmlformats.org/drawingml/2006/main">
                        <a:graphicData uri="http://schemas.microsoft.com/office/word/2010/wordprocessingShape">
                          <wps:wsp>
                            <wps:cNvCnPr/>
                            <wps:spPr>
                              <a:xfrm>
                                <a:off x="0" y="0"/>
                                <a:ext cx="351790" cy="1905"/>
                              </a:xfrm>
                              <a:prstGeom prst="line">
                                <a:avLst/>
                              </a:prstGeom>
                              <a:ln w="9525" cap="flat" cmpd="sng">
                                <a:solidFill>
                                  <a:srgbClr val="000000"/>
                                </a:solidFill>
                                <a:prstDash val="dash"/>
                                <a:headEnd type="none" w="med" len="med"/>
                                <a:tailEnd type="none" w="med" len="med"/>
                              </a:ln>
                              <a:effectLst/>
                            </wps:spPr>
                            <wps:bodyPr/>
                          </wps:wsp>
                        </a:graphicData>
                      </a:graphic>
                    </wp:anchor>
                  </w:drawing>
                </mc:Choice>
                <mc:Fallback>
                  <w:pict>
                    <v:line id="_x0000_s1026" o:spid="_x0000_s1026" o:spt="20" style="position:absolute;left:0pt;margin-left:144.55pt;margin-top:2.6pt;height:0.15pt;width:27.7pt;z-index:251680768;mso-width-relative:page;mso-height-relative:page;" filled="f" stroked="t" coordsize="21600,21600" o:gfxdata="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QsViNYAAAAHAQAADwAAAAAAAAABACAAAAAiAAAAZHJzL2Rvd25yZXYueG1sUEsBAhQA&#10;FAAAAAgAh07iQBMyxJD0AQAA6wMAAA4AAAAAAAAAAQAgAAAAJQEAAGRycy9lMm9Eb2MueG1sUEsF&#10;BgAAAAAGAAYAWQEAAIsFAAAAAA==&#10;">
                      <v:fill on="f" focussize="0,0"/>
                      <v:stroke color="#000000" joinstyle="round" dashstyle="dash"/>
                      <v:imagedata o:title=""/>
                      <o:lock v:ext="edit" aspectratio="f"/>
                    </v:line>
                  </w:pict>
                </mc:Fallback>
              </mc:AlternateContent>
            </w:r>
            <w:r>
              <w:rPr>
                <w:color w:val="auto"/>
              </w:rPr>
              <mc:AlternateContent>
                <mc:Choice Requires="wps">
                  <w:drawing>
                    <wp:anchor distT="0" distB="0" distL="114300" distR="114300" simplePos="0" relativeHeight="251670528" behindDoc="0" locked="0" layoutInCell="1" allowOverlap="1">
                      <wp:simplePos x="0" y="0"/>
                      <wp:positionH relativeFrom="column">
                        <wp:posOffset>3815080</wp:posOffset>
                      </wp:positionH>
                      <wp:positionV relativeFrom="paragraph">
                        <wp:posOffset>139065</wp:posOffset>
                      </wp:positionV>
                      <wp:extent cx="1076960" cy="276225"/>
                      <wp:effectExtent l="4445" t="4445" r="23495" b="5080"/>
                      <wp:wrapNone/>
                      <wp:docPr id="39" name="文本框 39"/>
                      <wp:cNvGraphicFramePr/>
                      <a:graphic xmlns:a="http://schemas.openxmlformats.org/drawingml/2006/main">
                        <a:graphicData uri="http://schemas.microsoft.com/office/word/2010/wordprocessingShape">
                          <wps:wsp>
                            <wps:cNvSpPr txBox="1"/>
                            <wps:spPr>
                              <a:xfrm>
                                <a:off x="0" y="0"/>
                                <a:ext cx="1076960" cy="276225"/>
                              </a:xfrm>
                              <a:prstGeom prst="rect">
                                <a:avLst/>
                              </a:prstGeom>
                              <a:noFill/>
                              <a:ln w="9525" cap="flat" cmpd="sng">
                                <a:solidFill>
                                  <a:srgbClr val="000000"/>
                                </a:solidFill>
                                <a:prstDash val="solid"/>
                                <a:miter/>
                                <a:headEnd type="none" w="med" len="med"/>
                                <a:tailEnd type="none" w="med" len="med"/>
                              </a:ln>
                              <a:effectLst/>
                            </wps:spPr>
                            <wps:txbx>
                              <w:txbxContent>
                                <w:p w14:paraId="277BC3BF">
                                  <w:pPr>
                                    <w:jc w:val="center"/>
                                  </w:pPr>
                                  <w:r>
                                    <w:rPr>
                                      <w:rFonts w:hint="eastAsia"/>
                                      <w:lang w:eastAsia="zh-CN"/>
                                    </w:rPr>
                                    <w:t>粉碎机粉碎粉</w:t>
                                  </w:r>
                                  <w:r>
                                    <w:rPr>
                                      <w:rFonts w:hint="eastAsia"/>
                                    </w:rPr>
                                    <w:t>碎</w:t>
                                  </w:r>
                                </w:p>
                              </w:txbxContent>
                            </wps:txbx>
                            <wps:bodyPr upright="1"/>
                          </wps:wsp>
                        </a:graphicData>
                      </a:graphic>
                    </wp:anchor>
                  </w:drawing>
                </mc:Choice>
                <mc:Fallback>
                  <w:pict>
                    <v:shape id="_x0000_s1026" o:spid="_x0000_s1026" o:spt="202" type="#_x0000_t202" style="position:absolute;left:0pt;margin-left:300.4pt;margin-top:10.95pt;height:21.75pt;width:84.8pt;z-index:251670528;mso-width-relative:page;mso-height-relative:page;" filled="f" stroked="t" coordsize="21600,21600" o:gfxdata="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6XM+fWAAAACQEAAA8AAAAAAAAAAQAgAAAAIgAA&#10;AGRycy9kb3ducmV2LnhtbFBLAQIUABQAAAAIAIdO4kCOKllVCgIAAB0EAAAOAAAAAAAAAAEAIAAA&#10;ACUBAABkcnMvZTJvRG9jLnhtbFBLBQYAAAAABgAGAFkBAAChBQAAAAA=&#10;">
                      <v:fill on="f" focussize="0,0"/>
                      <v:stroke color="#000000" joinstyle="miter"/>
                      <v:imagedata o:title=""/>
                      <o:lock v:ext="edit" aspectratio="f"/>
                      <v:textbox>
                        <w:txbxContent>
                          <w:p w14:paraId="277BC3BF">
                            <w:pPr>
                              <w:jc w:val="center"/>
                            </w:pPr>
                            <w:r>
                              <w:rPr>
                                <w:rFonts w:hint="eastAsia"/>
                                <w:lang w:eastAsia="zh-CN"/>
                              </w:rPr>
                              <w:t>粉碎机粉碎粉</w:t>
                            </w:r>
                            <w:r>
                              <w:rPr>
                                <w:rFonts w:hint="eastAsia"/>
                              </w:rPr>
                              <w:t>碎</w:t>
                            </w:r>
                          </w:p>
                        </w:txbxContent>
                      </v:textbox>
                    </v:shape>
                  </w:pict>
                </mc:Fallback>
              </mc:AlternateContent>
            </w:r>
          </w:p>
          <w:p w14:paraId="3A828601">
            <w:pPr>
              <w:pStyle w:val="4"/>
              <w:rPr>
                <w:color w:val="auto"/>
                <w:spacing w:val="6"/>
                <w:szCs w:val="24"/>
              </w:rPr>
            </w:pPr>
            <w:r>
              <w:rPr>
                <w:color w:val="auto"/>
              </w:rPr>
              <mc:AlternateContent>
                <mc:Choice Requires="wps">
                  <w:drawing>
                    <wp:anchor distT="0" distB="0" distL="114300" distR="114300" simplePos="0" relativeHeight="251696128" behindDoc="0" locked="0" layoutInCell="1" allowOverlap="1">
                      <wp:simplePos x="0" y="0"/>
                      <wp:positionH relativeFrom="column">
                        <wp:posOffset>4886960</wp:posOffset>
                      </wp:positionH>
                      <wp:positionV relativeFrom="paragraph">
                        <wp:posOffset>93345</wp:posOffset>
                      </wp:positionV>
                      <wp:extent cx="267970" cy="0"/>
                      <wp:effectExtent l="0" t="38100" r="17780" b="38100"/>
                      <wp:wrapNone/>
                      <wp:docPr id="185" name="直接连接符 185"/>
                      <wp:cNvGraphicFramePr/>
                      <a:graphic xmlns:a="http://schemas.openxmlformats.org/drawingml/2006/main">
                        <a:graphicData uri="http://schemas.microsoft.com/office/word/2010/wordprocessingShape">
                          <wps:wsp>
                            <wps:cNvCnPr/>
                            <wps:spPr>
                              <a:xfrm>
                                <a:off x="0" y="0"/>
                                <a:ext cx="267970" cy="0"/>
                              </a:xfrm>
                              <a:prstGeom prst="line">
                                <a:avLst/>
                              </a:prstGeom>
                              <a:ln w="9525" cap="flat" cmpd="sng">
                                <a:solidFill>
                                  <a:srgbClr val="000000"/>
                                </a:solidFill>
                                <a:prstDash val="dash"/>
                                <a:headEnd type="triangle" w="med" len="med"/>
                                <a:tailEnd type="none" w="med" len="med"/>
                              </a:ln>
                              <a:effectLst/>
                            </wps:spPr>
                            <wps:bodyPr/>
                          </wps:wsp>
                        </a:graphicData>
                      </a:graphic>
                    </wp:anchor>
                  </w:drawing>
                </mc:Choice>
                <mc:Fallback>
                  <w:pict>
                    <v:line id="_x0000_s1026" o:spid="_x0000_s1026" o:spt="20" style="position:absolute;left:0pt;margin-left:384.8pt;margin-top:7.35pt;height:0pt;width:21.1pt;z-index:251696128;mso-width-relative:page;mso-height-relative:page;" filled="f" stroked="t" coordsize="21600,21600" o:gfxdata="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2u36f2AAAAAkBAAAPAAAAAAAAAAEAIAAAACIAAABkcnMvZG93bnJldi54&#10;bWxQSwECFAAUAAAACACHTuJAfKJThPoBAADsAwAADgAAAAAAAAABACAAAAAnAQAAZHJzL2Uyb0Rv&#10;Yy54bWxQSwUGAAAAAAYABgBZAQAAkwUAAAAA&#10;">
                      <v:fill on="f" focussize="0,0"/>
                      <v:stroke color="#000000" joinstyle="round" dashstyle="dash" startarrow="block"/>
                      <v:imagedata o:title=""/>
                      <o:lock v:ext="edit" aspectratio="f"/>
                    </v:line>
                  </w:pict>
                </mc:Fallback>
              </mc:AlternateContent>
            </w:r>
            <w:r>
              <w:rPr>
                <w:color w:val="auto"/>
                <w:szCs w:val="24"/>
              </w:rPr>
              <mc:AlternateContent>
                <mc:Choice Requires="wps">
                  <w:drawing>
                    <wp:anchor distT="0" distB="0" distL="114300" distR="114300" simplePos="0" relativeHeight="251677696" behindDoc="0" locked="0" layoutInCell="1" allowOverlap="1">
                      <wp:simplePos x="0" y="0"/>
                      <wp:positionH relativeFrom="column">
                        <wp:posOffset>1831340</wp:posOffset>
                      </wp:positionH>
                      <wp:positionV relativeFrom="paragraph">
                        <wp:posOffset>92075</wp:posOffset>
                      </wp:positionV>
                      <wp:extent cx="1977390" cy="381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1977390" cy="3810"/>
                              </a:xfrm>
                              <a:prstGeom prst="line">
                                <a:avLst/>
                              </a:prstGeom>
                              <a:ln w="9525" cap="flat" cmpd="sng">
                                <a:solidFill>
                                  <a:srgbClr val="000000"/>
                                </a:solidFill>
                                <a:prstDash val="dash"/>
                                <a:round/>
                                <a:headEnd type="none" w="med" len="med"/>
                                <a:tailEnd type="none" w="med" len="med"/>
                              </a:ln>
                            </wps:spPr>
                            <wps:bodyPr upright="1"/>
                          </wps:wsp>
                        </a:graphicData>
                      </a:graphic>
                    </wp:anchor>
                  </w:drawing>
                </mc:Choice>
                <mc:Fallback>
                  <w:pict>
                    <v:line id="_x0000_s1026" o:spid="_x0000_s1026" o:spt="20" style="position:absolute;left:0pt;margin-left:144.2pt;margin-top:7.25pt;height:0.3pt;width:155.7pt;z-index:251677696;mso-width-relative:page;mso-height-relative:page;" filled="f" stroked="t" coordsize="21600,21600" o:gfxdata="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SAifR2AAAAAkBAAAPAAAAAAAAAAEAIAAAACIAAABkcnMvZG93&#10;bnJldi54bWxQSwECFAAUAAAACACHTuJAD/L7ygACAADyAwAADgAAAAAAAAABACAAAAAnAQAAZHJz&#10;L2Uyb0RvYy54bWxQSwUGAAAAAAYABgBZAQAAmQUAAAAA&#10;">
                      <v:fill on="f" focussize="0,0"/>
                      <v:stroke color="#000000" joinstyle="round" dashstyle="dash"/>
                      <v:imagedata o:title=""/>
                      <o:lock v:ext="edit" aspectratio="f"/>
                    </v:line>
                  </w:pict>
                </mc:Fallback>
              </mc:AlternateContent>
            </w:r>
          </w:p>
          <w:p w14:paraId="3FBD31FC">
            <w:pPr>
              <w:spacing w:before="312" w:beforeLines="100" w:after="156" w:afterLines="50" w:line="360" w:lineRule="auto"/>
              <w:jc w:val="center"/>
              <w:rPr>
                <w:b/>
                <w:bCs/>
                <w:color w:val="auto"/>
                <w:spacing w:val="6"/>
                <w:szCs w:val="21"/>
              </w:rPr>
            </w:pPr>
            <w:r>
              <w:rPr>
                <w:color w:val="auto"/>
                <w:sz w:val="24"/>
              </w:rPr>
              <mc:AlternateContent>
                <mc:Choice Requires="wps">
                  <w:drawing>
                    <wp:anchor distT="0" distB="0" distL="114300" distR="114300" simplePos="0" relativeHeight="251685888" behindDoc="0" locked="0" layoutInCell="1" allowOverlap="1">
                      <wp:simplePos x="0" y="0"/>
                      <wp:positionH relativeFrom="column">
                        <wp:posOffset>66675</wp:posOffset>
                      </wp:positionH>
                      <wp:positionV relativeFrom="paragraph">
                        <wp:posOffset>107315</wp:posOffset>
                      </wp:positionV>
                      <wp:extent cx="1957705" cy="276225"/>
                      <wp:effectExtent l="4445" t="4445" r="19050" b="5080"/>
                      <wp:wrapNone/>
                      <wp:docPr id="25" name="文本框 25"/>
                      <wp:cNvGraphicFramePr/>
                      <a:graphic xmlns:a="http://schemas.openxmlformats.org/drawingml/2006/main">
                        <a:graphicData uri="http://schemas.microsoft.com/office/word/2010/wordprocessingShape">
                          <wps:wsp>
                            <wps:cNvSpPr txBox="1"/>
                            <wps:spPr>
                              <a:xfrm>
                                <a:off x="0" y="0"/>
                                <a:ext cx="1957705" cy="276225"/>
                              </a:xfrm>
                              <a:prstGeom prst="rect">
                                <a:avLst/>
                              </a:prstGeom>
                              <a:noFill/>
                              <a:ln w="9525" cap="flat" cmpd="sng">
                                <a:solidFill>
                                  <a:srgbClr val="000000"/>
                                </a:solidFill>
                                <a:prstDash val="dash"/>
                                <a:miter/>
                                <a:headEnd type="none" w="med" len="med"/>
                                <a:tailEnd type="none" w="med" len="med"/>
                              </a:ln>
                              <a:effectLst/>
                            </wps:spPr>
                            <wps:txbx>
                              <w:txbxContent>
                                <w:p w14:paraId="34E37177">
                                  <w:pPr>
                                    <w:jc w:val="center"/>
                                    <w:rPr>
                                      <w:rFonts w:eastAsia="宋体"/>
                                    </w:rPr>
                                  </w:pPr>
                                  <w:r>
                                    <w:rPr>
                                      <w:rFonts w:hint="eastAsia" w:eastAsia="宋体"/>
                                    </w:rPr>
                                    <w:t>注：G废气，N噪声，S固废</w:t>
                                  </w:r>
                                </w:p>
                              </w:txbxContent>
                            </wps:txbx>
                            <wps:bodyPr upright="1"/>
                          </wps:wsp>
                        </a:graphicData>
                      </a:graphic>
                    </wp:anchor>
                  </w:drawing>
                </mc:Choice>
                <mc:Fallback>
                  <w:pict>
                    <v:shape id="_x0000_s1026" o:spid="_x0000_s1026" o:spt="202" type="#_x0000_t202" style="position:absolute;left:0pt;margin-left:5.25pt;margin-top:8.45pt;height:21.75pt;width:154.15pt;z-index:251685888;mso-width-relative:page;mso-height-relative:page;" filled="f" stroked="t" coordsize="21600,21600" o:gfxdata="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7mSuvYAAAACAEAAA8AAAAAAAAAAQAgAAAA&#10;IgAAAGRycy9kb3ducmV2LnhtbFBLAQIUABQAAAAIAIdO4kA75ee0CwIAABwEAAAOAAAAAAAAAAEA&#10;IAAAACcBAABkcnMvZTJvRG9jLnhtbFBLBQYAAAAABgAGAFkBAACkBQAAAAA=&#10;">
                      <v:fill on="f" focussize="0,0"/>
                      <v:stroke color="#000000" joinstyle="miter" dashstyle="dash"/>
                      <v:imagedata o:title=""/>
                      <o:lock v:ext="edit" aspectratio="f"/>
                      <v:textbox>
                        <w:txbxContent>
                          <w:p w14:paraId="34E37177">
                            <w:pPr>
                              <w:jc w:val="center"/>
                              <w:rPr>
                                <w:rFonts w:eastAsia="宋体"/>
                              </w:rPr>
                            </w:pPr>
                            <w:r>
                              <w:rPr>
                                <w:rFonts w:hint="eastAsia" w:eastAsia="宋体"/>
                              </w:rPr>
                              <w:t>注：G废气，N噪声，S固废</w:t>
                            </w:r>
                          </w:p>
                        </w:txbxContent>
                      </v:textbox>
                    </v:shape>
                  </w:pict>
                </mc:Fallback>
              </mc:AlternateContent>
            </w:r>
          </w:p>
          <w:p w14:paraId="3A666AF3">
            <w:pPr>
              <w:spacing w:before="312" w:beforeLines="100" w:after="156" w:afterLines="50" w:line="360" w:lineRule="auto"/>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pacing w:val="6"/>
                <w:sz w:val="24"/>
                <w:szCs w:val="24"/>
              </w:rPr>
              <w:t>图</w:t>
            </w:r>
            <w:r>
              <w:rPr>
                <w:rFonts w:hint="default" w:ascii="Times New Roman" w:hAnsi="Times New Roman" w:cs="Times New Roman"/>
                <w:b/>
                <w:bCs/>
                <w:color w:val="auto"/>
                <w:spacing w:val="6"/>
                <w:sz w:val="24"/>
                <w:szCs w:val="24"/>
                <w:lang w:val="en-US" w:eastAsia="zh-CN"/>
              </w:rPr>
              <w:t>2-</w:t>
            </w:r>
            <w:r>
              <w:rPr>
                <w:rFonts w:hint="eastAsia" w:ascii="Times New Roman" w:hAnsi="Times New Roman" w:cs="Times New Roman"/>
                <w:b/>
                <w:bCs/>
                <w:color w:val="auto"/>
                <w:spacing w:val="6"/>
                <w:sz w:val="24"/>
                <w:szCs w:val="24"/>
                <w:lang w:val="en-US" w:eastAsia="zh-CN"/>
              </w:rPr>
              <w:t>2</w:t>
            </w:r>
            <w:r>
              <w:rPr>
                <w:rFonts w:hint="default" w:ascii="Times New Roman" w:hAnsi="Times New Roman" w:cs="Times New Roman"/>
                <w:b/>
                <w:bCs/>
                <w:color w:val="auto"/>
                <w:spacing w:val="6"/>
                <w:sz w:val="24"/>
                <w:szCs w:val="24"/>
              </w:rPr>
              <w:t xml:space="preserve">  注塑件</w:t>
            </w:r>
            <w:r>
              <w:rPr>
                <w:rFonts w:hint="default" w:ascii="Times New Roman" w:hAnsi="Times New Roman" w:cs="Times New Roman"/>
                <w:b/>
                <w:bCs/>
                <w:color w:val="auto"/>
                <w:sz w:val="24"/>
                <w:szCs w:val="24"/>
              </w:rPr>
              <w:t>生产工艺流程及排污节点图</w:t>
            </w:r>
          </w:p>
          <w:p w14:paraId="4EB7F3C6">
            <w:pPr>
              <w:spacing w:line="360" w:lineRule="auto"/>
              <w:ind w:firstLine="482" w:firstLineChars="200"/>
              <w:rPr>
                <w:rFonts w:ascii="Times New Roman" w:hAnsi="Times New Roman" w:cs="Times New Roman"/>
                <w:b/>
                <w:color w:val="auto"/>
                <w:sz w:val="28"/>
                <w:szCs w:val="28"/>
                <w:highlight w:val="none"/>
              </w:rPr>
            </w:pPr>
            <w:r>
              <w:rPr>
                <w:rFonts w:ascii="Times New Roman" w:hAnsi="Times New Roman" w:cs="Times New Roman"/>
                <w:b/>
                <w:color w:val="auto"/>
                <w:sz w:val="24"/>
                <w:highlight w:val="none"/>
              </w:rPr>
              <w:t>工艺流程简述</w:t>
            </w:r>
            <w:r>
              <w:rPr>
                <w:rFonts w:ascii="Times New Roman" w:hAnsi="Times New Roman" w:cs="Times New Roman"/>
                <w:b/>
                <w:color w:val="auto"/>
                <w:sz w:val="28"/>
                <w:szCs w:val="28"/>
                <w:highlight w:val="none"/>
              </w:rPr>
              <w:t>：</w:t>
            </w:r>
          </w:p>
          <w:p w14:paraId="0B17332A">
            <w:pPr>
              <w:pStyle w:val="60"/>
              <w:spacing w:line="360" w:lineRule="auto"/>
              <w:rPr>
                <w:rFonts w:hint="eastAsia" w:ascii="Times New Roman" w:hAnsi="Times New Roman" w:eastAsia="宋体" w:cs="Times New Roman"/>
                <w:color w:val="auto"/>
                <w:sz w:val="24"/>
                <w:szCs w:val="22"/>
                <w:lang w:eastAsia="zh-CN"/>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lang w:eastAsia="zh-CN"/>
              </w:rPr>
              <w:t>）上料、</w:t>
            </w:r>
            <w:r>
              <w:rPr>
                <w:rFonts w:hint="eastAsia"/>
                <w:color w:val="auto"/>
                <w:sz w:val="24"/>
                <w:highlight w:val="none"/>
                <w:lang w:eastAsia="zh-CN"/>
              </w:rPr>
              <w:t>混料：</w:t>
            </w:r>
            <w:r>
              <w:rPr>
                <w:rFonts w:hint="eastAsia" w:ascii="Times New Roman" w:hAnsi="Times New Roman" w:eastAsia="宋体" w:cs="Times New Roman"/>
                <w:color w:val="auto"/>
                <w:sz w:val="24"/>
                <w:szCs w:val="22"/>
              </w:rPr>
              <w:t>将外购原料</w:t>
            </w:r>
            <w:r>
              <w:rPr>
                <w:rFonts w:hint="eastAsia"/>
                <w:color w:val="auto"/>
                <w:sz w:val="24"/>
              </w:rPr>
              <w:t>PP</w:t>
            </w:r>
            <w:r>
              <w:rPr>
                <w:rFonts w:hint="eastAsia" w:ascii="Times New Roman" w:hAnsi="Times New Roman" w:eastAsia="宋体" w:cs="Times New Roman"/>
                <w:color w:val="auto"/>
                <w:sz w:val="24"/>
                <w:szCs w:val="22"/>
                <w:lang w:val="en-US" w:eastAsia="zh-CN"/>
              </w:rPr>
              <w:t>颗粒</w:t>
            </w:r>
            <w:r>
              <w:rPr>
                <w:rFonts w:hint="eastAsia"/>
                <w:color w:val="auto"/>
                <w:sz w:val="24"/>
              </w:rPr>
              <w:t>或PE</w:t>
            </w:r>
            <w:r>
              <w:rPr>
                <w:rFonts w:hint="eastAsia" w:ascii="Times New Roman" w:hAnsi="Times New Roman" w:eastAsia="宋体" w:cs="Times New Roman"/>
                <w:color w:val="auto"/>
                <w:sz w:val="24"/>
                <w:szCs w:val="22"/>
                <w:lang w:val="en-US" w:eastAsia="zh-CN"/>
              </w:rPr>
              <w:t>颗粒</w:t>
            </w:r>
            <w:r>
              <w:rPr>
                <w:rFonts w:hint="eastAsia"/>
                <w:color w:val="auto"/>
                <w:sz w:val="24"/>
              </w:rPr>
              <w:t>中的一种与色母</w:t>
            </w:r>
            <w:r>
              <w:rPr>
                <w:rFonts w:hint="eastAsia"/>
                <w:color w:val="auto"/>
                <w:sz w:val="24"/>
                <w:lang w:val="en-US" w:eastAsia="zh-CN"/>
              </w:rPr>
              <w:t>颗</w:t>
            </w:r>
            <w:r>
              <w:rPr>
                <w:rFonts w:hint="eastAsia" w:ascii="Times New Roman" w:hAnsi="Times New Roman" w:eastAsia="宋体" w:cs="Times New Roman"/>
                <w:color w:val="auto"/>
                <w:sz w:val="24"/>
                <w:szCs w:val="22"/>
                <w:lang w:val="en-US" w:eastAsia="zh-CN"/>
              </w:rPr>
              <w:t>粒</w:t>
            </w:r>
            <w:r>
              <w:rPr>
                <w:rFonts w:hint="eastAsia" w:ascii="Times New Roman" w:hAnsi="Times New Roman" w:eastAsia="宋体" w:cs="Times New Roman"/>
                <w:color w:val="auto"/>
                <w:sz w:val="24"/>
                <w:szCs w:val="22"/>
              </w:rPr>
              <w:t>按照一定的比例</w:t>
            </w:r>
            <w:r>
              <w:rPr>
                <w:rFonts w:hint="eastAsia" w:ascii="Times New Roman" w:hAnsi="Times New Roman" w:cs="Times New Roman"/>
                <w:color w:val="auto"/>
                <w:sz w:val="24"/>
                <w:lang w:eastAsia="zh-CN"/>
              </w:rPr>
              <w:t>通过人工投料的方式送入混料机</w:t>
            </w:r>
            <w:r>
              <w:rPr>
                <w:rFonts w:hint="eastAsia" w:ascii="Times New Roman" w:hAnsi="Times New Roman" w:eastAsia="宋体" w:cs="Times New Roman"/>
                <w:color w:val="auto"/>
                <w:sz w:val="24"/>
                <w:szCs w:val="22"/>
                <w:lang w:eastAsia="zh-CN"/>
              </w:rPr>
              <w:t>混合</w:t>
            </w:r>
            <w:r>
              <w:rPr>
                <w:rFonts w:hint="eastAsia" w:ascii="Times New Roman" w:hAnsi="Times New Roman" w:eastAsia="宋体" w:cs="Times New Roman"/>
                <w:color w:val="auto"/>
                <w:sz w:val="24"/>
                <w:szCs w:val="22"/>
              </w:rPr>
              <w:t>均匀。</w:t>
            </w:r>
            <w:r>
              <w:rPr>
                <w:rFonts w:hint="eastAsia" w:cs="Times New Roman"/>
                <w:color w:val="auto"/>
                <w:sz w:val="24"/>
                <w:szCs w:val="22"/>
                <w:lang w:eastAsia="zh-CN"/>
              </w:rPr>
              <w:t>项目原料</w:t>
            </w:r>
            <w:r>
              <w:rPr>
                <w:rFonts w:hint="eastAsia"/>
                <w:color w:val="auto"/>
                <w:sz w:val="24"/>
              </w:rPr>
              <w:t>PP</w:t>
            </w:r>
            <w:r>
              <w:rPr>
                <w:rFonts w:hint="eastAsia" w:ascii="Times New Roman" w:hAnsi="Times New Roman" w:eastAsia="宋体" w:cs="Times New Roman"/>
                <w:color w:val="auto"/>
                <w:sz w:val="24"/>
                <w:szCs w:val="22"/>
                <w:lang w:val="en-US" w:eastAsia="zh-CN"/>
              </w:rPr>
              <w:t>颗粒</w:t>
            </w:r>
            <w:r>
              <w:rPr>
                <w:rFonts w:hint="eastAsia" w:eastAsia="宋体"/>
                <w:color w:val="auto"/>
                <w:sz w:val="24"/>
                <w:lang w:eastAsia="zh-CN"/>
              </w:rPr>
              <w:t>、</w:t>
            </w:r>
            <w:r>
              <w:rPr>
                <w:rFonts w:hint="eastAsia"/>
                <w:color w:val="auto"/>
                <w:sz w:val="24"/>
              </w:rPr>
              <w:t>PE</w:t>
            </w:r>
            <w:r>
              <w:rPr>
                <w:rFonts w:hint="eastAsia" w:ascii="Times New Roman" w:hAnsi="Times New Roman" w:eastAsia="宋体" w:cs="Times New Roman"/>
                <w:color w:val="auto"/>
                <w:sz w:val="24"/>
                <w:szCs w:val="22"/>
                <w:lang w:val="en-US" w:eastAsia="zh-CN"/>
              </w:rPr>
              <w:t>颗粒</w:t>
            </w:r>
            <w:r>
              <w:rPr>
                <w:rFonts w:hint="eastAsia" w:eastAsia="宋体"/>
                <w:color w:val="auto"/>
                <w:sz w:val="24"/>
                <w:lang w:eastAsia="zh-CN"/>
              </w:rPr>
              <w:t>、</w:t>
            </w:r>
            <w:r>
              <w:rPr>
                <w:rFonts w:hint="eastAsia"/>
                <w:color w:val="auto"/>
                <w:sz w:val="24"/>
              </w:rPr>
              <w:t>色母</w:t>
            </w:r>
            <w:r>
              <w:rPr>
                <w:rFonts w:hint="eastAsia"/>
                <w:color w:val="auto"/>
                <w:sz w:val="24"/>
                <w:lang w:val="en-US" w:eastAsia="zh-CN"/>
              </w:rPr>
              <w:t>颗</w:t>
            </w:r>
            <w:r>
              <w:rPr>
                <w:rFonts w:hint="eastAsia" w:ascii="Times New Roman" w:hAnsi="Times New Roman" w:eastAsia="宋体" w:cs="Times New Roman"/>
                <w:color w:val="auto"/>
                <w:sz w:val="24"/>
                <w:szCs w:val="22"/>
                <w:lang w:val="en-US" w:eastAsia="zh-CN"/>
              </w:rPr>
              <w:t>粒均为颗粒状，粒径在2mm-5mm之间，粒径较大，故</w:t>
            </w:r>
            <w:r>
              <w:rPr>
                <w:rFonts w:hint="eastAsia"/>
                <w:color w:val="auto"/>
                <w:sz w:val="24"/>
                <w:highlight w:val="none"/>
                <w:lang w:eastAsia="zh-CN"/>
              </w:rPr>
              <w:t>上料、混料过程中不考虑粉尘的产生。</w:t>
            </w:r>
          </w:p>
          <w:p w14:paraId="184F1098">
            <w:pPr>
              <w:pStyle w:val="60"/>
              <w:spacing w:line="360" w:lineRule="auto"/>
              <w:rPr>
                <w:rFonts w:hint="eastAsia"/>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废包装袋</w:t>
            </w:r>
            <w:r>
              <w:rPr>
                <w:rFonts w:hint="eastAsia"/>
                <w:color w:val="auto"/>
                <w:sz w:val="24"/>
                <w:lang w:val="en-US" w:eastAsia="zh-CN"/>
              </w:rPr>
              <w:t>S1</w:t>
            </w:r>
            <w:r>
              <w:rPr>
                <w:rFonts w:hint="eastAsia"/>
                <w:color w:val="auto"/>
                <w:sz w:val="24"/>
              </w:rPr>
              <w:t>。</w:t>
            </w:r>
          </w:p>
          <w:p w14:paraId="0C3778CD">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2</w:t>
            </w:r>
            <w:r>
              <w:rPr>
                <w:rFonts w:hint="eastAsia"/>
                <w:color w:val="auto"/>
                <w:sz w:val="24"/>
                <w:highlight w:val="none"/>
                <w:lang w:eastAsia="zh-CN"/>
              </w:rPr>
              <w:t>）注塑成型：将</w:t>
            </w:r>
            <w:r>
              <w:rPr>
                <w:rFonts w:hint="eastAsia" w:ascii="Times New Roman" w:hAnsi="Times New Roman" w:eastAsia="宋体" w:cs="Times New Roman"/>
                <w:color w:val="auto"/>
                <w:sz w:val="24"/>
                <w:szCs w:val="22"/>
                <w:lang w:eastAsia="zh-CN"/>
              </w:rPr>
              <w:t>混合</w:t>
            </w:r>
            <w:r>
              <w:rPr>
                <w:rFonts w:hint="eastAsia" w:ascii="Times New Roman" w:hAnsi="Times New Roman" w:eastAsia="宋体" w:cs="Times New Roman"/>
                <w:color w:val="auto"/>
                <w:sz w:val="24"/>
                <w:szCs w:val="22"/>
              </w:rPr>
              <w:t>均匀</w:t>
            </w:r>
            <w:r>
              <w:rPr>
                <w:rFonts w:ascii="Times New Roman" w:hAnsi="Times New Roman" w:eastAsia="宋体" w:cs="Times New Roman"/>
                <w:color w:val="auto"/>
                <w:sz w:val="24"/>
                <w:szCs w:val="22"/>
              </w:rPr>
              <w:t>后的物料</w:t>
            </w:r>
            <w:r>
              <w:rPr>
                <w:rFonts w:hint="eastAsia"/>
                <w:color w:val="auto"/>
                <w:sz w:val="24"/>
                <w:highlight w:val="none"/>
                <w:lang w:eastAsia="zh-CN"/>
              </w:rPr>
              <w:t>通过人工投料的方式送入注塑机料斗内，运行注塑机。注塑机采用电加热，温度控制为190-210℃，原料加热到熔融状态后，熔融的物料在螺杆的作用下挤出注入至模具，并在模具内成型。</w:t>
            </w:r>
          </w:p>
          <w:p w14:paraId="78D450E1">
            <w:pPr>
              <w:pStyle w:val="60"/>
              <w:spacing w:line="360" w:lineRule="auto"/>
              <w:rPr>
                <w:rFonts w:hint="eastAsia"/>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注塑工序废气</w:t>
            </w:r>
            <w:r>
              <w:rPr>
                <w:rFonts w:hint="eastAsia"/>
                <w:color w:val="auto"/>
                <w:sz w:val="24"/>
                <w:lang w:val="en-US" w:eastAsia="zh-CN"/>
              </w:rPr>
              <w:t>G1（非甲烷总烃、臭气浓度）、边角料S2</w:t>
            </w:r>
            <w:r>
              <w:rPr>
                <w:rFonts w:hint="eastAsia"/>
                <w:color w:val="auto"/>
                <w:sz w:val="24"/>
              </w:rPr>
              <w:t>。</w:t>
            </w:r>
          </w:p>
          <w:p w14:paraId="36002084">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3</w:t>
            </w:r>
            <w:r>
              <w:rPr>
                <w:rFonts w:hint="eastAsia"/>
                <w:color w:val="auto"/>
                <w:sz w:val="24"/>
                <w:highlight w:val="none"/>
                <w:lang w:eastAsia="zh-CN"/>
              </w:rPr>
              <w:t>）冷却：设备冷却采用循环水冷的方式。</w:t>
            </w:r>
            <w:r>
              <w:rPr>
                <w:rFonts w:hint="eastAsia"/>
                <w:color w:val="auto"/>
                <w:sz w:val="24"/>
                <w:highlight w:val="none"/>
                <w:lang w:eastAsia="zh-CN"/>
              </w:rPr>
              <w:t>注塑成型完成后，启动冷却水泵，利用循环冷却水对注塑成型件进行间接降温</w:t>
            </w:r>
            <w:r>
              <w:rPr>
                <w:rFonts w:hint="eastAsia"/>
                <w:color w:val="auto"/>
                <w:sz w:val="24"/>
                <w:highlight w:val="none"/>
                <w:lang w:eastAsia="zh-CN"/>
              </w:rPr>
              <w:t>，使其最后定型，然后将成型件自模具内取出。</w:t>
            </w:r>
          </w:p>
          <w:p w14:paraId="192780B0">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4</w:t>
            </w:r>
            <w:r>
              <w:rPr>
                <w:rFonts w:hint="eastAsia"/>
                <w:color w:val="auto"/>
                <w:sz w:val="24"/>
                <w:highlight w:val="none"/>
                <w:lang w:eastAsia="zh-CN"/>
              </w:rPr>
              <w:t>）检验入库：人工检验，合格品入库。</w:t>
            </w:r>
          </w:p>
          <w:p w14:paraId="5F1EFC72">
            <w:pPr>
              <w:pStyle w:val="60"/>
              <w:spacing w:line="360" w:lineRule="auto"/>
              <w:rPr>
                <w:rFonts w:hint="eastAsia"/>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w:t>
            </w:r>
            <w:r>
              <w:rPr>
                <w:rFonts w:hint="eastAsia"/>
                <w:color w:val="auto"/>
                <w:sz w:val="24"/>
                <w:lang w:eastAsia="zh-CN"/>
              </w:rPr>
              <w:t>不合格品</w:t>
            </w:r>
            <w:r>
              <w:rPr>
                <w:rFonts w:hint="eastAsia"/>
                <w:color w:val="auto"/>
                <w:sz w:val="24"/>
                <w:lang w:val="en-US" w:eastAsia="zh-CN"/>
              </w:rPr>
              <w:t>S3</w:t>
            </w:r>
            <w:r>
              <w:rPr>
                <w:rFonts w:hint="eastAsia"/>
                <w:color w:val="auto"/>
                <w:sz w:val="24"/>
                <w:lang w:eastAsia="zh-CN"/>
              </w:rPr>
              <w:t>。</w:t>
            </w:r>
          </w:p>
          <w:p w14:paraId="78A3CCF1">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5</w:t>
            </w:r>
            <w:r>
              <w:rPr>
                <w:rFonts w:hint="eastAsia"/>
                <w:color w:val="auto"/>
                <w:sz w:val="24"/>
                <w:highlight w:val="none"/>
                <w:lang w:eastAsia="zh-CN"/>
              </w:rPr>
              <w:t>）低速断料机</w:t>
            </w:r>
            <w:r>
              <w:rPr>
                <w:rFonts w:hint="eastAsia"/>
                <w:color w:val="auto"/>
                <w:sz w:val="24"/>
                <w:highlight w:val="none"/>
                <w:lang w:val="en-US" w:eastAsia="zh-CN"/>
              </w:rPr>
              <w:t>剪切</w:t>
            </w:r>
            <w:r>
              <w:rPr>
                <w:rFonts w:hint="eastAsia"/>
                <w:color w:val="auto"/>
                <w:sz w:val="24"/>
                <w:highlight w:val="none"/>
                <w:lang w:eastAsia="zh-CN"/>
              </w:rPr>
              <w:t>：每台注塑机配备一台低速断料机，注塑产生的边角料进入低速断料机</w:t>
            </w:r>
            <w:r>
              <w:rPr>
                <w:rFonts w:hint="eastAsia"/>
                <w:color w:val="auto"/>
                <w:sz w:val="24"/>
                <w:highlight w:val="none"/>
                <w:lang w:val="en-US" w:eastAsia="zh-CN"/>
              </w:rPr>
              <w:t>剪切</w:t>
            </w:r>
            <w:r>
              <w:rPr>
                <w:rFonts w:hint="eastAsia"/>
                <w:color w:val="auto"/>
                <w:sz w:val="24"/>
                <w:highlight w:val="none"/>
                <w:lang w:eastAsia="zh-CN"/>
              </w:rPr>
              <w:t>成</w:t>
            </w:r>
            <w:r>
              <w:rPr>
                <w:rFonts w:hint="eastAsia"/>
                <w:color w:val="auto"/>
                <w:sz w:val="24"/>
                <w:highlight w:val="none"/>
                <w:lang w:val="en-US" w:eastAsia="zh-CN"/>
              </w:rPr>
              <w:t>块</w:t>
            </w:r>
            <w:r>
              <w:rPr>
                <w:rFonts w:hint="eastAsia"/>
                <w:color w:val="auto"/>
                <w:sz w:val="24"/>
                <w:highlight w:val="none"/>
                <w:lang w:eastAsia="zh-CN"/>
              </w:rPr>
              <w:t>状，低速断料机转速低，故低速断料机</w:t>
            </w:r>
            <w:r>
              <w:rPr>
                <w:rFonts w:hint="eastAsia"/>
                <w:color w:val="auto"/>
                <w:sz w:val="24"/>
                <w:highlight w:val="none"/>
                <w:lang w:val="en-US" w:eastAsia="zh-CN"/>
              </w:rPr>
              <w:t>剪切</w:t>
            </w:r>
            <w:r>
              <w:rPr>
                <w:rFonts w:hint="eastAsia"/>
                <w:color w:val="auto"/>
                <w:sz w:val="24"/>
                <w:highlight w:val="none"/>
                <w:lang w:eastAsia="zh-CN"/>
              </w:rPr>
              <w:t>过程不考虑粉尘的产生。边角料</w:t>
            </w:r>
            <w:r>
              <w:rPr>
                <w:rFonts w:hint="eastAsia"/>
                <w:color w:val="auto"/>
                <w:sz w:val="24"/>
                <w:highlight w:val="none"/>
                <w:lang w:val="en-US" w:eastAsia="zh-CN"/>
              </w:rPr>
              <w:t>剪切</w:t>
            </w:r>
            <w:r>
              <w:rPr>
                <w:rFonts w:hint="eastAsia"/>
                <w:color w:val="auto"/>
                <w:sz w:val="24"/>
                <w:highlight w:val="none"/>
                <w:lang w:eastAsia="zh-CN"/>
              </w:rPr>
              <w:t>后回用于生产。</w:t>
            </w:r>
          </w:p>
          <w:p w14:paraId="5E738236">
            <w:pPr>
              <w:pStyle w:val="60"/>
              <w:spacing w:line="360" w:lineRule="auto"/>
              <w:rPr>
                <w:rFonts w:hint="eastAsia"/>
                <w:color w:val="auto"/>
                <w:sz w:val="24"/>
                <w:highlight w:val="none"/>
                <w:lang w:eastAsia="zh-CN"/>
              </w:rPr>
            </w:pPr>
            <w:r>
              <w:rPr>
                <w:rFonts w:hint="eastAsia"/>
                <w:color w:val="auto"/>
                <w:sz w:val="24"/>
                <w:highlight w:val="none"/>
              </w:rPr>
              <w:t>产污分析</w:t>
            </w:r>
            <w:r>
              <w:rPr>
                <w:rFonts w:hint="eastAsia"/>
                <w:color w:val="auto"/>
                <w:sz w:val="24"/>
                <w:highlight w:val="none"/>
                <w:lang w:eastAsia="zh-CN"/>
              </w:rPr>
              <w:t>：</w:t>
            </w:r>
            <w:r>
              <w:rPr>
                <w:rFonts w:hint="eastAsia"/>
                <w:color w:val="auto"/>
                <w:sz w:val="24"/>
                <w:highlight w:val="none"/>
              </w:rPr>
              <w:t>该过程产生噪声</w:t>
            </w:r>
            <w:r>
              <w:rPr>
                <w:rFonts w:hint="eastAsia"/>
                <w:color w:val="auto"/>
                <w:sz w:val="24"/>
                <w:highlight w:val="none"/>
                <w:lang w:val="en-US" w:eastAsia="zh-CN"/>
              </w:rPr>
              <w:t>N</w:t>
            </w:r>
            <w:r>
              <w:rPr>
                <w:rFonts w:hint="eastAsia"/>
                <w:color w:val="auto"/>
                <w:sz w:val="24"/>
                <w:highlight w:val="none"/>
                <w:lang w:eastAsia="zh-CN"/>
              </w:rPr>
              <w:t>。</w:t>
            </w:r>
          </w:p>
          <w:p w14:paraId="3011A7D1">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6</w:t>
            </w:r>
            <w:r>
              <w:rPr>
                <w:rFonts w:hint="eastAsia"/>
                <w:color w:val="auto"/>
                <w:sz w:val="24"/>
                <w:highlight w:val="none"/>
                <w:lang w:eastAsia="zh-CN"/>
              </w:rPr>
              <w:t>）粉碎机粉碎：不合格品和退货订单产品进入粉碎机进行粉碎，粉碎后回用于生产。</w:t>
            </w:r>
          </w:p>
          <w:p w14:paraId="6C677E55">
            <w:pPr>
              <w:pStyle w:val="60"/>
              <w:spacing w:line="360" w:lineRule="auto"/>
              <w:rPr>
                <w:rFonts w:hint="default"/>
                <w:color w:val="auto"/>
                <w:sz w:val="24"/>
                <w:highlight w:val="none"/>
                <w:lang w:val="en-US" w:eastAsia="zh-CN"/>
              </w:rPr>
            </w:pPr>
            <w:r>
              <w:rPr>
                <w:rFonts w:hint="eastAsia"/>
                <w:color w:val="auto"/>
                <w:sz w:val="24"/>
                <w:highlight w:val="none"/>
              </w:rPr>
              <w:t>产污分析</w:t>
            </w:r>
            <w:r>
              <w:rPr>
                <w:rFonts w:hint="eastAsia"/>
                <w:color w:val="auto"/>
                <w:sz w:val="24"/>
                <w:highlight w:val="none"/>
                <w:lang w:eastAsia="zh-CN"/>
              </w:rPr>
              <w:t>：</w:t>
            </w:r>
            <w:r>
              <w:rPr>
                <w:rFonts w:hint="eastAsia"/>
                <w:color w:val="auto"/>
                <w:sz w:val="24"/>
                <w:highlight w:val="none"/>
              </w:rPr>
              <w:t>该过程产生噪声</w:t>
            </w:r>
            <w:r>
              <w:rPr>
                <w:rFonts w:hint="eastAsia"/>
                <w:color w:val="auto"/>
                <w:sz w:val="24"/>
                <w:highlight w:val="none"/>
                <w:lang w:val="en-US" w:eastAsia="zh-CN"/>
              </w:rPr>
              <w:t>N</w:t>
            </w:r>
            <w:r>
              <w:rPr>
                <w:rFonts w:hint="eastAsia"/>
                <w:color w:val="auto"/>
                <w:sz w:val="24"/>
                <w:highlight w:val="none"/>
              </w:rPr>
              <w:t>、</w:t>
            </w:r>
            <w:r>
              <w:rPr>
                <w:rFonts w:hint="eastAsia"/>
                <w:color w:val="auto"/>
                <w:sz w:val="24"/>
                <w:highlight w:val="none"/>
                <w:lang w:eastAsia="zh-CN"/>
              </w:rPr>
              <w:t>粉碎工序废气</w:t>
            </w:r>
            <w:r>
              <w:rPr>
                <w:rFonts w:hint="eastAsia"/>
                <w:color w:val="auto"/>
                <w:sz w:val="24"/>
                <w:highlight w:val="none"/>
                <w:lang w:val="en-US" w:eastAsia="zh-CN"/>
              </w:rPr>
              <w:t>G2（颗粒物）。</w:t>
            </w:r>
          </w:p>
          <w:p w14:paraId="5E5D5888">
            <w:pPr>
              <w:adjustRightInd w:val="0"/>
              <w:snapToGrid w:val="0"/>
              <w:spacing w:line="360" w:lineRule="auto"/>
              <w:ind w:firstLine="482" w:firstLineChars="200"/>
              <w:rPr>
                <w:rFonts w:ascii="Times New Roman" w:cs="Times New Roman"/>
                <w:b/>
                <w:bCs/>
                <w:color w:val="auto"/>
              </w:rPr>
            </w:pPr>
            <w:r>
              <w:rPr>
                <w:rFonts w:hint="eastAsia" w:ascii="Times New Roman" w:hAnsi="Times New Roman" w:eastAsia="宋体" w:cs="Times New Roman"/>
                <w:b/>
                <w:bCs w:val="0"/>
                <w:color w:val="auto"/>
                <w:kern w:val="0"/>
                <w:sz w:val="24"/>
                <w:highlight w:val="none"/>
                <w:lang w:val="en-US" w:eastAsia="zh-CN"/>
              </w:rPr>
              <w:t>（2）组装工艺</w:t>
            </w:r>
          </w:p>
          <w:p w14:paraId="58AA0FEC">
            <w:pPr>
              <w:pStyle w:val="31"/>
              <w:jc w:val="both"/>
              <w:rPr>
                <w:rFonts w:ascii="Times New Roman" w:cs="Times New Roman"/>
                <w:b/>
                <w:bCs/>
                <w:color w:val="auto"/>
              </w:rPr>
            </w:pPr>
            <w:r>
              <w:rPr>
                <w:color w:val="auto"/>
              </w:rPr>
              <mc:AlternateContent>
                <mc:Choice Requires="wps">
                  <w:drawing>
                    <wp:anchor distT="0" distB="0" distL="114300" distR="114300" simplePos="0" relativeHeight="251704320" behindDoc="0" locked="0" layoutInCell="1" allowOverlap="1">
                      <wp:simplePos x="0" y="0"/>
                      <wp:positionH relativeFrom="column">
                        <wp:posOffset>2612390</wp:posOffset>
                      </wp:positionH>
                      <wp:positionV relativeFrom="paragraph">
                        <wp:posOffset>67945</wp:posOffset>
                      </wp:positionV>
                      <wp:extent cx="301625" cy="267970"/>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301625" cy="267970"/>
                              </a:xfrm>
                              <a:prstGeom prst="rect">
                                <a:avLst/>
                              </a:prstGeom>
                              <a:noFill/>
                              <a:ln w="15875">
                                <a:noFill/>
                              </a:ln>
                            </wps:spPr>
                            <wps:txbx>
                              <w:txbxContent>
                                <w:p w14:paraId="05589D2C">
                                  <w:pPr>
                                    <w:rPr>
                                      <w:rFonts w:hint="default" w:ascii="Times New Roman" w:hAnsi="Times New Roman" w:eastAsia="宋体"/>
                                      <w:lang w:val="en-US" w:eastAsia="zh-CN"/>
                                    </w:rPr>
                                  </w:pPr>
                                  <w:r>
                                    <w:rPr>
                                      <w:rFonts w:hint="eastAsia" w:ascii="Times New Roman" w:hAnsi="Times New Roman"/>
                                      <w:lang w:val="en-US" w:eastAsia="zh-CN"/>
                                    </w:rPr>
                                    <w:t>N</w:t>
                                  </w:r>
                                </w:p>
                                <w:p w14:paraId="1667C5B3">
                                  <w:pPr>
                                    <w:rPr>
                                      <w:rFonts w:hint="default" w:ascii="Times New Roman" w:hAnsi="Times New Roman" w:eastAsia="宋体"/>
                                      <w:lang w:val="en-US" w:eastAsia="zh-CN"/>
                                    </w:rPr>
                                  </w:pPr>
                                </w:p>
                              </w:txbxContent>
                            </wps:txbx>
                            <wps:bodyPr upright="1"/>
                          </wps:wsp>
                        </a:graphicData>
                      </a:graphic>
                    </wp:anchor>
                  </w:drawing>
                </mc:Choice>
                <mc:Fallback>
                  <w:pict>
                    <v:shape id="_x0000_s1026" o:spid="_x0000_s1026" o:spt="202" type="#_x0000_t202" style="position:absolute;left:0pt;margin-left:205.7pt;margin-top:5.35pt;height:21.1pt;width:23.75pt;z-index:251704320;mso-width-relative:page;mso-height-relative:page;" filled="f" stroked="f" coordsize="21600,21600" o:gfxdata="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fDPU3bAAAACQEAAA8AAAAAAAAAAQAgAAAAIgAAAGRycy9kb3ducmV2LnhtbFBLAQIU&#10;ABQAAAAIAIdO4kDDnX6utwEAAFsDAAAOAAAAAAAAAAEAIAAAACoBAABkcnMvZTJvRG9jLnhtbFBL&#10;BQYAAAAABgAGAFkBAABTBQAAAAA=&#10;">
                      <v:fill on="f" focussize="0,0"/>
                      <v:stroke on="f" weight="1.25pt"/>
                      <v:imagedata o:title=""/>
                      <o:lock v:ext="edit" aspectratio="f"/>
                      <v:textbox>
                        <w:txbxContent>
                          <w:p w14:paraId="05589D2C">
                            <w:pPr>
                              <w:rPr>
                                <w:rFonts w:hint="default" w:ascii="Times New Roman" w:hAnsi="Times New Roman" w:eastAsia="宋体"/>
                                <w:lang w:val="en-US" w:eastAsia="zh-CN"/>
                              </w:rPr>
                            </w:pPr>
                            <w:r>
                              <w:rPr>
                                <w:rFonts w:hint="eastAsia" w:ascii="Times New Roman" w:hAnsi="Times New Roman"/>
                                <w:lang w:val="en-US" w:eastAsia="zh-CN"/>
                              </w:rPr>
                              <w:t>N</w:t>
                            </w:r>
                          </w:p>
                          <w:p w14:paraId="1667C5B3">
                            <w:pPr>
                              <w:rPr>
                                <w:rFonts w:hint="default" w:ascii="Times New Roman" w:hAnsi="Times New Roman" w:eastAsia="宋体"/>
                                <w:lang w:val="en-US" w:eastAsia="zh-CN"/>
                              </w:rPr>
                            </w:pPr>
                          </w:p>
                        </w:txbxContent>
                      </v:textbox>
                    </v:shape>
                  </w:pict>
                </mc:Fallback>
              </mc:AlternateContent>
            </w:r>
          </w:p>
          <w:p w14:paraId="2462CFCC">
            <w:pPr>
              <w:pStyle w:val="31"/>
              <w:jc w:val="both"/>
              <w:rPr>
                <w:rFonts w:ascii="Times New Roman" w:cs="Times New Roman"/>
                <w:b/>
                <w:bCs/>
                <w:color w:val="auto"/>
              </w:rPr>
            </w:pPr>
            <w:r>
              <w:rPr>
                <w:color w:val="auto"/>
              </w:rPr>
              <mc:AlternateContent>
                <mc:Choice Requires="wps">
                  <w:drawing>
                    <wp:anchor distT="0" distB="0" distL="114300" distR="114300" simplePos="0" relativeHeight="251703296" behindDoc="0" locked="0" layoutInCell="1" allowOverlap="1">
                      <wp:simplePos x="0" y="0"/>
                      <wp:positionH relativeFrom="column">
                        <wp:posOffset>2750185</wp:posOffset>
                      </wp:positionH>
                      <wp:positionV relativeFrom="paragraph">
                        <wp:posOffset>108585</wp:posOffset>
                      </wp:positionV>
                      <wp:extent cx="3175" cy="250825"/>
                      <wp:effectExtent l="36195" t="0" r="36830" b="15875"/>
                      <wp:wrapNone/>
                      <wp:docPr id="189" name="直接连接符 189"/>
                      <wp:cNvGraphicFramePr/>
                      <a:graphic xmlns:a="http://schemas.openxmlformats.org/drawingml/2006/main">
                        <a:graphicData uri="http://schemas.microsoft.com/office/word/2010/wordprocessingShape">
                          <wps:wsp>
                            <wps:cNvCnPr/>
                            <wps:spPr>
                              <a:xfrm flipV="1">
                                <a:off x="0" y="0"/>
                                <a:ext cx="3175" cy="25082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_x0000_s1026" o:spid="_x0000_s1026" o:spt="20" style="position:absolute;left:0pt;flip:y;margin-left:216.55pt;margin-top:8.55pt;height:19.75pt;width:0.25pt;z-index:251703296;mso-width-relative:page;mso-height-relative:page;" filled="f" stroked="t" coordsize="21600,21600" o:gfxdata="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0Wlu9YAAAAJAQAADwAAAAAAAAABACAAAAAiAAAAZHJz&#10;L2Rvd25yZXYueG1sUEsBAhQAFAAAAAgAh07iQH57+P4GAgAA9wMAAA4AAAAAAAAAAQAgAAAAJQEA&#10;AGRycy9lMm9Eb2MueG1sUEsFBgAAAAAGAAYAWQEAAJ0FAAAAAA==&#10;">
                      <v:fill on="f" focussize="0,0"/>
                      <v:stroke color="#000000" joinstyle="round" dashstyle="dash" endarrow="block"/>
                      <v:imagedata o:title=""/>
                      <o:lock v:ext="edit" aspectratio="f"/>
                    </v:line>
                  </w:pict>
                </mc:Fallback>
              </mc:AlternateContent>
            </w:r>
          </w:p>
          <w:p w14:paraId="5D72DEAC">
            <w:pPr>
              <w:pStyle w:val="31"/>
              <w:jc w:val="both"/>
              <w:rPr>
                <w:rFonts w:ascii="Times New Roman" w:cs="Times New Roman"/>
                <w:b/>
                <w:bCs/>
                <w:color w:val="auto"/>
              </w:rPr>
            </w:pPr>
          </w:p>
          <w:p w14:paraId="7155325B">
            <w:pPr>
              <w:pStyle w:val="31"/>
              <w:jc w:val="both"/>
              <w:rPr>
                <w:rFonts w:ascii="Times New Roman" w:cs="Times New Roman"/>
                <w:b/>
                <w:bCs/>
                <w:color w:val="auto"/>
              </w:rPr>
            </w:pPr>
            <w:r>
              <w:rPr>
                <w:color w:val="auto"/>
              </w:rPr>
              <mc:AlternateContent>
                <mc:Choice Requires="wps">
                  <w:drawing>
                    <wp:anchor distT="0" distB="0" distL="114300" distR="114300" simplePos="0" relativeHeight="251707392" behindDoc="0" locked="0" layoutInCell="1" allowOverlap="1">
                      <wp:simplePos x="0" y="0"/>
                      <wp:positionH relativeFrom="column">
                        <wp:posOffset>3396615</wp:posOffset>
                      </wp:positionH>
                      <wp:positionV relativeFrom="paragraph">
                        <wp:posOffset>8255</wp:posOffset>
                      </wp:positionV>
                      <wp:extent cx="816610" cy="278765"/>
                      <wp:effectExtent l="4445" t="4445" r="17145" b="21590"/>
                      <wp:wrapNone/>
                      <wp:docPr id="191" name="文本框 191"/>
                      <wp:cNvGraphicFramePr/>
                      <a:graphic xmlns:a="http://schemas.openxmlformats.org/drawingml/2006/main">
                        <a:graphicData uri="http://schemas.microsoft.com/office/word/2010/wordprocessingShape">
                          <wps:wsp>
                            <wps:cNvSpPr txBox="1"/>
                            <wps:spPr>
                              <a:xfrm>
                                <a:off x="0" y="0"/>
                                <a:ext cx="816610" cy="278765"/>
                              </a:xfrm>
                              <a:prstGeom prst="rect">
                                <a:avLst/>
                              </a:prstGeom>
                              <a:noFill/>
                              <a:ln w="9525" cap="flat" cmpd="sng">
                                <a:solidFill>
                                  <a:srgbClr val="000000"/>
                                </a:solidFill>
                                <a:prstDash val="solid"/>
                                <a:miter/>
                                <a:headEnd type="none" w="med" len="med"/>
                                <a:tailEnd type="none" w="med" len="med"/>
                              </a:ln>
                            </wps:spPr>
                            <wps:txbx>
                              <w:txbxContent>
                                <w:p w14:paraId="4EB4317E">
                                  <w:pPr>
                                    <w:jc w:val="center"/>
                                    <w:rPr>
                                      <w:rFonts w:hint="default" w:eastAsia="宋体"/>
                                      <w:color w:val="auto"/>
                                      <w:szCs w:val="21"/>
                                      <w:lang w:val="en-US" w:eastAsia="zh-CN"/>
                                    </w:rPr>
                                  </w:pPr>
                                  <w:r>
                                    <w:rPr>
                                      <w:rFonts w:hint="eastAsia" w:eastAsia="宋体"/>
                                      <w:color w:val="auto"/>
                                      <w:szCs w:val="21"/>
                                      <w:lang w:val="en-US" w:eastAsia="zh-CN"/>
                                    </w:rPr>
                                    <w:t>打包入库</w:t>
                                  </w:r>
                                </w:p>
                              </w:txbxContent>
                            </wps:txbx>
                            <wps:bodyPr upright="1"/>
                          </wps:wsp>
                        </a:graphicData>
                      </a:graphic>
                    </wp:anchor>
                  </w:drawing>
                </mc:Choice>
                <mc:Fallback>
                  <w:pict>
                    <v:shape id="_x0000_s1026" o:spid="_x0000_s1026" o:spt="202" type="#_x0000_t202" style="position:absolute;left:0pt;margin-left:267.45pt;margin-top:0.65pt;height:21.95pt;width:64.3pt;z-index:251707392;mso-width-relative:page;mso-height-relative:page;" filled="f" stroked="t" coordsize="21600,21600" o:gfxdata="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Vwpg1gAAAAgBAAAPAAAAAAAAAAEAIAAAACIAAABkcnMv&#10;ZG93bnJldi54bWxQSwECFAAUAAAACACHTuJAkZACOgUCAAAQBAAADgAAAAAAAAABACAAAAAlAQAA&#10;ZHJzL2Uyb0RvYy54bWxQSwUGAAAAAAYABgBZAQAAnAUAAAAA&#10;">
                      <v:fill on="f" focussize="0,0"/>
                      <v:stroke color="#000000" joinstyle="miter"/>
                      <v:imagedata o:title=""/>
                      <o:lock v:ext="edit" aspectratio="f"/>
                      <v:textbox>
                        <w:txbxContent>
                          <w:p w14:paraId="4EB4317E">
                            <w:pPr>
                              <w:jc w:val="center"/>
                              <w:rPr>
                                <w:rFonts w:hint="default" w:eastAsia="宋体"/>
                                <w:color w:val="auto"/>
                                <w:szCs w:val="21"/>
                                <w:lang w:val="en-US" w:eastAsia="zh-CN"/>
                              </w:rPr>
                            </w:pPr>
                            <w:r>
                              <w:rPr>
                                <w:rFonts w:hint="eastAsia" w:eastAsia="宋体"/>
                                <w:color w:val="auto"/>
                                <w:szCs w:val="21"/>
                                <w:lang w:val="en-US" w:eastAsia="zh-CN"/>
                              </w:rPr>
                              <w:t>打包入库</w:t>
                            </w:r>
                          </w:p>
                        </w:txbxContent>
                      </v:textbox>
                    </v:shape>
                  </w:pict>
                </mc:Fallback>
              </mc:AlternateContent>
            </w:r>
            <w:r>
              <w:rPr>
                <w:rFonts w:ascii="Times New Roman" w:cs="Times New Roman"/>
                <w:color w:val="auto"/>
              </w:rPr>
              <mc:AlternateContent>
                <mc:Choice Requires="wps">
                  <w:drawing>
                    <wp:anchor distT="0" distB="0" distL="114300" distR="114300" simplePos="0" relativeHeight="251701248" behindDoc="0" locked="0" layoutInCell="1" allowOverlap="1">
                      <wp:simplePos x="0" y="0"/>
                      <wp:positionH relativeFrom="column">
                        <wp:posOffset>778510</wp:posOffset>
                      </wp:positionH>
                      <wp:positionV relativeFrom="paragraph">
                        <wp:posOffset>24765</wp:posOffset>
                      </wp:positionV>
                      <wp:extent cx="1410970" cy="309245"/>
                      <wp:effectExtent l="0" t="0" r="0" b="0"/>
                      <wp:wrapNone/>
                      <wp:docPr id="192" name="文本框 192"/>
                      <wp:cNvGraphicFramePr/>
                      <a:graphic xmlns:a="http://schemas.openxmlformats.org/drawingml/2006/main">
                        <a:graphicData uri="http://schemas.microsoft.com/office/word/2010/wordprocessingShape">
                          <wps:wsp>
                            <wps:cNvSpPr txBox="1"/>
                            <wps:spPr>
                              <a:xfrm>
                                <a:off x="0" y="0"/>
                                <a:ext cx="518795" cy="406400"/>
                              </a:xfrm>
                              <a:prstGeom prst="rect">
                                <a:avLst/>
                              </a:prstGeom>
                              <a:noFill/>
                              <a:ln>
                                <a:noFill/>
                              </a:ln>
                              <a:effectLst/>
                            </wps:spPr>
                            <wps:txbx>
                              <w:txbxContent>
                                <w:p w14:paraId="63BDC8F2">
                                  <w:pPr>
                                    <w:jc w:val="center"/>
                                    <w:rPr>
                                      <w:rFonts w:hint="default" w:ascii="Times New Roman" w:hAnsi="Times New Roman" w:eastAsia="宋体" w:cs="Times New Roman"/>
                                      <w:color w:val="auto"/>
                                      <w:sz w:val="21"/>
                                      <w:szCs w:val="21"/>
                                      <w:lang w:eastAsia="zh-CN"/>
                                    </w:rPr>
                                  </w:pPr>
                                  <w:r>
                                    <w:rPr>
                                      <w:rFonts w:hint="eastAsia" w:ascii="Times New Roman" w:hAnsi="Times New Roman"/>
                                      <w:color w:val="auto"/>
                                      <w:szCs w:val="21"/>
                                      <w:lang w:val="en-US" w:eastAsia="zh-CN"/>
                                    </w:rPr>
                                    <w:t>五金配件和塑料零件</w:t>
                                  </w:r>
                                </w:p>
                              </w:txbxContent>
                            </wps:txbx>
                            <wps:bodyPr wrap="square" upright="1"/>
                          </wps:wsp>
                        </a:graphicData>
                      </a:graphic>
                    </wp:anchor>
                  </w:drawing>
                </mc:Choice>
                <mc:Fallback>
                  <w:pict>
                    <v:shape id="_x0000_s1026" o:spid="_x0000_s1026" o:spt="202" type="#_x0000_t202" style="position:absolute;left:0pt;margin-left:61.3pt;margin-top:1.95pt;height:24.35pt;width:111.1pt;z-index:251701248;mso-width-relative:page;mso-height-relative:page;" filled="f" stroked="f" coordsize="21600,21600" o:gfxdata="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BhDXnVAAAACAEAAA8AAAAAAAAAAQAgAAAAIgAAAGRycy9kb3ducmV2LnhtbFBLAQIU&#10;ABQAAAAIAIdO4kDoodUkvQEAAG0DAAAOAAAAAAAAAAEAIAAAACQBAABkcnMvZTJvRG9jLnhtbFBL&#10;BQYAAAAABgAGAFkBAABTBQAAAAA=&#10;">
                      <v:fill on="f" focussize="0,0"/>
                      <v:stroke on="f"/>
                      <v:imagedata o:title=""/>
                      <o:lock v:ext="edit" aspectratio="f"/>
                      <v:textbox>
                        <w:txbxContent>
                          <w:p w14:paraId="63BDC8F2">
                            <w:pPr>
                              <w:jc w:val="center"/>
                              <w:rPr>
                                <w:rFonts w:hint="default" w:ascii="Times New Roman" w:hAnsi="Times New Roman" w:eastAsia="宋体" w:cs="Times New Roman"/>
                                <w:color w:val="auto"/>
                                <w:sz w:val="21"/>
                                <w:szCs w:val="21"/>
                                <w:lang w:eastAsia="zh-CN"/>
                              </w:rPr>
                            </w:pPr>
                            <w:r>
                              <w:rPr>
                                <w:rFonts w:hint="eastAsia" w:ascii="Times New Roman" w:hAnsi="Times New Roman"/>
                                <w:color w:val="auto"/>
                                <w:szCs w:val="21"/>
                                <w:lang w:val="en-US" w:eastAsia="zh-CN"/>
                              </w:rPr>
                              <w:t>五金配件和塑料零件</w:t>
                            </w:r>
                          </w:p>
                        </w:txbxContent>
                      </v:textbox>
                    </v:shape>
                  </w:pict>
                </mc:Fallback>
              </mc:AlternateContent>
            </w:r>
            <w:r>
              <w:rPr>
                <w:color w:val="auto"/>
              </w:rPr>
              <mc:AlternateContent>
                <mc:Choice Requires="wps">
                  <w:drawing>
                    <wp:anchor distT="0" distB="0" distL="114300" distR="114300" simplePos="0" relativeHeight="251702272" behindDoc="0" locked="0" layoutInCell="1" allowOverlap="1">
                      <wp:simplePos x="0" y="0"/>
                      <wp:positionH relativeFrom="column">
                        <wp:posOffset>3196590</wp:posOffset>
                      </wp:positionH>
                      <wp:positionV relativeFrom="paragraph">
                        <wp:posOffset>153670</wp:posOffset>
                      </wp:positionV>
                      <wp:extent cx="195580" cy="635"/>
                      <wp:effectExtent l="0" t="38100" r="13970" b="37465"/>
                      <wp:wrapNone/>
                      <wp:docPr id="197" name="直接连接符 197"/>
                      <wp:cNvGraphicFramePr/>
                      <a:graphic xmlns:a="http://schemas.openxmlformats.org/drawingml/2006/main">
                        <a:graphicData uri="http://schemas.microsoft.com/office/word/2010/wordprocessingShape">
                          <wps:wsp>
                            <wps:cNvCnPr/>
                            <wps:spPr>
                              <a:xfrm flipV="1">
                                <a:off x="0" y="0"/>
                                <a:ext cx="19558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51.7pt;margin-top:12.1pt;height:0.05pt;width:15.4pt;z-index:251702272;mso-width-relative:page;mso-height-relative:page;" filled="f" stroked="t" coordsize="21600,21600" o:gfxdata="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G8x13XAAAACQEAAA8AAAAAAAAAAQAgAAAAIgAAAGRy&#10;cy9kb3ducmV2LnhtbFBLAQIUABQAAAAIAIdO4kBsg8s+BgIAAPcDAAAOAAAAAAAAAAEAIAAAACYB&#10;AABkcnMvZTJvRG9jLnhtbFBLBQYAAAAABgAGAFkBAACeBQAAAAA=&#10;">
                      <v:fill on="f" focussize="0,0"/>
                      <v:stroke color="#000000" joinstyle="round" endarrow="block"/>
                      <v:imagedata o:title=""/>
                      <o:lock v:ext="edit" aspectratio="f"/>
                    </v:line>
                  </w:pict>
                </mc:Fallback>
              </mc:AlternateContent>
            </w:r>
            <w:r>
              <w:rPr>
                <w:color w:val="auto"/>
              </w:rPr>
              <mc:AlternateContent>
                <mc:Choice Requires="wps">
                  <w:drawing>
                    <wp:anchor distT="0" distB="0" distL="114300" distR="114300" simplePos="0" relativeHeight="251705344" behindDoc="0" locked="0" layoutInCell="1" allowOverlap="1">
                      <wp:simplePos x="0" y="0"/>
                      <wp:positionH relativeFrom="column">
                        <wp:posOffset>2407285</wp:posOffset>
                      </wp:positionH>
                      <wp:positionV relativeFrom="paragraph">
                        <wp:posOffset>6985</wp:posOffset>
                      </wp:positionV>
                      <wp:extent cx="782955" cy="278765"/>
                      <wp:effectExtent l="4445" t="5080" r="12700" b="20955"/>
                      <wp:wrapNone/>
                      <wp:docPr id="198" name="文本框 198"/>
                      <wp:cNvGraphicFramePr/>
                      <a:graphic xmlns:a="http://schemas.openxmlformats.org/drawingml/2006/main">
                        <a:graphicData uri="http://schemas.microsoft.com/office/word/2010/wordprocessingShape">
                          <wps:wsp>
                            <wps:cNvSpPr txBox="1"/>
                            <wps:spPr>
                              <a:xfrm>
                                <a:off x="0" y="0"/>
                                <a:ext cx="782955" cy="278765"/>
                              </a:xfrm>
                              <a:prstGeom prst="rect">
                                <a:avLst/>
                              </a:prstGeom>
                              <a:noFill/>
                              <a:ln w="9525" cap="flat" cmpd="sng">
                                <a:solidFill>
                                  <a:srgbClr val="000000"/>
                                </a:solidFill>
                                <a:prstDash val="solid"/>
                                <a:miter/>
                                <a:headEnd type="none" w="med" len="med"/>
                                <a:tailEnd type="none" w="med" len="med"/>
                              </a:ln>
                            </wps:spPr>
                            <wps:txbx>
                              <w:txbxContent>
                                <w:p w14:paraId="3FFCE944">
                                  <w:pPr>
                                    <w:jc w:val="center"/>
                                    <w:rPr>
                                      <w:rFonts w:hint="default" w:eastAsia="宋体"/>
                                      <w:szCs w:val="21"/>
                                      <w:lang w:val="en-US" w:eastAsia="zh-CN"/>
                                    </w:rPr>
                                  </w:pPr>
                                  <w:r>
                                    <w:rPr>
                                      <w:rFonts w:hint="eastAsia" w:eastAsia="宋体"/>
                                      <w:szCs w:val="21"/>
                                      <w:lang w:val="en-US" w:eastAsia="zh-CN"/>
                                    </w:rPr>
                                    <w:t>组装</w:t>
                                  </w:r>
                                </w:p>
                              </w:txbxContent>
                            </wps:txbx>
                            <wps:bodyPr upright="1"/>
                          </wps:wsp>
                        </a:graphicData>
                      </a:graphic>
                    </wp:anchor>
                  </w:drawing>
                </mc:Choice>
                <mc:Fallback>
                  <w:pict>
                    <v:shape id="_x0000_s1026" o:spid="_x0000_s1026" o:spt="202" type="#_x0000_t202" style="position:absolute;left:0pt;margin-left:189.55pt;margin-top:0.55pt;height:21.95pt;width:61.65pt;z-index:251705344;mso-width-relative:page;mso-height-relative:page;" filled="f" stroked="t" coordsize="21600,21600" o:gfxdata="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uGw61gAAAAgBAAAPAAAAAAAAAAEAIAAAACIAAABkcnMv&#10;ZG93bnJldi54bWxQSwECFAAUAAAACACHTuJAb4tPwgUCAAAQBAAADgAAAAAAAAABACAAAAAlAQAA&#10;ZHJzL2Uyb0RvYy54bWxQSwUGAAAAAAYABgBZAQAAnAUAAAAA&#10;">
                      <v:fill on="f" focussize="0,0"/>
                      <v:stroke color="#000000" joinstyle="miter"/>
                      <v:imagedata o:title=""/>
                      <o:lock v:ext="edit" aspectratio="f"/>
                      <v:textbox>
                        <w:txbxContent>
                          <w:p w14:paraId="3FFCE944">
                            <w:pPr>
                              <w:jc w:val="center"/>
                              <w:rPr>
                                <w:rFonts w:hint="default" w:eastAsia="宋体"/>
                                <w:szCs w:val="21"/>
                                <w:lang w:val="en-US" w:eastAsia="zh-CN"/>
                              </w:rPr>
                            </w:pPr>
                            <w:r>
                              <w:rPr>
                                <w:rFonts w:hint="eastAsia" w:eastAsia="宋体"/>
                                <w:szCs w:val="21"/>
                                <w:lang w:val="en-US" w:eastAsia="zh-CN"/>
                              </w:rPr>
                              <w:t>组装</w:t>
                            </w:r>
                          </w:p>
                        </w:txbxContent>
                      </v:textbox>
                    </v:shape>
                  </w:pict>
                </mc:Fallback>
              </mc:AlternateContent>
            </w:r>
            <w:r>
              <w:rPr>
                <w:color w:val="auto"/>
              </w:rPr>
              <mc:AlternateContent>
                <mc:Choice Requires="wps">
                  <w:drawing>
                    <wp:anchor distT="0" distB="0" distL="114300" distR="114300" simplePos="0" relativeHeight="251706368" behindDoc="0" locked="0" layoutInCell="1" allowOverlap="1">
                      <wp:simplePos x="0" y="0"/>
                      <wp:positionH relativeFrom="column">
                        <wp:posOffset>2205990</wp:posOffset>
                      </wp:positionH>
                      <wp:positionV relativeFrom="paragraph">
                        <wp:posOffset>168275</wp:posOffset>
                      </wp:positionV>
                      <wp:extent cx="195580" cy="635"/>
                      <wp:effectExtent l="0" t="38100" r="13970" b="37465"/>
                      <wp:wrapNone/>
                      <wp:docPr id="199" name="直接连接符 199"/>
                      <wp:cNvGraphicFramePr/>
                      <a:graphic xmlns:a="http://schemas.openxmlformats.org/drawingml/2006/main">
                        <a:graphicData uri="http://schemas.microsoft.com/office/word/2010/wordprocessingShape">
                          <wps:wsp>
                            <wps:cNvCnPr/>
                            <wps:spPr>
                              <a:xfrm flipV="1">
                                <a:off x="0" y="0"/>
                                <a:ext cx="19558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73.7pt;margin-top:13.25pt;height:0.05pt;width:15.4pt;z-index:251706368;mso-width-relative:page;mso-height-relative:page;" filled="f" stroked="t" coordsize="21600,21600" o:gfxdata="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3YYNkdoAAAAJAQAADwAAAAAAAAABACAAAAAiAAAA&#10;ZHJzL2Rvd25yZXYueG1sUEsBAhQAFAAAAAgAh07iQGeo8RgFAgAA9wMAAA4AAAAAAAAAAQAgAAAA&#10;KQEAAGRycy9lMm9Eb2MueG1sUEsFBgAAAAAGAAYAWQEAAKAFAAAAAA==&#10;">
                      <v:fill on="f" focussize="0,0"/>
                      <v:stroke color="#000000" joinstyle="round" endarrow="block"/>
                      <v:imagedata o:title=""/>
                      <o:lock v:ext="edit" aspectratio="f"/>
                    </v:line>
                  </w:pict>
                </mc:Fallback>
              </mc:AlternateContent>
            </w:r>
          </w:p>
          <w:p w14:paraId="142F6801">
            <w:pPr>
              <w:pStyle w:val="31"/>
              <w:jc w:val="both"/>
              <w:rPr>
                <w:rFonts w:ascii="Times New Roman" w:cs="Times New Roman"/>
                <w:b/>
                <w:bCs/>
                <w:color w:val="auto"/>
              </w:rPr>
            </w:pPr>
          </w:p>
          <w:p w14:paraId="6B969FE8">
            <w:pPr>
              <w:pStyle w:val="31"/>
              <w:jc w:val="both"/>
              <w:rPr>
                <w:rFonts w:ascii="Times New Roman" w:cs="Times New Roman"/>
                <w:b/>
                <w:bCs/>
                <w:color w:val="auto"/>
              </w:rPr>
            </w:pPr>
          </w:p>
          <w:p w14:paraId="124FF7A4">
            <w:pPr>
              <w:rPr>
                <w:color w:val="auto"/>
              </w:rPr>
            </w:pPr>
            <w:r>
              <w:rPr>
                <w:rFonts w:ascii="Times New Roman" w:cs="Times New Roman"/>
                <w:color w:val="auto"/>
              </w:rPr>
              <mc:AlternateContent>
                <mc:Choice Requires="wps">
                  <w:drawing>
                    <wp:anchor distT="0" distB="0" distL="114300" distR="114300" simplePos="0" relativeHeight="251700224" behindDoc="0" locked="0" layoutInCell="1" allowOverlap="1">
                      <wp:simplePos x="0" y="0"/>
                      <wp:positionH relativeFrom="column">
                        <wp:posOffset>-19050</wp:posOffset>
                      </wp:positionH>
                      <wp:positionV relativeFrom="paragraph">
                        <wp:posOffset>26035</wp:posOffset>
                      </wp:positionV>
                      <wp:extent cx="2439035" cy="325755"/>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2439035" cy="325755"/>
                              </a:xfrm>
                              <a:prstGeom prst="rect">
                                <a:avLst/>
                              </a:prstGeom>
                              <a:noFill/>
                              <a:ln w="15875">
                                <a:noFill/>
                              </a:ln>
                              <a:effectLst/>
                            </wps:spPr>
                            <wps:txbx>
                              <w:txbxContent>
                                <w:p w14:paraId="31E1DF91">
                                  <w:r>
                                    <w:t>注：</w:t>
                                  </w:r>
                                  <w:r>
                                    <w:rPr>
                                      <w:rFonts w:ascii="Times New Roman" w:hAnsi="Times New Roman"/>
                                    </w:rPr>
                                    <w:t>G-废气、W-废水、N-噪声、S-固废</w:t>
                                  </w:r>
                                </w:p>
                              </w:txbxContent>
                            </wps:txbx>
                            <wps:bodyPr wrap="square" upright="1"/>
                          </wps:wsp>
                        </a:graphicData>
                      </a:graphic>
                    </wp:anchor>
                  </w:drawing>
                </mc:Choice>
                <mc:Fallback>
                  <w:pict>
                    <v:shape id="_x0000_s1026" o:spid="_x0000_s1026" o:spt="202" type="#_x0000_t202" style="position:absolute;left:0pt;margin-left:-1.5pt;margin-top:2.05pt;height:25.65pt;width:192.05pt;z-index:251700224;mso-width-relative:page;mso-height-relative:page;" filled="f" stroked="f" coordsize="21600,21600" o:gfxdata="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0kfGDaAAAABwEAAA8AAAAAAAAAAQAgAAAAIgAAAGRycy9k&#10;b3ducmV2LnhtbFBLAQIUABQAAAAIAIdO4kDYRYwLxwEAAHgDAAAOAAAAAAAAAAEAIAAAACkBAABk&#10;cnMvZTJvRG9jLnhtbFBLBQYAAAAABgAGAFkBAABiBQAAAAA=&#10;">
                      <v:fill on="f" focussize="0,0"/>
                      <v:stroke on="f" weight="1.25pt"/>
                      <v:imagedata o:title=""/>
                      <o:lock v:ext="edit" aspectratio="f"/>
                      <v:textbox>
                        <w:txbxContent>
                          <w:p w14:paraId="31E1DF91">
                            <w:r>
                              <w:t>注：</w:t>
                            </w:r>
                            <w:r>
                              <w:rPr>
                                <w:rFonts w:ascii="Times New Roman" w:hAnsi="Times New Roman"/>
                              </w:rPr>
                              <w:t>G-废气、W-废水、N-噪声、S-固废</w:t>
                            </w:r>
                          </w:p>
                        </w:txbxContent>
                      </v:textbox>
                    </v:shape>
                  </w:pict>
                </mc:Fallback>
              </mc:AlternateContent>
            </w:r>
          </w:p>
          <w:p w14:paraId="745F5241">
            <w:pPr>
              <w:spacing w:line="360" w:lineRule="auto"/>
              <w:jc w:val="center"/>
              <w:rPr>
                <w:rFonts w:ascii="Times New Roman" w:hAnsi="Times New Roman"/>
                <w:b/>
                <w:bCs/>
                <w:color w:val="auto"/>
                <w:szCs w:val="21"/>
              </w:rPr>
            </w:pPr>
          </w:p>
          <w:p w14:paraId="4C116D94">
            <w:pPr>
              <w:spacing w:line="360" w:lineRule="auto"/>
              <w:jc w:val="center"/>
              <w:rPr>
                <w:rFonts w:ascii="Times New Roman" w:hAnsi="Times New Roman"/>
                <w:b/>
                <w:color w:val="auto"/>
                <w:sz w:val="24"/>
                <w:szCs w:val="24"/>
              </w:rPr>
            </w:pPr>
            <w:r>
              <w:rPr>
                <w:rFonts w:ascii="Times New Roman" w:hAnsi="Times New Roman"/>
                <w:b/>
                <w:bCs/>
                <w:color w:val="auto"/>
                <w:sz w:val="24"/>
                <w:szCs w:val="24"/>
              </w:rPr>
              <w:t>图</w:t>
            </w:r>
            <w:r>
              <w:rPr>
                <w:rFonts w:hint="eastAsia" w:ascii="Times New Roman" w:hAnsi="Times New Roman"/>
                <w:b/>
                <w:bCs/>
                <w:color w:val="auto"/>
                <w:sz w:val="24"/>
                <w:szCs w:val="24"/>
                <w:lang w:val="en-US" w:eastAsia="zh-CN"/>
              </w:rPr>
              <w:t>2-3</w:t>
            </w:r>
            <w:r>
              <w:rPr>
                <w:rFonts w:ascii="Times New Roman" w:hAnsi="Times New Roman"/>
                <w:b/>
                <w:bCs/>
                <w:color w:val="auto"/>
                <w:sz w:val="24"/>
                <w:szCs w:val="24"/>
              </w:rPr>
              <w:t xml:space="preserve">  </w:t>
            </w:r>
            <w:r>
              <w:rPr>
                <w:rFonts w:hint="eastAsia" w:ascii="Times New Roman" w:hAnsi="Times New Roman"/>
                <w:b/>
                <w:bCs/>
                <w:color w:val="auto"/>
                <w:sz w:val="24"/>
                <w:szCs w:val="24"/>
                <w:lang w:val="en-US" w:eastAsia="zh-CN"/>
              </w:rPr>
              <w:t>组装</w:t>
            </w:r>
            <w:r>
              <w:rPr>
                <w:rFonts w:ascii="Times New Roman" w:hAnsi="Times New Roman"/>
                <w:b/>
                <w:color w:val="auto"/>
                <w:sz w:val="24"/>
                <w:szCs w:val="24"/>
              </w:rPr>
              <w:t>生产工艺流程排污节点图</w:t>
            </w:r>
          </w:p>
          <w:p w14:paraId="268AAD38">
            <w:pPr>
              <w:numPr>
                <w:ilvl w:val="0"/>
                <w:numId w:val="0"/>
              </w:numPr>
              <w:adjustRightInd w:val="0"/>
              <w:snapToGrid w:val="0"/>
              <w:spacing w:line="360" w:lineRule="auto"/>
              <w:ind w:firstLine="480" w:firstLineChars="200"/>
              <w:rPr>
                <w:rFonts w:hint="eastAsia" w:ascii="Times New Roman" w:hAnsi="Times New Roman" w:eastAsia="宋体" w:cs="Times New Roman"/>
                <w:bCs/>
                <w:kern w:val="0"/>
                <w:sz w:val="24"/>
                <w:lang w:val="en-US" w:eastAsia="zh-CN"/>
              </w:rPr>
            </w:pPr>
            <w:r>
              <w:rPr>
                <w:rFonts w:hint="eastAsia" w:ascii="Times New Roman" w:hAnsi="Times New Roman" w:eastAsia="宋体" w:cs="Times New Roman"/>
                <w:bCs/>
                <w:kern w:val="0"/>
                <w:sz w:val="24"/>
                <w:lang w:val="en-US" w:eastAsia="zh-CN"/>
              </w:rPr>
              <w:t>将自行生产的塑料零件和外购的五金配件利用扳手和钳子的辅助工具进行组装，组装后打包入库。</w:t>
            </w:r>
          </w:p>
          <w:p w14:paraId="584B4054">
            <w:pPr>
              <w:numPr>
                <w:ilvl w:val="0"/>
                <w:numId w:val="0"/>
              </w:numPr>
              <w:adjustRightInd w:val="0"/>
              <w:snapToGrid w:val="0"/>
              <w:spacing w:line="360" w:lineRule="auto"/>
              <w:ind w:firstLine="480" w:firstLineChars="200"/>
              <w:rPr>
                <w:rFonts w:hint="eastAsia"/>
                <w:color w:val="auto"/>
                <w:sz w:val="24"/>
                <w:lang w:eastAsia="zh-CN"/>
              </w:rPr>
            </w:pPr>
            <w:r>
              <w:rPr>
                <w:rFonts w:hint="eastAsia" w:ascii="Times New Roman" w:hAnsi="Times New Roman" w:eastAsia="宋体" w:cs="Times New Roman"/>
                <w:bCs/>
                <w:kern w:val="0"/>
                <w:sz w:val="24"/>
                <w:lang w:val="en-US" w:eastAsia="zh-CN"/>
              </w:rPr>
              <w:t>产污分析：该过程产生噪声N。</w:t>
            </w:r>
            <w:bookmarkEnd w:id="1"/>
          </w:p>
          <w:p w14:paraId="6F434F89">
            <w:pPr>
              <w:pStyle w:val="60"/>
              <w:numPr>
                <w:ilvl w:val="0"/>
                <w:numId w:val="0"/>
              </w:numPr>
              <w:spacing w:line="360" w:lineRule="auto"/>
              <w:ind w:firstLine="482" w:firstLineChars="200"/>
              <w:rPr>
                <w:rFonts w:hint="default"/>
                <w:color w:val="auto"/>
                <w:sz w:val="24"/>
                <w:highlight w:val="none"/>
                <w:lang w:val="en-US" w:eastAsia="zh-CN"/>
              </w:rPr>
            </w:pPr>
            <w:r>
              <w:rPr>
                <w:rFonts w:hint="eastAsia"/>
                <w:b/>
                <w:bCs/>
                <w:color w:val="auto"/>
                <w:sz w:val="24"/>
                <w:highlight w:val="none"/>
                <w:lang w:val="en-US" w:eastAsia="zh-CN"/>
              </w:rPr>
              <w:t>其他产污环节：</w:t>
            </w:r>
            <w:r>
              <w:rPr>
                <w:rFonts w:hint="eastAsia"/>
                <w:b w:val="0"/>
                <w:bCs w:val="0"/>
                <w:color w:val="auto"/>
                <w:sz w:val="24"/>
                <w:highlight w:val="none"/>
                <w:lang w:val="en-US" w:eastAsia="zh-CN"/>
              </w:rPr>
              <w:t>退货订单产品、布袋除尘器产生的废布袋、布袋除尘器收集尘，设备维护产生的废机油、废机油桶，有机废气治理设备产生的废活性炭和废催化剂，</w:t>
            </w:r>
            <w:r>
              <w:rPr>
                <w:rFonts w:hint="eastAsia"/>
                <w:color w:val="auto"/>
                <w:sz w:val="24"/>
                <w:highlight w:val="none"/>
                <w:lang w:val="en-US" w:eastAsia="zh-CN"/>
              </w:rPr>
              <w:t>员工生活产生的生活垃圾和生活污水。</w:t>
            </w:r>
          </w:p>
          <w:p w14:paraId="6EBBD445">
            <w:pPr>
              <w:pStyle w:val="60"/>
              <w:numPr>
                <w:ilvl w:val="0"/>
                <w:numId w:val="0"/>
              </w:num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项目运营期主要污染工序及污染因子见下表。</w:t>
            </w:r>
          </w:p>
          <w:p w14:paraId="6E8528EB">
            <w:pPr>
              <w:pStyle w:val="31"/>
              <w:spacing w:before="156" w:beforeLines="50"/>
              <w:jc w:val="center"/>
              <w:rPr>
                <w:rFonts w:ascii="Times New Roman" w:hAnsi="Times New Roman" w:cs="Times New Roman"/>
                <w:b/>
                <w:color w:val="auto"/>
              </w:rPr>
            </w:pPr>
            <w:r>
              <w:rPr>
                <w:rFonts w:ascii="Times New Roman" w:hAnsi="Times New Roman" w:cs="Times New Roman"/>
                <w:b/>
                <w:color w:val="auto"/>
              </w:rPr>
              <w:t>表2-</w:t>
            </w:r>
            <w:r>
              <w:rPr>
                <w:rFonts w:hint="eastAsia" w:hAnsi="Times New Roman" w:cs="Times New Roman"/>
                <w:b/>
                <w:color w:val="auto"/>
                <w:lang w:val="en-US" w:eastAsia="zh-CN"/>
              </w:rPr>
              <w:t>6</w:t>
            </w:r>
            <w:r>
              <w:rPr>
                <w:rFonts w:ascii="Times New Roman" w:hAnsi="Times New Roman" w:cs="Times New Roman"/>
                <w:b/>
                <w:color w:val="auto"/>
              </w:rPr>
              <w:t xml:space="preserve">  项目运营期主要污染工序一览表</w:t>
            </w:r>
          </w:p>
          <w:tbl>
            <w:tblPr>
              <w:tblStyle w:val="3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23"/>
              <w:gridCol w:w="772"/>
              <w:gridCol w:w="1597"/>
              <w:gridCol w:w="1757"/>
              <w:gridCol w:w="811"/>
              <w:gridCol w:w="2937"/>
            </w:tblGrid>
            <w:tr w14:paraId="494C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shd w:val="clear" w:color="auto" w:fill="auto"/>
                  <w:vAlign w:val="center"/>
                </w:tcPr>
                <w:p w14:paraId="219F9E49">
                  <w:pPr>
                    <w:pStyle w:val="160"/>
                    <w:rPr>
                      <w:b/>
                      <w:bCs/>
                      <w:color w:val="auto"/>
                    </w:rPr>
                  </w:pPr>
                  <w:r>
                    <w:rPr>
                      <w:b/>
                      <w:bCs/>
                      <w:color w:val="auto"/>
                    </w:rPr>
                    <w:t>类别</w:t>
                  </w:r>
                </w:p>
              </w:tc>
              <w:tc>
                <w:tcPr>
                  <w:tcW w:w="410" w:type="pct"/>
                  <w:shd w:val="clear" w:color="auto" w:fill="auto"/>
                  <w:vAlign w:val="center"/>
                </w:tcPr>
                <w:p w14:paraId="18266881">
                  <w:pPr>
                    <w:pStyle w:val="160"/>
                    <w:rPr>
                      <w:rFonts w:hint="eastAsia" w:eastAsia="宋体"/>
                      <w:b/>
                      <w:bCs/>
                      <w:color w:val="auto"/>
                      <w:lang w:eastAsia="zh-CN"/>
                    </w:rPr>
                  </w:pPr>
                  <w:r>
                    <w:rPr>
                      <w:rFonts w:hint="eastAsia"/>
                      <w:b/>
                      <w:bCs/>
                      <w:color w:val="auto"/>
                      <w:lang w:eastAsia="zh-CN"/>
                    </w:rPr>
                    <w:t>编号</w:t>
                  </w:r>
                </w:p>
              </w:tc>
              <w:tc>
                <w:tcPr>
                  <w:tcW w:w="847" w:type="pct"/>
                  <w:shd w:val="clear" w:color="auto" w:fill="auto"/>
                  <w:vAlign w:val="center"/>
                </w:tcPr>
                <w:p w14:paraId="23A21BE8">
                  <w:pPr>
                    <w:pStyle w:val="160"/>
                    <w:rPr>
                      <w:b/>
                      <w:bCs/>
                      <w:color w:val="auto"/>
                    </w:rPr>
                  </w:pPr>
                  <w:r>
                    <w:rPr>
                      <w:b/>
                      <w:bCs/>
                      <w:color w:val="auto"/>
                    </w:rPr>
                    <w:t>产污环节</w:t>
                  </w:r>
                </w:p>
              </w:tc>
              <w:tc>
                <w:tcPr>
                  <w:tcW w:w="932" w:type="pct"/>
                  <w:shd w:val="clear" w:color="auto" w:fill="auto"/>
                  <w:vAlign w:val="center"/>
                </w:tcPr>
                <w:p w14:paraId="2BC4D89B">
                  <w:pPr>
                    <w:pStyle w:val="160"/>
                    <w:rPr>
                      <w:b/>
                      <w:bCs/>
                      <w:color w:val="auto"/>
                    </w:rPr>
                  </w:pPr>
                  <w:r>
                    <w:rPr>
                      <w:b/>
                      <w:bCs/>
                      <w:color w:val="auto"/>
                    </w:rPr>
                    <w:t>污染物</w:t>
                  </w:r>
                </w:p>
              </w:tc>
              <w:tc>
                <w:tcPr>
                  <w:tcW w:w="430" w:type="pct"/>
                  <w:shd w:val="clear" w:color="auto" w:fill="auto"/>
                  <w:vAlign w:val="center"/>
                </w:tcPr>
                <w:p w14:paraId="69F74D83">
                  <w:pPr>
                    <w:pStyle w:val="160"/>
                    <w:rPr>
                      <w:b/>
                      <w:bCs/>
                      <w:color w:val="auto"/>
                    </w:rPr>
                  </w:pPr>
                  <w:r>
                    <w:rPr>
                      <w:rFonts w:hint="default" w:ascii="Times New Roman" w:hAnsi="Times New Roman" w:eastAsia="宋体" w:cs="Times New Roman"/>
                      <w:b/>
                      <w:color w:val="auto"/>
                      <w:sz w:val="21"/>
                      <w:szCs w:val="21"/>
                    </w:rPr>
                    <w:t>排放规律</w:t>
                  </w:r>
                </w:p>
              </w:tc>
              <w:tc>
                <w:tcPr>
                  <w:tcW w:w="1558" w:type="pct"/>
                  <w:shd w:val="clear" w:color="auto" w:fill="auto"/>
                  <w:vAlign w:val="center"/>
                </w:tcPr>
                <w:p w14:paraId="67EB3EFF">
                  <w:pPr>
                    <w:pStyle w:val="160"/>
                    <w:rPr>
                      <w:b/>
                      <w:bCs/>
                      <w:color w:val="auto"/>
                    </w:rPr>
                  </w:pPr>
                  <w:r>
                    <w:rPr>
                      <w:b/>
                      <w:bCs/>
                      <w:color w:val="auto"/>
                    </w:rPr>
                    <w:t>处置措施及去向</w:t>
                  </w:r>
                </w:p>
              </w:tc>
            </w:tr>
            <w:tr w14:paraId="2824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restart"/>
                  <w:shd w:val="clear" w:color="auto" w:fill="auto"/>
                  <w:vAlign w:val="center"/>
                </w:tcPr>
                <w:p w14:paraId="1DD23AE1">
                  <w:pPr>
                    <w:pStyle w:val="160"/>
                    <w:rPr>
                      <w:color w:val="auto"/>
                    </w:rPr>
                  </w:pPr>
                  <w:r>
                    <w:rPr>
                      <w:color w:val="auto"/>
                    </w:rPr>
                    <w:t>废水</w:t>
                  </w:r>
                </w:p>
              </w:tc>
              <w:tc>
                <w:tcPr>
                  <w:tcW w:w="595" w:type="pct"/>
                  <w:shd w:val="clear" w:color="auto" w:fill="auto"/>
                  <w:vAlign w:val="center"/>
                </w:tcPr>
                <w:p w14:paraId="6E06F4B2">
                  <w:pPr>
                    <w:pStyle w:val="160"/>
                    <w:rPr>
                      <w:color w:val="auto"/>
                    </w:rPr>
                  </w:pPr>
                  <w:r>
                    <w:rPr>
                      <w:color w:val="auto"/>
                    </w:rPr>
                    <w:t>生活污水</w:t>
                  </w:r>
                </w:p>
              </w:tc>
              <w:tc>
                <w:tcPr>
                  <w:tcW w:w="410" w:type="pct"/>
                  <w:shd w:val="clear" w:color="auto" w:fill="auto"/>
                  <w:vAlign w:val="center"/>
                </w:tcPr>
                <w:p w14:paraId="6D5BCD71">
                  <w:pPr>
                    <w:pStyle w:val="160"/>
                    <w:rPr>
                      <w:rFonts w:hint="eastAsia" w:eastAsia="宋体"/>
                      <w:color w:val="auto"/>
                      <w:lang w:val="en-US" w:eastAsia="zh-CN"/>
                    </w:rPr>
                  </w:pPr>
                  <w:r>
                    <w:rPr>
                      <w:rFonts w:hint="eastAsia"/>
                      <w:color w:val="auto"/>
                      <w:lang w:val="en-US" w:eastAsia="zh-CN"/>
                    </w:rPr>
                    <w:t>/</w:t>
                  </w:r>
                </w:p>
              </w:tc>
              <w:tc>
                <w:tcPr>
                  <w:tcW w:w="847" w:type="pct"/>
                  <w:shd w:val="clear" w:color="auto" w:fill="auto"/>
                  <w:vAlign w:val="center"/>
                </w:tcPr>
                <w:p w14:paraId="073F0063">
                  <w:pPr>
                    <w:pStyle w:val="160"/>
                    <w:rPr>
                      <w:color w:val="auto"/>
                    </w:rPr>
                  </w:pPr>
                  <w:r>
                    <w:rPr>
                      <w:color w:val="auto"/>
                    </w:rPr>
                    <w:t>员工生活</w:t>
                  </w:r>
                </w:p>
              </w:tc>
              <w:tc>
                <w:tcPr>
                  <w:tcW w:w="932" w:type="pct"/>
                  <w:shd w:val="clear" w:color="auto" w:fill="auto"/>
                  <w:vAlign w:val="center"/>
                </w:tcPr>
                <w:p w14:paraId="6270B464">
                  <w:pPr>
                    <w:pStyle w:val="160"/>
                    <w:rPr>
                      <w:color w:val="auto"/>
                    </w:rPr>
                  </w:pPr>
                  <w:r>
                    <w:rPr>
                      <w:color w:val="auto"/>
                      <w:spacing w:val="-2"/>
                    </w:rPr>
                    <w:t>pH、</w:t>
                  </w:r>
                  <w:r>
                    <w:rPr>
                      <w:color w:val="auto"/>
                    </w:rPr>
                    <w:t>COD、BOD</w:t>
                  </w:r>
                  <w:r>
                    <w:rPr>
                      <w:color w:val="auto"/>
                      <w:vertAlign w:val="subscript"/>
                    </w:rPr>
                    <w:t>5</w:t>
                  </w:r>
                  <w:r>
                    <w:rPr>
                      <w:color w:val="auto"/>
                    </w:rPr>
                    <w:t>、SS、NH</w:t>
                  </w:r>
                  <w:r>
                    <w:rPr>
                      <w:color w:val="auto"/>
                      <w:vertAlign w:val="subscript"/>
                    </w:rPr>
                    <w:t>3</w:t>
                  </w:r>
                  <w:r>
                    <w:rPr>
                      <w:color w:val="auto"/>
                    </w:rPr>
                    <w:t>-N</w:t>
                  </w:r>
                </w:p>
              </w:tc>
              <w:tc>
                <w:tcPr>
                  <w:tcW w:w="430" w:type="pct"/>
                  <w:shd w:val="clear" w:color="auto" w:fill="auto"/>
                  <w:vAlign w:val="center"/>
                </w:tcPr>
                <w:p w14:paraId="5BAC7DFA">
                  <w:pPr>
                    <w:pStyle w:val="160"/>
                    <w:rPr>
                      <w:color w:val="auto"/>
                    </w:rPr>
                  </w:pPr>
                  <w:r>
                    <w:rPr>
                      <w:color w:val="auto"/>
                    </w:rPr>
                    <w:t>间歇</w:t>
                  </w:r>
                </w:p>
              </w:tc>
              <w:tc>
                <w:tcPr>
                  <w:tcW w:w="1558" w:type="pct"/>
                  <w:shd w:val="clear" w:color="auto" w:fill="auto"/>
                  <w:vAlign w:val="center"/>
                </w:tcPr>
                <w:p w14:paraId="79248E3D">
                  <w:pPr>
                    <w:pStyle w:val="160"/>
                    <w:rPr>
                      <w:color w:val="FF0000"/>
                    </w:rPr>
                  </w:pPr>
                  <w:r>
                    <w:rPr>
                      <w:rFonts w:hint="eastAsia"/>
                      <w:color w:val="auto"/>
                      <w:lang w:val="en-US" w:eastAsia="zh-CN"/>
                    </w:rPr>
                    <w:t>生活污水经厂区化粪池处理，化粪池定期清掏，不外排</w:t>
                  </w:r>
                </w:p>
              </w:tc>
            </w:tr>
            <w:tr w14:paraId="50E3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17B8374D">
                  <w:pPr>
                    <w:pStyle w:val="160"/>
                    <w:rPr>
                      <w:color w:val="auto"/>
                    </w:rPr>
                  </w:pPr>
                </w:p>
              </w:tc>
              <w:tc>
                <w:tcPr>
                  <w:tcW w:w="595" w:type="pct"/>
                  <w:shd w:val="clear" w:color="auto" w:fill="auto"/>
                  <w:vAlign w:val="center"/>
                </w:tcPr>
                <w:p w14:paraId="066267EE">
                  <w:pPr>
                    <w:pStyle w:val="160"/>
                    <w:rPr>
                      <w:rFonts w:hint="default" w:eastAsia="宋体"/>
                      <w:color w:val="auto"/>
                      <w:lang w:val="en-US" w:eastAsia="zh-CN"/>
                    </w:rPr>
                  </w:pPr>
                  <w:r>
                    <w:rPr>
                      <w:rFonts w:hint="default" w:eastAsia="宋体"/>
                      <w:color w:val="auto"/>
                      <w:lang w:val="en-US" w:eastAsia="zh-CN"/>
                    </w:rPr>
                    <w:t>冷却用水</w:t>
                  </w:r>
                </w:p>
              </w:tc>
              <w:tc>
                <w:tcPr>
                  <w:tcW w:w="410" w:type="pct"/>
                  <w:shd w:val="clear" w:color="auto" w:fill="auto"/>
                  <w:vAlign w:val="center"/>
                </w:tcPr>
                <w:p w14:paraId="4460EB55">
                  <w:pPr>
                    <w:pStyle w:val="160"/>
                    <w:rPr>
                      <w:rFonts w:hint="eastAsia"/>
                      <w:color w:val="auto"/>
                      <w:lang w:val="en-US" w:eastAsia="zh-CN"/>
                    </w:rPr>
                  </w:pPr>
                  <w:r>
                    <w:rPr>
                      <w:rFonts w:hint="eastAsia"/>
                      <w:color w:val="auto"/>
                      <w:lang w:val="en-US" w:eastAsia="zh-CN"/>
                    </w:rPr>
                    <w:t>/</w:t>
                  </w:r>
                </w:p>
              </w:tc>
              <w:tc>
                <w:tcPr>
                  <w:tcW w:w="847" w:type="pct"/>
                  <w:shd w:val="clear" w:color="auto" w:fill="auto"/>
                  <w:vAlign w:val="center"/>
                </w:tcPr>
                <w:p w14:paraId="5F268C50">
                  <w:pPr>
                    <w:pStyle w:val="160"/>
                    <w:rPr>
                      <w:rFonts w:hint="default" w:eastAsia="宋体"/>
                      <w:color w:val="auto"/>
                      <w:lang w:val="en-US" w:eastAsia="zh-CN"/>
                    </w:rPr>
                  </w:pPr>
                  <w:r>
                    <w:rPr>
                      <w:rFonts w:hint="eastAsia"/>
                      <w:color w:val="auto"/>
                      <w:lang w:val="en-US" w:eastAsia="zh-CN"/>
                    </w:rPr>
                    <w:t>冷却工序</w:t>
                  </w:r>
                </w:p>
              </w:tc>
              <w:tc>
                <w:tcPr>
                  <w:tcW w:w="932" w:type="pct"/>
                  <w:shd w:val="clear" w:color="auto" w:fill="auto"/>
                  <w:vAlign w:val="center"/>
                </w:tcPr>
                <w:p w14:paraId="3CEE99B2">
                  <w:pPr>
                    <w:pStyle w:val="160"/>
                    <w:rPr>
                      <w:rFonts w:hint="eastAsia" w:eastAsia="宋体"/>
                      <w:color w:val="auto"/>
                      <w:lang w:eastAsia="zh-CN"/>
                    </w:rPr>
                  </w:pPr>
                  <w:r>
                    <w:rPr>
                      <w:rFonts w:hint="default" w:ascii="Times New Roman" w:hAnsi="Times New Roman" w:cs="Times New Roman"/>
                      <w:bCs/>
                      <w:snapToGrid w:val="0"/>
                      <w:color w:val="auto"/>
                      <w:sz w:val="21"/>
                      <w:szCs w:val="21"/>
                      <w:highlight w:val="none"/>
                      <w:lang w:val="en-US" w:eastAsia="zh-CN"/>
                    </w:rPr>
                    <w:t>SS</w:t>
                  </w:r>
                </w:p>
              </w:tc>
              <w:tc>
                <w:tcPr>
                  <w:tcW w:w="430" w:type="pct"/>
                  <w:shd w:val="clear" w:color="auto" w:fill="auto"/>
                  <w:vAlign w:val="center"/>
                </w:tcPr>
                <w:p w14:paraId="2ED271AF">
                  <w:pPr>
                    <w:pStyle w:val="160"/>
                    <w:rPr>
                      <w:color w:val="auto"/>
                    </w:rPr>
                  </w:pPr>
                  <w:r>
                    <w:rPr>
                      <w:color w:val="auto"/>
                    </w:rPr>
                    <w:t>间歇</w:t>
                  </w:r>
                </w:p>
              </w:tc>
              <w:tc>
                <w:tcPr>
                  <w:tcW w:w="1558" w:type="pct"/>
                  <w:shd w:val="clear" w:color="auto" w:fill="auto"/>
                  <w:vAlign w:val="center"/>
                </w:tcPr>
                <w:p w14:paraId="2841D8FA">
                  <w:pPr>
                    <w:pStyle w:val="160"/>
                    <w:rPr>
                      <w:color w:val="auto"/>
                    </w:rPr>
                  </w:pPr>
                  <w:r>
                    <w:rPr>
                      <w:rFonts w:hint="eastAsia"/>
                      <w:color w:val="auto"/>
                    </w:rPr>
                    <w:t>循环使用，定期补充，不外排</w:t>
                  </w:r>
                </w:p>
              </w:tc>
            </w:tr>
            <w:tr w14:paraId="47A4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restart"/>
                  <w:shd w:val="clear" w:color="auto" w:fill="auto"/>
                  <w:vAlign w:val="center"/>
                </w:tcPr>
                <w:p w14:paraId="4E9C0474">
                  <w:pPr>
                    <w:pStyle w:val="160"/>
                    <w:rPr>
                      <w:color w:val="auto"/>
                    </w:rPr>
                  </w:pPr>
                  <w:r>
                    <w:rPr>
                      <w:color w:val="auto"/>
                    </w:rPr>
                    <w:t>废气</w:t>
                  </w:r>
                </w:p>
              </w:tc>
              <w:tc>
                <w:tcPr>
                  <w:tcW w:w="410" w:type="pct"/>
                  <w:shd w:val="clear" w:color="auto" w:fill="auto"/>
                  <w:vAlign w:val="center"/>
                </w:tcPr>
                <w:p w14:paraId="534EB594">
                  <w:pPr>
                    <w:pStyle w:val="160"/>
                    <w:rPr>
                      <w:rFonts w:hint="default" w:eastAsia="宋体"/>
                      <w:color w:val="auto"/>
                      <w:lang w:val="en-US" w:eastAsia="zh-CN"/>
                    </w:rPr>
                  </w:pPr>
                  <w:r>
                    <w:rPr>
                      <w:rFonts w:hint="eastAsia"/>
                      <w:color w:val="auto"/>
                      <w:lang w:val="en-US" w:eastAsia="zh-CN"/>
                    </w:rPr>
                    <w:t>G1</w:t>
                  </w:r>
                </w:p>
              </w:tc>
              <w:tc>
                <w:tcPr>
                  <w:tcW w:w="847" w:type="pct"/>
                  <w:shd w:val="clear" w:color="auto" w:fill="auto"/>
                  <w:vAlign w:val="center"/>
                </w:tcPr>
                <w:p w14:paraId="3DA18147">
                  <w:pPr>
                    <w:pStyle w:val="160"/>
                    <w:rPr>
                      <w:rFonts w:hint="eastAsia" w:eastAsia="宋体"/>
                      <w:color w:val="auto"/>
                      <w:lang w:eastAsia="zh-CN"/>
                    </w:rPr>
                  </w:pPr>
                  <w:r>
                    <w:rPr>
                      <w:rFonts w:hint="eastAsia" w:eastAsia="宋体"/>
                      <w:color w:val="auto"/>
                      <w:lang w:val="en-US" w:eastAsia="zh-CN"/>
                    </w:rPr>
                    <w:t>注塑工序废气</w:t>
                  </w:r>
                </w:p>
              </w:tc>
              <w:tc>
                <w:tcPr>
                  <w:tcW w:w="932" w:type="pct"/>
                  <w:shd w:val="clear" w:color="auto" w:fill="auto"/>
                  <w:vAlign w:val="center"/>
                </w:tcPr>
                <w:p w14:paraId="3DED0887">
                  <w:pPr>
                    <w:pStyle w:val="160"/>
                    <w:rPr>
                      <w:rFonts w:hint="eastAsia" w:eastAsia="宋体"/>
                      <w:color w:val="auto"/>
                      <w:lang w:eastAsia="zh-CN"/>
                    </w:rPr>
                  </w:pPr>
                  <w:r>
                    <w:rPr>
                      <w:rFonts w:hint="eastAsia"/>
                      <w:color w:val="auto"/>
                      <w:lang w:eastAsia="zh-CN"/>
                    </w:rPr>
                    <w:t>非甲烷总烃、臭气浓度</w:t>
                  </w:r>
                </w:p>
              </w:tc>
              <w:tc>
                <w:tcPr>
                  <w:tcW w:w="430" w:type="pct"/>
                  <w:shd w:val="clear" w:color="auto" w:fill="auto"/>
                  <w:vAlign w:val="center"/>
                </w:tcPr>
                <w:p w14:paraId="6A35DED9">
                  <w:pPr>
                    <w:pStyle w:val="160"/>
                    <w:rPr>
                      <w:rFonts w:hint="eastAsia"/>
                      <w:color w:val="auto"/>
                    </w:rPr>
                  </w:pPr>
                  <w:r>
                    <w:rPr>
                      <w:color w:val="auto"/>
                    </w:rPr>
                    <w:t>间歇</w:t>
                  </w:r>
                </w:p>
              </w:tc>
              <w:tc>
                <w:tcPr>
                  <w:tcW w:w="1558" w:type="pct"/>
                  <w:shd w:val="clear" w:color="auto" w:fill="auto"/>
                  <w:vAlign w:val="center"/>
                </w:tcPr>
                <w:p w14:paraId="53A01272">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经集气罩（带软帘）收集后经</w:t>
                  </w:r>
                  <w:r>
                    <w:rPr>
                      <w:rFonts w:hint="eastAsia" w:ascii="Times New Roman" w:hAnsi="Times New Roman" w:eastAsia="宋体"/>
                      <w:sz w:val="21"/>
                      <w:szCs w:val="21"/>
                      <w:highlight w:val="none"/>
                      <w:lang w:val="en-US" w:eastAsia="zh-CN"/>
                    </w:rPr>
                    <w:t>“活性炭吸附/脱附+催化燃烧装置”</w:t>
                  </w:r>
                  <w:r>
                    <w:rPr>
                      <w:rFonts w:hint="eastAsia" w:ascii="Times New Roman" w:hAnsi="Times New Roman" w:cs="Times New Roman"/>
                      <w:color w:val="auto"/>
                      <w:szCs w:val="21"/>
                      <w:highlight w:val="none"/>
                      <w:lang w:val="en-US" w:eastAsia="zh-CN"/>
                    </w:rPr>
                    <w:t>（TA001）处理，处理后经15m高排气筒DA001排放</w:t>
                  </w:r>
                </w:p>
              </w:tc>
            </w:tr>
            <w:tr w14:paraId="79066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39A968CF">
                  <w:pPr>
                    <w:pStyle w:val="160"/>
                    <w:rPr>
                      <w:color w:val="auto"/>
                    </w:rPr>
                  </w:pPr>
                </w:p>
              </w:tc>
              <w:tc>
                <w:tcPr>
                  <w:tcW w:w="410" w:type="pct"/>
                  <w:shd w:val="clear" w:color="auto" w:fill="auto"/>
                  <w:vAlign w:val="center"/>
                </w:tcPr>
                <w:p w14:paraId="063EB8CB">
                  <w:pPr>
                    <w:pStyle w:val="160"/>
                    <w:rPr>
                      <w:rFonts w:hint="default"/>
                      <w:color w:val="auto"/>
                      <w:lang w:val="en-US" w:eastAsia="zh-CN"/>
                    </w:rPr>
                  </w:pPr>
                  <w:r>
                    <w:rPr>
                      <w:rFonts w:hint="eastAsia"/>
                      <w:color w:val="auto"/>
                      <w:lang w:val="en-US" w:eastAsia="zh-CN"/>
                    </w:rPr>
                    <w:t>G2</w:t>
                  </w:r>
                </w:p>
              </w:tc>
              <w:tc>
                <w:tcPr>
                  <w:tcW w:w="847" w:type="pct"/>
                  <w:shd w:val="clear" w:color="auto" w:fill="auto"/>
                  <w:vAlign w:val="center"/>
                </w:tcPr>
                <w:p w14:paraId="5633FBA1">
                  <w:pPr>
                    <w:pStyle w:val="160"/>
                    <w:rPr>
                      <w:rFonts w:hint="eastAsia"/>
                      <w:color w:val="auto"/>
                      <w:lang w:val="en-US" w:eastAsia="zh-CN"/>
                    </w:rPr>
                  </w:pPr>
                  <w:r>
                    <w:rPr>
                      <w:rFonts w:hint="eastAsia" w:ascii="Times New Roman" w:hAnsi="Times New Roman" w:cs="Times New Roman"/>
                      <w:color w:val="auto"/>
                      <w:szCs w:val="21"/>
                      <w:highlight w:val="none"/>
                      <w:lang w:val="en-US" w:eastAsia="zh-CN"/>
                    </w:rPr>
                    <w:t>粉碎工序废气</w:t>
                  </w:r>
                </w:p>
              </w:tc>
              <w:tc>
                <w:tcPr>
                  <w:tcW w:w="932" w:type="pct"/>
                  <w:shd w:val="clear" w:color="auto" w:fill="auto"/>
                  <w:vAlign w:val="center"/>
                </w:tcPr>
                <w:p w14:paraId="11CB645D">
                  <w:pPr>
                    <w:pStyle w:val="160"/>
                    <w:rPr>
                      <w:rFonts w:hint="eastAsia"/>
                      <w:color w:val="auto"/>
                      <w:lang w:eastAsia="zh-CN"/>
                    </w:rPr>
                  </w:pPr>
                  <w:r>
                    <w:rPr>
                      <w:rFonts w:hint="eastAsia" w:ascii="Times New Roman" w:hAnsi="Times New Roman"/>
                      <w:snapToGrid w:val="0"/>
                      <w:szCs w:val="21"/>
                    </w:rPr>
                    <w:t>颗粒物</w:t>
                  </w:r>
                </w:p>
              </w:tc>
              <w:tc>
                <w:tcPr>
                  <w:tcW w:w="430" w:type="pct"/>
                  <w:shd w:val="clear" w:color="auto" w:fill="auto"/>
                  <w:vAlign w:val="center"/>
                </w:tcPr>
                <w:p w14:paraId="498783CE">
                  <w:pPr>
                    <w:pStyle w:val="160"/>
                    <w:rPr>
                      <w:color w:val="auto"/>
                    </w:rPr>
                  </w:pPr>
                  <w:r>
                    <w:rPr>
                      <w:color w:val="auto"/>
                    </w:rPr>
                    <w:t>间歇</w:t>
                  </w:r>
                </w:p>
              </w:tc>
              <w:tc>
                <w:tcPr>
                  <w:tcW w:w="1558" w:type="pct"/>
                  <w:shd w:val="clear" w:color="auto" w:fill="auto"/>
                  <w:vAlign w:val="center"/>
                </w:tcPr>
                <w:p w14:paraId="04EDF067">
                  <w:pPr>
                    <w:pStyle w:val="160"/>
                    <w:rPr>
                      <w:rFonts w:hint="eastAsia"/>
                      <w:color w:val="auto"/>
                      <w:lang w:eastAsia="zh-CN"/>
                    </w:rPr>
                  </w:pPr>
                  <w:r>
                    <w:rPr>
                      <w:rFonts w:hint="eastAsia" w:ascii="Times New Roman" w:hAnsi="Times New Roman" w:cs="Times New Roman"/>
                      <w:color w:val="auto"/>
                      <w:szCs w:val="21"/>
                      <w:highlight w:val="none"/>
                      <w:lang w:val="en-US" w:eastAsia="zh-CN"/>
                    </w:rPr>
                    <w:t>经集气罩（带软帘）收集后经布袋除尘器（TA002）处理，处理后经15m高排气筒DA002排放</w:t>
                  </w:r>
                </w:p>
              </w:tc>
            </w:tr>
            <w:tr w14:paraId="57F3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shd w:val="clear" w:color="auto" w:fill="auto"/>
                  <w:vAlign w:val="center"/>
                </w:tcPr>
                <w:p w14:paraId="5E3CAA82">
                  <w:pPr>
                    <w:pStyle w:val="160"/>
                    <w:rPr>
                      <w:color w:val="auto"/>
                    </w:rPr>
                  </w:pPr>
                  <w:r>
                    <w:rPr>
                      <w:color w:val="auto"/>
                    </w:rPr>
                    <w:t>噪声</w:t>
                  </w:r>
                </w:p>
              </w:tc>
              <w:tc>
                <w:tcPr>
                  <w:tcW w:w="410" w:type="pct"/>
                  <w:shd w:val="clear" w:color="auto" w:fill="auto"/>
                  <w:vAlign w:val="center"/>
                </w:tcPr>
                <w:p w14:paraId="7A5CFC12">
                  <w:pPr>
                    <w:pStyle w:val="160"/>
                    <w:rPr>
                      <w:rFonts w:hint="default" w:eastAsia="宋体"/>
                      <w:color w:val="auto"/>
                      <w:lang w:val="en-US" w:eastAsia="zh-CN"/>
                    </w:rPr>
                  </w:pPr>
                  <w:r>
                    <w:rPr>
                      <w:rFonts w:hint="eastAsia"/>
                      <w:color w:val="auto"/>
                      <w:lang w:val="en-US" w:eastAsia="zh-CN"/>
                    </w:rPr>
                    <w:t>N</w:t>
                  </w:r>
                </w:p>
              </w:tc>
              <w:tc>
                <w:tcPr>
                  <w:tcW w:w="847" w:type="pct"/>
                  <w:shd w:val="clear" w:color="auto" w:fill="auto"/>
                  <w:vAlign w:val="center"/>
                </w:tcPr>
                <w:p w14:paraId="46BF4571">
                  <w:pPr>
                    <w:pStyle w:val="160"/>
                    <w:rPr>
                      <w:color w:val="auto"/>
                      <w:highlight w:val="none"/>
                    </w:rPr>
                  </w:pPr>
                  <w:r>
                    <w:rPr>
                      <w:color w:val="auto"/>
                      <w:highlight w:val="none"/>
                    </w:rPr>
                    <w:t>机械设备运行</w:t>
                  </w:r>
                </w:p>
              </w:tc>
              <w:tc>
                <w:tcPr>
                  <w:tcW w:w="932" w:type="pct"/>
                  <w:shd w:val="clear" w:color="auto" w:fill="auto"/>
                  <w:vAlign w:val="center"/>
                </w:tcPr>
                <w:p w14:paraId="06D1D931">
                  <w:pPr>
                    <w:pStyle w:val="160"/>
                    <w:rPr>
                      <w:color w:val="auto"/>
                      <w:highlight w:val="none"/>
                    </w:rPr>
                  </w:pPr>
                  <w:r>
                    <w:rPr>
                      <w:color w:val="auto"/>
                      <w:highlight w:val="none"/>
                    </w:rPr>
                    <w:t>噪声</w:t>
                  </w:r>
                </w:p>
              </w:tc>
              <w:tc>
                <w:tcPr>
                  <w:tcW w:w="430" w:type="pct"/>
                  <w:shd w:val="clear" w:color="auto" w:fill="auto"/>
                  <w:vAlign w:val="center"/>
                </w:tcPr>
                <w:p w14:paraId="5A7B96E9">
                  <w:pPr>
                    <w:pStyle w:val="160"/>
                    <w:rPr>
                      <w:rFonts w:hint="eastAsia"/>
                      <w:color w:val="auto"/>
                      <w:highlight w:val="none"/>
                    </w:rPr>
                  </w:pPr>
                  <w:r>
                    <w:rPr>
                      <w:color w:val="auto"/>
                      <w:highlight w:val="none"/>
                    </w:rPr>
                    <w:t>间歇</w:t>
                  </w:r>
                </w:p>
              </w:tc>
              <w:tc>
                <w:tcPr>
                  <w:tcW w:w="1558" w:type="pct"/>
                  <w:shd w:val="clear" w:color="auto" w:fill="auto"/>
                  <w:vAlign w:val="center"/>
                </w:tcPr>
                <w:p w14:paraId="7FD52AEF">
                  <w:pPr>
                    <w:pStyle w:val="160"/>
                    <w:rPr>
                      <w:color w:val="auto"/>
                      <w:highlight w:val="none"/>
                    </w:rPr>
                  </w:pPr>
                  <w:r>
                    <w:rPr>
                      <w:rFonts w:hint="eastAsia"/>
                      <w:color w:val="auto"/>
                      <w:highlight w:val="none"/>
                    </w:rPr>
                    <w:t>低噪声设备，减振、</w:t>
                  </w:r>
                  <w:r>
                    <w:rPr>
                      <w:rFonts w:hint="default" w:ascii="Times New Roman" w:hAnsi="Times New Roman" w:eastAsia="宋体" w:cs="Times New Roman"/>
                      <w:color w:val="auto"/>
                      <w:sz w:val="21"/>
                      <w:szCs w:val="21"/>
                      <w:highlight w:val="none"/>
                    </w:rPr>
                    <w:t>消声、减振、厂房屏蔽</w:t>
                  </w:r>
                </w:p>
              </w:tc>
            </w:tr>
            <w:tr w14:paraId="63CDE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restart"/>
                  <w:shd w:val="clear" w:color="auto" w:fill="auto"/>
                  <w:vAlign w:val="center"/>
                </w:tcPr>
                <w:p w14:paraId="2298FD20">
                  <w:pPr>
                    <w:pStyle w:val="160"/>
                    <w:rPr>
                      <w:color w:val="auto"/>
                    </w:rPr>
                  </w:pPr>
                  <w:r>
                    <w:rPr>
                      <w:rFonts w:hint="eastAsia"/>
                      <w:color w:val="auto"/>
                    </w:rPr>
                    <w:t>固废</w:t>
                  </w:r>
                </w:p>
              </w:tc>
              <w:tc>
                <w:tcPr>
                  <w:tcW w:w="595" w:type="pct"/>
                  <w:vMerge w:val="restart"/>
                  <w:shd w:val="clear" w:color="auto" w:fill="auto"/>
                  <w:vAlign w:val="center"/>
                </w:tcPr>
                <w:p w14:paraId="6DBACB9F">
                  <w:pPr>
                    <w:pStyle w:val="160"/>
                    <w:rPr>
                      <w:rFonts w:hint="eastAsia"/>
                      <w:color w:val="auto"/>
                      <w:lang w:val="en-US" w:eastAsia="zh-CN"/>
                    </w:rPr>
                  </w:pPr>
                  <w:r>
                    <w:rPr>
                      <w:rFonts w:hint="eastAsia"/>
                      <w:color w:val="auto"/>
                    </w:rPr>
                    <w:t>一般固废</w:t>
                  </w:r>
                </w:p>
              </w:tc>
              <w:tc>
                <w:tcPr>
                  <w:tcW w:w="410" w:type="pct"/>
                  <w:shd w:val="clear" w:color="auto" w:fill="auto"/>
                  <w:vAlign w:val="center"/>
                </w:tcPr>
                <w:p w14:paraId="38D02F5D">
                  <w:pPr>
                    <w:pStyle w:val="160"/>
                    <w:rPr>
                      <w:rFonts w:hint="eastAsia"/>
                      <w:color w:val="auto"/>
                    </w:rPr>
                  </w:pPr>
                  <w:r>
                    <w:rPr>
                      <w:rFonts w:hint="eastAsia"/>
                      <w:color w:val="auto"/>
                    </w:rPr>
                    <w:t>S1</w:t>
                  </w:r>
                </w:p>
              </w:tc>
              <w:tc>
                <w:tcPr>
                  <w:tcW w:w="847" w:type="pct"/>
                  <w:shd w:val="clear" w:color="auto" w:fill="auto"/>
                  <w:vAlign w:val="center"/>
                </w:tcPr>
                <w:p w14:paraId="3D4CE9BE">
                  <w:pPr>
                    <w:pStyle w:val="160"/>
                    <w:rPr>
                      <w:rFonts w:hint="eastAsia" w:eastAsia="宋体"/>
                      <w:color w:val="auto"/>
                      <w:lang w:val="en-US" w:eastAsia="zh-CN"/>
                    </w:rPr>
                  </w:pPr>
                  <w:r>
                    <w:rPr>
                      <w:rFonts w:hint="eastAsia"/>
                      <w:color w:val="auto"/>
                      <w:lang w:val="en-US" w:eastAsia="zh-CN"/>
                    </w:rPr>
                    <w:t>原料包装</w:t>
                  </w:r>
                </w:p>
              </w:tc>
              <w:tc>
                <w:tcPr>
                  <w:tcW w:w="932" w:type="pct"/>
                  <w:shd w:val="clear" w:color="auto" w:fill="auto"/>
                  <w:vAlign w:val="center"/>
                </w:tcPr>
                <w:p w14:paraId="6B234C47">
                  <w:pPr>
                    <w:pStyle w:val="160"/>
                    <w:rPr>
                      <w:color w:val="auto"/>
                      <w:highlight w:val="yellow"/>
                    </w:rPr>
                  </w:pPr>
                  <w:r>
                    <w:rPr>
                      <w:rFonts w:hint="eastAsia"/>
                      <w:color w:val="auto"/>
                      <w:highlight w:val="none"/>
                      <w:lang w:eastAsia="zh-CN"/>
                    </w:rPr>
                    <w:t>废包装袋</w:t>
                  </w:r>
                </w:p>
              </w:tc>
              <w:tc>
                <w:tcPr>
                  <w:tcW w:w="430" w:type="pct"/>
                  <w:shd w:val="clear" w:color="auto" w:fill="auto"/>
                  <w:vAlign w:val="center"/>
                </w:tcPr>
                <w:p w14:paraId="61B3C086">
                  <w:pPr>
                    <w:pStyle w:val="160"/>
                    <w:rPr>
                      <w:rFonts w:hint="eastAsia"/>
                      <w:color w:val="auto"/>
                    </w:rPr>
                  </w:pPr>
                  <w:r>
                    <w:rPr>
                      <w:color w:val="auto"/>
                    </w:rPr>
                    <w:t>间歇</w:t>
                  </w:r>
                </w:p>
              </w:tc>
              <w:tc>
                <w:tcPr>
                  <w:tcW w:w="1558" w:type="pct"/>
                  <w:vMerge w:val="restart"/>
                  <w:shd w:val="clear" w:color="auto" w:fill="auto"/>
                  <w:vAlign w:val="center"/>
                </w:tcPr>
                <w:p w14:paraId="02FF2FD8">
                  <w:pPr>
                    <w:pStyle w:val="160"/>
                    <w:rPr>
                      <w:color w:val="auto"/>
                    </w:rPr>
                  </w:pPr>
                  <w:r>
                    <w:rPr>
                      <w:rFonts w:hint="eastAsia"/>
                      <w:color w:val="auto"/>
                      <w:lang w:val="en-US" w:eastAsia="zh-CN"/>
                    </w:rPr>
                    <w:t>收集后外售综合</w:t>
                  </w:r>
                  <w:r>
                    <w:rPr>
                      <w:rFonts w:hint="eastAsia"/>
                      <w:color w:val="auto"/>
                    </w:rPr>
                    <w:t>利用</w:t>
                  </w:r>
                </w:p>
              </w:tc>
            </w:tr>
            <w:tr w14:paraId="08D0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763D188B">
                  <w:pPr>
                    <w:pStyle w:val="160"/>
                    <w:rPr>
                      <w:color w:val="auto"/>
                    </w:rPr>
                  </w:pPr>
                </w:p>
              </w:tc>
              <w:tc>
                <w:tcPr>
                  <w:tcW w:w="595" w:type="pct"/>
                  <w:vMerge w:val="continue"/>
                  <w:shd w:val="clear" w:color="auto" w:fill="auto"/>
                  <w:vAlign w:val="center"/>
                </w:tcPr>
                <w:p w14:paraId="643F05F0">
                  <w:pPr>
                    <w:pStyle w:val="160"/>
                    <w:rPr>
                      <w:rFonts w:hint="eastAsia" w:eastAsia="宋体"/>
                      <w:color w:val="auto"/>
                      <w:lang w:eastAsia="zh-CN"/>
                    </w:rPr>
                  </w:pPr>
                </w:p>
              </w:tc>
              <w:tc>
                <w:tcPr>
                  <w:tcW w:w="410" w:type="pct"/>
                  <w:shd w:val="clear" w:color="auto" w:fill="auto"/>
                  <w:vAlign w:val="center"/>
                </w:tcPr>
                <w:p w14:paraId="41E54122">
                  <w:pPr>
                    <w:pStyle w:val="160"/>
                    <w:rPr>
                      <w:rFonts w:hint="default"/>
                      <w:color w:val="auto"/>
                      <w:lang w:val="en-US" w:eastAsia="zh-CN"/>
                    </w:rPr>
                  </w:pPr>
                  <w:r>
                    <w:rPr>
                      <w:rFonts w:hint="eastAsia"/>
                      <w:color w:val="auto"/>
                      <w:lang w:val="en-US" w:eastAsia="zh-CN"/>
                    </w:rPr>
                    <w:t>/</w:t>
                  </w:r>
                </w:p>
              </w:tc>
              <w:tc>
                <w:tcPr>
                  <w:tcW w:w="847" w:type="pct"/>
                  <w:vMerge w:val="restart"/>
                  <w:shd w:val="clear" w:color="auto" w:fill="auto"/>
                  <w:vAlign w:val="center"/>
                </w:tcPr>
                <w:p w14:paraId="27504898">
                  <w:pPr>
                    <w:pStyle w:val="160"/>
                    <w:rPr>
                      <w:rFonts w:hint="eastAsia" w:eastAsia="宋体"/>
                      <w:color w:val="auto"/>
                      <w:lang w:eastAsia="zh-CN"/>
                    </w:rPr>
                  </w:pPr>
                  <w:r>
                    <w:rPr>
                      <w:rFonts w:hint="eastAsia"/>
                      <w:color w:val="auto"/>
                      <w:lang w:eastAsia="zh-CN"/>
                    </w:rPr>
                    <w:t>布袋除尘器</w:t>
                  </w:r>
                </w:p>
              </w:tc>
              <w:tc>
                <w:tcPr>
                  <w:tcW w:w="932" w:type="pct"/>
                  <w:shd w:val="clear" w:color="auto" w:fill="auto"/>
                  <w:vAlign w:val="center"/>
                </w:tcPr>
                <w:p w14:paraId="36616E3B">
                  <w:pPr>
                    <w:pStyle w:val="160"/>
                    <w:rPr>
                      <w:rFonts w:hint="eastAsia"/>
                      <w:color w:val="auto"/>
                      <w:highlight w:val="none"/>
                    </w:rPr>
                  </w:pPr>
                  <w:r>
                    <w:rPr>
                      <w:rFonts w:hint="eastAsia"/>
                      <w:color w:val="auto"/>
                      <w:highlight w:val="none"/>
                      <w:lang w:val="en-US" w:eastAsia="zh-CN"/>
                    </w:rPr>
                    <w:t>废布袋</w:t>
                  </w:r>
                </w:p>
              </w:tc>
              <w:tc>
                <w:tcPr>
                  <w:tcW w:w="430" w:type="pct"/>
                  <w:shd w:val="clear" w:color="auto" w:fill="auto"/>
                  <w:vAlign w:val="center"/>
                </w:tcPr>
                <w:p w14:paraId="481A4DD5">
                  <w:pPr>
                    <w:pStyle w:val="160"/>
                    <w:rPr>
                      <w:color w:val="auto"/>
                    </w:rPr>
                  </w:pPr>
                  <w:r>
                    <w:rPr>
                      <w:color w:val="auto"/>
                    </w:rPr>
                    <w:t>间歇</w:t>
                  </w:r>
                </w:p>
              </w:tc>
              <w:tc>
                <w:tcPr>
                  <w:tcW w:w="1558" w:type="pct"/>
                  <w:vMerge w:val="continue"/>
                  <w:shd w:val="clear" w:color="auto" w:fill="auto"/>
                  <w:vAlign w:val="center"/>
                </w:tcPr>
                <w:p w14:paraId="7C02E1FD">
                  <w:pPr>
                    <w:pStyle w:val="160"/>
                    <w:rPr>
                      <w:color w:val="auto"/>
                    </w:rPr>
                  </w:pPr>
                </w:p>
              </w:tc>
            </w:tr>
            <w:tr w14:paraId="6A98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29E18E74">
                  <w:pPr>
                    <w:pStyle w:val="160"/>
                    <w:rPr>
                      <w:color w:val="auto"/>
                    </w:rPr>
                  </w:pPr>
                </w:p>
              </w:tc>
              <w:tc>
                <w:tcPr>
                  <w:tcW w:w="595" w:type="pct"/>
                  <w:vMerge w:val="continue"/>
                  <w:shd w:val="clear" w:color="auto" w:fill="auto"/>
                  <w:vAlign w:val="center"/>
                </w:tcPr>
                <w:p w14:paraId="3AE77547">
                  <w:pPr>
                    <w:pStyle w:val="160"/>
                    <w:rPr>
                      <w:rFonts w:hint="eastAsia" w:eastAsia="宋体"/>
                      <w:color w:val="auto"/>
                      <w:lang w:eastAsia="zh-CN"/>
                    </w:rPr>
                  </w:pPr>
                </w:p>
              </w:tc>
              <w:tc>
                <w:tcPr>
                  <w:tcW w:w="410" w:type="pct"/>
                  <w:shd w:val="clear" w:color="auto" w:fill="auto"/>
                  <w:vAlign w:val="center"/>
                </w:tcPr>
                <w:p w14:paraId="22C1258C">
                  <w:pPr>
                    <w:pStyle w:val="160"/>
                    <w:rPr>
                      <w:rFonts w:hint="default"/>
                      <w:color w:val="auto"/>
                      <w:lang w:val="en-US" w:eastAsia="zh-CN"/>
                    </w:rPr>
                  </w:pPr>
                  <w:r>
                    <w:rPr>
                      <w:rFonts w:hint="eastAsia"/>
                      <w:color w:val="auto"/>
                      <w:lang w:val="en-US" w:eastAsia="zh-CN"/>
                    </w:rPr>
                    <w:t>/</w:t>
                  </w:r>
                </w:p>
              </w:tc>
              <w:tc>
                <w:tcPr>
                  <w:tcW w:w="847" w:type="pct"/>
                  <w:vMerge w:val="continue"/>
                  <w:shd w:val="clear" w:color="auto" w:fill="auto"/>
                  <w:vAlign w:val="center"/>
                </w:tcPr>
                <w:p w14:paraId="22E1A93C">
                  <w:pPr>
                    <w:pStyle w:val="160"/>
                    <w:rPr>
                      <w:color w:val="auto"/>
                    </w:rPr>
                  </w:pPr>
                </w:p>
              </w:tc>
              <w:tc>
                <w:tcPr>
                  <w:tcW w:w="932" w:type="pct"/>
                  <w:shd w:val="clear" w:color="auto" w:fill="auto"/>
                  <w:vAlign w:val="center"/>
                </w:tcPr>
                <w:p w14:paraId="7B3FF8EA">
                  <w:pPr>
                    <w:pStyle w:val="160"/>
                    <w:rPr>
                      <w:rFonts w:hint="eastAsia"/>
                      <w:color w:val="auto"/>
                      <w:highlight w:val="none"/>
                    </w:rPr>
                  </w:pPr>
                  <w:r>
                    <w:rPr>
                      <w:rFonts w:hint="eastAsia"/>
                      <w:color w:val="auto"/>
                      <w:highlight w:val="none"/>
                      <w:lang w:val="en-US" w:eastAsia="zh-CN"/>
                    </w:rPr>
                    <w:t>布袋除尘器收集尘</w:t>
                  </w:r>
                </w:p>
              </w:tc>
              <w:tc>
                <w:tcPr>
                  <w:tcW w:w="430" w:type="pct"/>
                  <w:shd w:val="clear" w:color="auto" w:fill="auto"/>
                  <w:vAlign w:val="center"/>
                </w:tcPr>
                <w:p w14:paraId="1107F12A">
                  <w:pPr>
                    <w:pStyle w:val="160"/>
                    <w:rPr>
                      <w:color w:val="auto"/>
                    </w:rPr>
                  </w:pPr>
                  <w:r>
                    <w:rPr>
                      <w:color w:val="auto"/>
                    </w:rPr>
                    <w:t>间歇</w:t>
                  </w:r>
                </w:p>
              </w:tc>
              <w:tc>
                <w:tcPr>
                  <w:tcW w:w="1558" w:type="pct"/>
                  <w:vMerge w:val="continue"/>
                  <w:shd w:val="clear" w:color="auto" w:fill="auto"/>
                  <w:vAlign w:val="center"/>
                </w:tcPr>
                <w:p w14:paraId="390A0FFA">
                  <w:pPr>
                    <w:pStyle w:val="160"/>
                    <w:rPr>
                      <w:color w:val="auto"/>
                    </w:rPr>
                  </w:pPr>
                </w:p>
              </w:tc>
            </w:tr>
            <w:tr w14:paraId="4422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5F73F771">
                  <w:pPr>
                    <w:pStyle w:val="160"/>
                    <w:rPr>
                      <w:color w:val="auto"/>
                    </w:rPr>
                  </w:pPr>
                </w:p>
              </w:tc>
              <w:tc>
                <w:tcPr>
                  <w:tcW w:w="595" w:type="pct"/>
                  <w:vMerge w:val="continue"/>
                  <w:shd w:val="clear" w:color="auto" w:fill="auto"/>
                  <w:vAlign w:val="center"/>
                </w:tcPr>
                <w:p w14:paraId="398262DA">
                  <w:pPr>
                    <w:pStyle w:val="160"/>
                    <w:rPr>
                      <w:rFonts w:hint="eastAsia" w:eastAsia="宋体"/>
                      <w:color w:val="auto"/>
                      <w:lang w:eastAsia="zh-CN"/>
                    </w:rPr>
                  </w:pPr>
                </w:p>
              </w:tc>
              <w:tc>
                <w:tcPr>
                  <w:tcW w:w="410" w:type="pct"/>
                  <w:shd w:val="clear" w:color="auto" w:fill="auto"/>
                  <w:vAlign w:val="center"/>
                </w:tcPr>
                <w:p w14:paraId="6FFD952A">
                  <w:pPr>
                    <w:pStyle w:val="160"/>
                    <w:rPr>
                      <w:rFonts w:hint="eastAsia"/>
                      <w:color w:val="auto"/>
                      <w:lang w:val="en-US" w:eastAsia="zh-CN"/>
                    </w:rPr>
                  </w:pPr>
                  <w:r>
                    <w:rPr>
                      <w:rFonts w:hint="eastAsia"/>
                      <w:color w:val="auto"/>
                    </w:rPr>
                    <w:t>S2</w:t>
                  </w:r>
                </w:p>
              </w:tc>
              <w:tc>
                <w:tcPr>
                  <w:tcW w:w="847" w:type="pct"/>
                  <w:shd w:val="clear" w:color="auto" w:fill="auto"/>
                  <w:vAlign w:val="center"/>
                </w:tcPr>
                <w:p w14:paraId="14E081C9">
                  <w:pPr>
                    <w:pStyle w:val="160"/>
                    <w:rPr>
                      <w:color w:val="auto"/>
                    </w:rPr>
                  </w:pPr>
                  <w:r>
                    <w:rPr>
                      <w:rFonts w:hint="eastAsia"/>
                      <w:color w:val="auto"/>
                      <w:lang w:val="en-US" w:eastAsia="zh-CN"/>
                    </w:rPr>
                    <w:t>注塑工序</w:t>
                  </w:r>
                </w:p>
              </w:tc>
              <w:tc>
                <w:tcPr>
                  <w:tcW w:w="932" w:type="pct"/>
                  <w:shd w:val="clear" w:color="auto" w:fill="auto"/>
                  <w:vAlign w:val="center"/>
                </w:tcPr>
                <w:p w14:paraId="164CDFA9">
                  <w:pPr>
                    <w:pStyle w:val="160"/>
                    <w:rPr>
                      <w:rFonts w:hint="eastAsia"/>
                      <w:color w:val="auto"/>
                      <w:highlight w:val="none"/>
                      <w:lang w:val="en-US" w:eastAsia="zh-CN"/>
                    </w:rPr>
                  </w:pPr>
                  <w:r>
                    <w:rPr>
                      <w:rFonts w:hint="eastAsia"/>
                      <w:color w:val="auto"/>
                      <w:highlight w:val="none"/>
                      <w:lang w:val="en-US" w:eastAsia="zh-CN"/>
                    </w:rPr>
                    <w:t>废边角料</w:t>
                  </w:r>
                </w:p>
              </w:tc>
              <w:tc>
                <w:tcPr>
                  <w:tcW w:w="430" w:type="pct"/>
                  <w:shd w:val="clear" w:color="auto" w:fill="auto"/>
                  <w:vAlign w:val="center"/>
                </w:tcPr>
                <w:p w14:paraId="08ADA0A3">
                  <w:pPr>
                    <w:pStyle w:val="160"/>
                    <w:rPr>
                      <w:color w:val="auto"/>
                    </w:rPr>
                  </w:pPr>
                  <w:r>
                    <w:rPr>
                      <w:color w:val="auto"/>
                    </w:rPr>
                    <w:t>间歇</w:t>
                  </w:r>
                </w:p>
              </w:tc>
              <w:tc>
                <w:tcPr>
                  <w:tcW w:w="1558" w:type="pct"/>
                  <w:shd w:val="clear" w:color="auto" w:fill="auto"/>
                  <w:vAlign w:val="center"/>
                </w:tcPr>
                <w:p w14:paraId="734BC4AF">
                  <w:pPr>
                    <w:pStyle w:val="160"/>
                    <w:rPr>
                      <w:color w:val="auto"/>
                    </w:rPr>
                  </w:pPr>
                  <w:r>
                    <w:rPr>
                      <w:rFonts w:hint="eastAsia" w:ascii="Times New Roman" w:hAnsi="Times New Roman" w:eastAsia="宋体"/>
                      <w:sz w:val="21"/>
                      <w:szCs w:val="21"/>
                      <w:highlight w:val="none"/>
                      <w:lang w:eastAsia="zh-CN"/>
                    </w:rPr>
                    <w:t>经</w:t>
                  </w:r>
                  <w:r>
                    <w:rPr>
                      <w:rFonts w:hint="eastAsia"/>
                      <w:sz w:val="21"/>
                      <w:szCs w:val="21"/>
                      <w:highlight w:val="none"/>
                      <w:lang w:eastAsia="zh-CN"/>
                    </w:rPr>
                    <w:t>低速断料机剪切</w:t>
                  </w:r>
                  <w:r>
                    <w:rPr>
                      <w:rFonts w:hint="eastAsia" w:ascii="Times New Roman" w:hAnsi="Times New Roman" w:eastAsia="宋体"/>
                      <w:sz w:val="21"/>
                      <w:szCs w:val="21"/>
                      <w:highlight w:val="none"/>
                      <w:lang w:eastAsia="zh-CN"/>
                    </w:rPr>
                    <w:t>后回用于生产</w:t>
                  </w:r>
                </w:p>
              </w:tc>
            </w:tr>
            <w:tr w14:paraId="66DB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60E506D3">
                  <w:pPr>
                    <w:pStyle w:val="160"/>
                    <w:rPr>
                      <w:color w:val="auto"/>
                    </w:rPr>
                  </w:pPr>
                </w:p>
              </w:tc>
              <w:tc>
                <w:tcPr>
                  <w:tcW w:w="595" w:type="pct"/>
                  <w:vMerge w:val="continue"/>
                  <w:shd w:val="clear" w:color="auto" w:fill="auto"/>
                  <w:vAlign w:val="center"/>
                </w:tcPr>
                <w:p w14:paraId="703B16CD">
                  <w:pPr>
                    <w:pStyle w:val="160"/>
                    <w:rPr>
                      <w:rFonts w:hint="eastAsia" w:eastAsia="宋体"/>
                      <w:color w:val="auto"/>
                      <w:lang w:eastAsia="zh-CN"/>
                    </w:rPr>
                  </w:pPr>
                </w:p>
              </w:tc>
              <w:tc>
                <w:tcPr>
                  <w:tcW w:w="410" w:type="pct"/>
                  <w:shd w:val="clear" w:color="auto" w:fill="auto"/>
                  <w:vAlign w:val="center"/>
                </w:tcPr>
                <w:p w14:paraId="5FFE07B8">
                  <w:pPr>
                    <w:pStyle w:val="160"/>
                    <w:rPr>
                      <w:rFonts w:hint="eastAsia"/>
                      <w:color w:val="FF0000"/>
                      <w:lang w:val="en-US" w:eastAsia="zh-CN"/>
                    </w:rPr>
                  </w:pPr>
                  <w:r>
                    <w:rPr>
                      <w:rFonts w:hint="eastAsia"/>
                      <w:color w:val="auto"/>
                    </w:rPr>
                    <w:t>S</w:t>
                  </w:r>
                  <w:r>
                    <w:rPr>
                      <w:rFonts w:hint="eastAsia"/>
                      <w:color w:val="auto"/>
                      <w:lang w:val="en-US" w:eastAsia="zh-CN"/>
                    </w:rPr>
                    <w:t>3</w:t>
                  </w:r>
                </w:p>
              </w:tc>
              <w:tc>
                <w:tcPr>
                  <w:tcW w:w="847" w:type="pct"/>
                  <w:shd w:val="clear" w:color="auto" w:fill="auto"/>
                  <w:vAlign w:val="center"/>
                </w:tcPr>
                <w:p w14:paraId="355E95A6">
                  <w:pPr>
                    <w:pStyle w:val="160"/>
                    <w:rPr>
                      <w:rFonts w:hint="eastAsia"/>
                      <w:color w:val="auto"/>
                      <w:lang w:val="en-US" w:eastAsia="zh-CN"/>
                    </w:rPr>
                  </w:pPr>
                  <w:r>
                    <w:rPr>
                      <w:rFonts w:hint="eastAsia"/>
                      <w:color w:val="auto"/>
                      <w:lang w:val="en-US" w:eastAsia="zh-CN"/>
                    </w:rPr>
                    <w:t>检验工序</w:t>
                  </w:r>
                </w:p>
              </w:tc>
              <w:tc>
                <w:tcPr>
                  <w:tcW w:w="932" w:type="pct"/>
                  <w:shd w:val="clear" w:color="auto" w:fill="auto"/>
                  <w:vAlign w:val="center"/>
                </w:tcPr>
                <w:p w14:paraId="7AAF7EFB">
                  <w:pPr>
                    <w:pStyle w:val="160"/>
                    <w:rPr>
                      <w:rFonts w:hint="eastAsia"/>
                      <w:color w:val="auto"/>
                      <w:highlight w:val="none"/>
                      <w:lang w:val="en-US" w:eastAsia="zh-CN"/>
                    </w:rPr>
                  </w:pPr>
                  <w:r>
                    <w:rPr>
                      <w:rFonts w:hint="eastAsia"/>
                      <w:color w:val="auto"/>
                      <w:highlight w:val="none"/>
                      <w:lang w:val="en-US" w:eastAsia="zh-CN"/>
                    </w:rPr>
                    <w:t>不合格品</w:t>
                  </w:r>
                </w:p>
              </w:tc>
              <w:tc>
                <w:tcPr>
                  <w:tcW w:w="430" w:type="pct"/>
                  <w:shd w:val="clear" w:color="auto" w:fill="auto"/>
                  <w:vAlign w:val="center"/>
                </w:tcPr>
                <w:p w14:paraId="2EA8CD7A">
                  <w:pPr>
                    <w:pStyle w:val="160"/>
                    <w:rPr>
                      <w:color w:val="auto"/>
                    </w:rPr>
                  </w:pPr>
                  <w:r>
                    <w:rPr>
                      <w:color w:val="auto"/>
                    </w:rPr>
                    <w:t>间歇</w:t>
                  </w:r>
                </w:p>
              </w:tc>
              <w:tc>
                <w:tcPr>
                  <w:tcW w:w="1558" w:type="pct"/>
                  <w:vMerge w:val="restart"/>
                  <w:shd w:val="clear" w:color="auto" w:fill="auto"/>
                  <w:vAlign w:val="center"/>
                </w:tcPr>
                <w:p w14:paraId="60E7C93C">
                  <w:pPr>
                    <w:pStyle w:val="160"/>
                    <w:rPr>
                      <w:color w:val="auto"/>
                    </w:rPr>
                  </w:pPr>
                  <w:r>
                    <w:rPr>
                      <w:rFonts w:hint="eastAsia" w:ascii="Times New Roman" w:hAnsi="Times New Roman" w:eastAsia="宋体"/>
                      <w:sz w:val="21"/>
                      <w:szCs w:val="21"/>
                      <w:highlight w:val="none"/>
                      <w:lang w:eastAsia="zh-CN"/>
                    </w:rPr>
                    <w:t>经粉碎机粉碎后回用于生产</w:t>
                  </w:r>
                </w:p>
              </w:tc>
            </w:tr>
            <w:tr w14:paraId="7344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07951E00">
                  <w:pPr>
                    <w:pStyle w:val="160"/>
                    <w:rPr>
                      <w:color w:val="auto"/>
                    </w:rPr>
                  </w:pPr>
                </w:p>
              </w:tc>
              <w:tc>
                <w:tcPr>
                  <w:tcW w:w="595" w:type="pct"/>
                  <w:vMerge w:val="continue"/>
                  <w:shd w:val="clear" w:color="auto" w:fill="auto"/>
                  <w:vAlign w:val="center"/>
                </w:tcPr>
                <w:p w14:paraId="30298EA4">
                  <w:pPr>
                    <w:pStyle w:val="160"/>
                    <w:rPr>
                      <w:rFonts w:hint="eastAsia" w:eastAsia="宋体"/>
                      <w:color w:val="auto"/>
                      <w:lang w:eastAsia="zh-CN"/>
                    </w:rPr>
                  </w:pPr>
                </w:p>
              </w:tc>
              <w:tc>
                <w:tcPr>
                  <w:tcW w:w="410" w:type="pct"/>
                  <w:shd w:val="clear" w:color="auto" w:fill="auto"/>
                  <w:vAlign w:val="center"/>
                </w:tcPr>
                <w:p w14:paraId="4D7EB667">
                  <w:pPr>
                    <w:pStyle w:val="160"/>
                    <w:rPr>
                      <w:rFonts w:hint="eastAsia" w:eastAsia="宋体"/>
                      <w:color w:val="FF0000"/>
                      <w:lang w:val="en-US" w:eastAsia="zh-CN"/>
                    </w:rPr>
                  </w:pPr>
                  <w:r>
                    <w:rPr>
                      <w:rFonts w:hint="eastAsia"/>
                      <w:color w:val="auto"/>
                      <w:lang w:val="en-US" w:eastAsia="zh-CN"/>
                    </w:rPr>
                    <w:t>/</w:t>
                  </w:r>
                </w:p>
              </w:tc>
              <w:tc>
                <w:tcPr>
                  <w:tcW w:w="847" w:type="pct"/>
                  <w:shd w:val="clear" w:color="auto" w:fill="auto"/>
                  <w:vAlign w:val="center"/>
                </w:tcPr>
                <w:p w14:paraId="6930812F">
                  <w:pPr>
                    <w:pStyle w:val="160"/>
                    <w:rPr>
                      <w:rFonts w:hint="eastAsia"/>
                      <w:color w:val="auto"/>
                      <w:lang w:val="en-US" w:eastAsia="zh-CN"/>
                    </w:rPr>
                  </w:pPr>
                  <w:r>
                    <w:rPr>
                      <w:rFonts w:hint="eastAsia" w:ascii="Times New Roman" w:hAnsi="Times New Roman" w:eastAsia="宋体"/>
                      <w:sz w:val="21"/>
                      <w:szCs w:val="21"/>
                      <w:highlight w:val="none"/>
                      <w:lang w:eastAsia="zh-CN"/>
                    </w:rPr>
                    <w:t>退货订单</w:t>
                  </w:r>
                </w:p>
              </w:tc>
              <w:tc>
                <w:tcPr>
                  <w:tcW w:w="932" w:type="pct"/>
                  <w:shd w:val="clear" w:color="auto" w:fill="auto"/>
                  <w:vAlign w:val="center"/>
                </w:tcPr>
                <w:p w14:paraId="4FB8C245">
                  <w:pPr>
                    <w:pStyle w:val="160"/>
                    <w:rPr>
                      <w:rFonts w:hint="eastAsia"/>
                      <w:color w:val="auto"/>
                      <w:highlight w:val="none"/>
                      <w:lang w:val="en-US" w:eastAsia="zh-CN"/>
                    </w:rPr>
                  </w:pPr>
                  <w:r>
                    <w:rPr>
                      <w:rFonts w:hint="eastAsia" w:ascii="Times New Roman" w:hAnsi="Times New Roman" w:eastAsia="宋体"/>
                      <w:sz w:val="21"/>
                      <w:szCs w:val="21"/>
                      <w:highlight w:val="none"/>
                      <w:lang w:eastAsia="zh-CN"/>
                    </w:rPr>
                    <w:t>退货订单产品</w:t>
                  </w:r>
                </w:p>
              </w:tc>
              <w:tc>
                <w:tcPr>
                  <w:tcW w:w="430" w:type="pct"/>
                  <w:shd w:val="clear" w:color="auto" w:fill="auto"/>
                  <w:vAlign w:val="center"/>
                </w:tcPr>
                <w:p w14:paraId="15606791">
                  <w:pPr>
                    <w:pStyle w:val="160"/>
                    <w:rPr>
                      <w:color w:val="auto"/>
                    </w:rPr>
                  </w:pPr>
                  <w:r>
                    <w:rPr>
                      <w:color w:val="auto"/>
                    </w:rPr>
                    <w:t>间歇</w:t>
                  </w:r>
                </w:p>
              </w:tc>
              <w:tc>
                <w:tcPr>
                  <w:tcW w:w="1558" w:type="pct"/>
                  <w:vMerge w:val="continue"/>
                  <w:shd w:val="clear" w:color="auto" w:fill="auto"/>
                  <w:vAlign w:val="center"/>
                </w:tcPr>
                <w:p w14:paraId="55E66343">
                  <w:pPr>
                    <w:pStyle w:val="160"/>
                    <w:rPr>
                      <w:color w:val="auto"/>
                    </w:rPr>
                  </w:pPr>
                </w:p>
              </w:tc>
            </w:tr>
            <w:tr w14:paraId="4FD0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70C25CC5">
                  <w:pPr>
                    <w:pStyle w:val="160"/>
                    <w:rPr>
                      <w:color w:val="auto"/>
                    </w:rPr>
                  </w:pPr>
                </w:p>
              </w:tc>
              <w:tc>
                <w:tcPr>
                  <w:tcW w:w="595" w:type="pct"/>
                  <w:shd w:val="clear" w:color="auto" w:fill="auto"/>
                  <w:vAlign w:val="center"/>
                </w:tcPr>
                <w:p w14:paraId="59164F94">
                  <w:pPr>
                    <w:pStyle w:val="160"/>
                    <w:rPr>
                      <w:rFonts w:hint="eastAsia"/>
                      <w:color w:val="auto"/>
                      <w:lang w:val="en-US" w:eastAsia="zh-CN"/>
                    </w:rPr>
                  </w:pPr>
                  <w:r>
                    <w:rPr>
                      <w:color w:val="auto"/>
                    </w:rPr>
                    <w:t>生活垃圾</w:t>
                  </w:r>
                </w:p>
              </w:tc>
              <w:tc>
                <w:tcPr>
                  <w:tcW w:w="410" w:type="pct"/>
                  <w:shd w:val="clear" w:color="auto" w:fill="auto"/>
                  <w:vAlign w:val="center"/>
                </w:tcPr>
                <w:p w14:paraId="2B583B27">
                  <w:pPr>
                    <w:pStyle w:val="160"/>
                    <w:rPr>
                      <w:rFonts w:hint="eastAsia" w:eastAsia="宋体"/>
                      <w:color w:val="auto"/>
                      <w:lang w:eastAsia="zh-CN"/>
                    </w:rPr>
                  </w:pPr>
                  <w:r>
                    <w:rPr>
                      <w:rFonts w:hint="eastAsia"/>
                      <w:color w:val="auto"/>
                      <w:lang w:val="en-US" w:eastAsia="zh-CN"/>
                    </w:rPr>
                    <w:t>/</w:t>
                  </w:r>
                </w:p>
              </w:tc>
              <w:tc>
                <w:tcPr>
                  <w:tcW w:w="847" w:type="pct"/>
                  <w:shd w:val="clear" w:color="auto" w:fill="auto"/>
                  <w:vAlign w:val="center"/>
                </w:tcPr>
                <w:p w14:paraId="1E91F340">
                  <w:pPr>
                    <w:pStyle w:val="160"/>
                    <w:rPr>
                      <w:rFonts w:hint="eastAsia"/>
                      <w:color w:val="auto"/>
                    </w:rPr>
                  </w:pPr>
                  <w:r>
                    <w:rPr>
                      <w:color w:val="auto"/>
                    </w:rPr>
                    <w:t>员工日常生活</w:t>
                  </w:r>
                </w:p>
              </w:tc>
              <w:tc>
                <w:tcPr>
                  <w:tcW w:w="932" w:type="pct"/>
                  <w:shd w:val="clear" w:color="auto" w:fill="auto"/>
                  <w:vAlign w:val="center"/>
                </w:tcPr>
                <w:p w14:paraId="5D3DE9C5">
                  <w:pPr>
                    <w:pStyle w:val="160"/>
                    <w:rPr>
                      <w:rFonts w:hint="eastAsia"/>
                      <w:color w:val="auto"/>
                      <w:highlight w:val="yellow"/>
                    </w:rPr>
                  </w:pPr>
                  <w:r>
                    <w:rPr>
                      <w:color w:val="auto"/>
                      <w:highlight w:val="none"/>
                    </w:rPr>
                    <w:t>生活垃圾</w:t>
                  </w:r>
                </w:p>
              </w:tc>
              <w:tc>
                <w:tcPr>
                  <w:tcW w:w="430" w:type="pct"/>
                  <w:shd w:val="clear" w:color="auto" w:fill="auto"/>
                  <w:vAlign w:val="center"/>
                </w:tcPr>
                <w:p w14:paraId="7AB45C0E">
                  <w:pPr>
                    <w:pStyle w:val="160"/>
                    <w:rPr>
                      <w:color w:val="auto"/>
                    </w:rPr>
                  </w:pPr>
                  <w:r>
                    <w:rPr>
                      <w:color w:val="auto"/>
                    </w:rPr>
                    <w:t>间歇</w:t>
                  </w:r>
                </w:p>
              </w:tc>
              <w:tc>
                <w:tcPr>
                  <w:tcW w:w="1558" w:type="pct"/>
                  <w:shd w:val="clear" w:color="auto" w:fill="auto"/>
                  <w:vAlign w:val="center"/>
                </w:tcPr>
                <w:p w14:paraId="3951DB0D">
                  <w:pPr>
                    <w:pStyle w:val="160"/>
                    <w:jc w:val="center"/>
                    <w:rPr>
                      <w:color w:val="auto"/>
                      <w:highlight w:val="none"/>
                    </w:rPr>
                  </w:pPr>
                  <w:r>
                    <w:rPr>
                      <w:rFonts w:ascii="Times New Roman" w:hAnsi="Times New Roman" w:cs="Times New Roman"/>
                      <w:bCs/>
                      <w:color w:val="auto"/>
                      <w:szCs w:val="21"/>
                      <w:highlight w:val="none"/>
                    </w:rPr>
                    <w:t>生活垃圾交由当地环卫部门统一清运处理</w:t>
                  </w:r>
                </w:p>
              </w:tc>
            </w:tr>
            <w:tr w14:paraId="7BFE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23F71B5E">
                  <w:pPr>
                    <w:pStyle w:val="160"/>
                    <w:rPr>
                      <w:color w:val="auto"/>
                    </w:rPr>
                  </w:pPr>
                </w:p>
              </w:tc>
              <w:tc>
                <w:tcPr>
                  <w:tcW w:w="595" w:type="pct"/>
                  <w:vMerge w:val="restart"/>
                  <w:shd w:val="clear" w:color="auto" w:fill="auto"/>
                  <w:vAlign w:val="center"/>
                </w:tcPr>
                <w:p w14:paraId="4609E5D4">
                  <w:pPr>
                    <w:pStyle w:val="160"/>
                    <w:rPr>
                      <w:rFonts w:hint="eastAsia"/>
                      <w:color w:val="auto"/>
                    </w:rPr>
                  </w:pPr>
                  <w:r>
                    <w:rPr>
                      <w:rFonts w:hint="eastAsia"/>
                      <w:color w:val="auto"/>
                    </w:rPr>
                    <w:t>危废废物</w:t>
                  </w:r>
                </w:p>
              </w:tc>
              <w:tc>
                <w:tcPr>
                  <w:tcW w:w="410" w:type="pct"/>
                  <w:shd w:val="clear" w:color="auto" w:fill="auto"/>
                  <w:vAlign w:val="center"/>
                </w:tcPr>
                <w:p w14:paraId="0501D9AC">
                  <w:pPr>
                    <w:pStyle w:val="160"/>
                    <w:rPr>
                      <w:rFonts w:hint="eastAsia"/>
                      <w:color w:val="auto"/>
                      <w:lang w:val="en-US" w:eastAsia="zh-CN"/>
                    </w:rPr>
                  </w:pPr>
                  <w:r>
                    <w:rPr>
                      <w:rFonts w:hint="eastAsia"/>
                      <w:color w:val="auto"/>
                      <w:lang w:val="en-US" w:eastAsia="zh-CN"/>
                    </w:rPr>
                    <w:t>/</w:t>
                  </w:r>
                </w:p>
              </w:tc>
              <w:tc>
                <w:tcPr>
                  <w:tcW w:w="847" w:type="pct"/>
                  <w:vMerge w:val="restart"/>
                  <w:shd w:val="clear" w:color="auto" w:fill="auto"/>
                  <w:vAlign w:val="center"/>
                </w:tcPr>
                <w:p w14:paraId="27A946AB">
                  <w:pPr>
                    <w:pStyle w:val="160"/>
                    <w:rPr>
                      <w:rFonts w:hint="default"/>
                      <w:color w:val="auto"/>
                      <w:lang w:val="en-US" w:eastAsia="zh-CN"/>
                    </w:rPr>
                  </w:pPr>
                  <w:r>
                    <w:rPr>
                      <w:rFonts w:hint="eastAsia"/>
                      <w:color w:val="auto"/>
                      <w:lang w:val="en-US" w:eastAsia="zh-CN"/>
                    </w:rPr>
                    <w:t>有机废气治理设备</w:t>
                  </w:r>
                </w:p>
              </w:tc>
              <w:tc>
                <w:tcPr>
                  <w:tcW w:w="932" w:type="pct"/>
                  <w:shd w:val="clear" w:color="auto" w:fill="auto"/>
                  <w:vAlign w:val="center"/>
                </w:tcPr>
                <w:p w14:paraId="61A24B2E">
                  <w:pPr>
                    <w:pStyle w:val="160"/>
                    <w:rPr>
                      <w:rFonts w:hint="default"/>
                      <w:color w:val="auto"/>
                      <w:highlight w:val="none"/>
                      <w:lang w:val="en-US" w:eastAsia="zh-CN"/>
                    </w:rPr>
                  </w:pPr>
                  <w:r>
                    <w:rPr>
                      <w:rFonts w:hint="eastAsia"/>
                      <w:color w:val="auto"/>
                      <w:highlight w:val="none"/>
                      <w:lang w:val="en-US" w:eastAsia="zh-CN"/>
                    </w:rPr>
                    <w:t>废活性炭</w:t>
                  </w:r>
                </w:p>
              </w:tc>
              <w:tc>
                <w:tcPr>
                  <w:tcW w:w="430" w:type="pct"/>
                  <w:shd w:val="clear" w:color="auto" w:fill="auto"/>
                  <w:vAlign w:val="center"/>
                </w:tcPr>
                <w:p w14:paraId="46574D63">
                  <w:pPr>
                    <w:pStyle w:val="160"/>
                    <w:rPr>
                      <w:color w:val="auto"/>
                    </w:rPr>
                  </w:pPr>
                  <w:r>
                    <w:rPr>
                      <w:color w:val="auto"/>
                    </w:rPr>
                    <w:t>间歇</w:t>
                  </w:r>
                </w:p>
              </w:tc>
              <w:tc>
                <w:tcPr>
                  <w:tcW w:w="1558" w:type="pct"/>
                  <w:vMerge w:val="restart"/>
                  <w:shd w:val="clear" w:color="auto" w:fill="auto"/>
                  <w:vAlign w:val="center"/>
                </w:tcPr>
                <w:p w14:paraId="6620E13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暂存于危废间，定期交有资质单位处理</w:t>
                  </w:r>
                </w:p>
              </w:tc>
            </w:tr>
            <w:tr w14:paraId="39109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7C79A839">
                  <w:pPr>
                    <w:pStyle w:val="160"/>
                    <w:rPr>
                      <w:color w:val="auto"/>
                    </w:rPr>
                  </w:pPr>
                </w:p>
              </w:tc>
              <w:tc>
                <w:tcPr>
                  <w:tcW w:w="595" w:type="pct"/>
                  <w:vMerge w:val="continue"/>
                  <w:shd w:val="clear" w:color="auto" w:fill="auto"/>
                  <w:vAlign w:val="center"/>
                </w:tcPr>
                <w:p w14:paraId="2BBBC024">
                  <w:pPr>
                    <w:pStyle w:val="160"/>
                    <w:rPr>
                      <w:rFonts w:hint="eastAsia"/>
                      <w:color w:val="auto"/>
                    </w:rPr>
                  </w:pPr>
                </w:p>
              </w:tc>
              <w:tc>
                <w:tcPr>
                  <w:tcW w:w="410" w:type="pct"/>
                  <w:shd w:val="clear" w:color="auto" w:fill="auto"/>
                  <w:vAlign w:val="center"/>
                </w:tcPr>
                <w:p w14:paraId="7CFB69FA">
                  <w:pPr>
                    <w:pStyle w:val="160"/>
                    <w:rPr>
                      <w:rFonts w:hint="eastAsia"/>
                      <w:color w:val="auto"/>
                      <w:lang w:val="en-US" w:eastAsia="zh-CN"/>
                    </w:rPr>
                  </w:pPr>
                  <w:r>
                    <w:rPr>
                      <w:rFonts w:hint="eastAsia"/>
                      <w:color w:val="auto"/>
                      <w:lang w:val="en-US" w:eastAsia="zh-CN"/>
                    </w:rPr>
                    <w:t>/</w:t>
                  </w:r>
                </w:p>
              </w:tc>
              <w:tc>
                <w:tcPr>
                  <w:tcW w:w="847" w:type="pct"/>
                  <w:vMerge w:val="continue"/>
                  <w:shd w:val="clear" w:color="auto" w:fill="auto"/>
                  <w:vAlign w:val="center"/>
                </w:tcPr>
                <w:p w14:paraId="611C23A5">
                  <w:pPr>
                    <w:pStyle w:val="160"/>
                    <w:rPr>
                      <w:rFonts w:hint="eastAsia"/>
                      <w:color w:val="auto"/>
                      <w:lang w:val="en-US" w:eastAsia="zh-CN"/>
                    </w:rPr>
                  </w:pPr>
                </w:p>
              </w:tc>
              <w:tc>
                <w:tcPr>
                  <w:tcW w:w="932" w:type="pct"/>
                  <w:shd w:val="clear" w:color="auto" w:fill="auto"/>
                  <w:vAlign w:val="center"/>
                </w:tcPr>
                <w:p w14:paraId="3BC4F461">
                  <w:pPr>
                    <w:pStyle w:val="160"/>
                    <w:rPr>
                      <w:rFonts w:hint="eastAsia"/>
                      <w:color w:val="auto"/>
                      <w:highlight w:val="none"/>
                      <w:lang w:val="en-US" w:eastAsia="zh-CN"/>
                    </w:rPr>
                  </w:pPr>
                  <w:r>
                    <w:rPr>
                      <w:rFonts w:hint="eastAsia"/>
                      <w:color w:val="auto"/>
                      <w:highlight w:val="none"/>
                      <w:lang w:val="en-US" w:eastAsia="zh-CN"/>
                    </w:rPr>
                    <w:t>废催化剂</w:t>
                  </w:r>
                </w:p>
              </w:tc>
              <w:tc>
                <w:tcPr>
                  <w:tcW w:w="430" w:type="pct"/>
                  <w:shd w:val="clear" w:color="auto" w:fill="auto"/>
                  <w:vAlign w:val="center"/>
                </w:tcPr>
                <w:p w14:paraId="01C833D1">
                  <w:pPr>
                    <w:pStyle w:val="160"/>
                    <w:rPr>
                      <w:color w:val="auto"/>
                    </w:rPr>
                  </w:pPr>
                  <w:r>
                    <w:rPr>
                      <w:color w:val="auto"/>
                    </w:rPr>
                    <w:t>间歇</w:t>
                  </w:r>
                </w:p>
              </w:tc>
              <w:tc>
                <w:tcPr>
                  <w:tcW w:w="1558" w:type="pct"/>
                  <w:vMerge w:val="continue"/>
                  <w:shd w:val="clear" w:color="auto" w:fill="auto"/>
                  <w:vAlign w:val="center"/>
                </w:tcPr>
                <w:p w14:paraId="46E4D01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E99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6D39F552">
                  <w:pPr>
                    <w:pStyle w:val="160"/>
                    <w:rPr>
                      <w:color w:val="auto"/>
                    </w:rPr>
                  </w:pPr>
                </w:p>
              </w:tc>
              <w:tc>
                <w:tcPr>
                  <w:tcW w:w="595" w:type="pct"/>
                  <w:vMerge w:val="continue"/>
                  <w:shd w:val="clear" w:color="auto" w:fill="auto"/>
                  <w:vAlign w:val="center"/>
                </w:tcPr>
                <w:p w14:paraId="1D8D7725">
                  <w:pPr>
                    <w:pStyle w:val="160"/>
                    <w:rPr>
                      <w:rFonts w:hint="eastAsia"/>
                      <w:color w:val="auto"/>
                    </w:rPr>
                  </w:pPr>
                </w:p>
              </w:tc>
              <w:tc>
                <w:tcPr>
                  <w:tcW w:w="410" w:type="pct"/>
                  <w:shd w:val="clear" w:color="auto" w:fill="auto"/>
                  <w:vAlign w:val="center"/>
                </w:tcPr>
                <w:p w14:paraId="628749E6">
                  <w:pPr>
                    <w:pStyle w:val="160"/>
                    <w:rPr>
                      <w:rFonts w:hint="default" w:eastAsia="宋体"/>
                      <w:color w:val="auto"/>
                      <w:lang w:val="en-US" w:eastAsia="zh-CN"/>
                    </w:rPr>
                  </w:pPr>
                  <w:r>
                    <w:rPr>
                      <w:rFonts w:hint="eastAsia"/>
                      <w:color w:val="auto"/>
                      <w:lang w:val="en-US" w:eastAsia="zh-CN"/>
                    </w:rPr>
                    <w:t>/</w:t>
                  </w:r>
                </w:p>
              </w:tc>
              <w:tc>
                <w:tcPr>
                  <w:tcW w:w="847" w:type="pct"/>
                  <w:vMerge w:val="restart"/>
                  <w:shd w:val="clear" w:color="auto" w:fill="auto"/>
                  <w:vAlign w:val="center"/>
                </w:tcPr>
                <w:p w14:paraId="7C8382E2">
                  <w:pPr>
                    <w:pStyle w:val="160"/>
                    <w:rPr>
                      <w:rFonts w:hint="eastAsia"/>
                      <w:color w:val="auto"/>
                      <w:lang w:eastAsia="zh-CN"/>
                    </w:rPr>
                  </w:pPr>
                  <w:r>
                    <w:rPr>
                      <w:rFonts w:hint="eastAsia"/>
                      <w:color w:val="auto"/>
                      <w:lang w:val="en-US" w:eastAsia="zh-CN"/>
                    </w:rPr>
                    <w:t>设备维护</w:t>
                  </w:r>
                </w:p>
              </w:tc>
              <w:tc>
                <w:tcPr>
                  <w:tcW w:w="932" w:type="pct"/>
                  <w:shd w:val="clear" w:color="auto" w:fill="auto"/>
                  <w:vAlign w:val="center"/>
                </w:tcPr>
                <w:p w14:paraId="261A5F6F">
                  <w:pPr>
                    <w:pStyle w:val="160"/>
                    <w:rPr>
                      <w:rFonts w:hint="eastAsia"/>
                      <w:color w:val="auto"/>
                      <w:highlight w:val="none"/>
                      <w:lang w:val="en-US" w:eastAsia="zh-CN"/>
                    </w:rPr>
                  </w:pPr>
                  <w:r>
                    <w:rPr>
                      <w:rFonts w:hint="eastAsia"/>
                      <w:color w:val="auto"/>
                      <w:highlight w:val="none"/>
                      <w:lang w:val="en-US" w:eastAsia="zh-CN"/>
                    </w:rPr>
                    <w:t>废机油</w:t>
                  </w:r>
                </w:p>
              </w:tc>
              <w:tc>
                <w:tcPr>
                  <w:tcW w:w="430" w:type="pct"/>
                  <w:shd w:val="clear" w:color="auto" w:fill="auto"/>
                  <w:vAlign w:val="center"/>
                </w:tcPr>
                <w:p w14:paraId="4D4C9012">
                  <w:pPr>
                    <w:pStyle w:val="160"/>
                    <w:rPr>
                      <w:color w:val="auto"/>
                    </w:rPr>
                  </w:pPr>
                  <w:r>
                    <w:rPr>
                      <w:color w:val="auto"/>
                    </w:rPr>
                    <w:t>间歇</w:t>
                  </w:r>
                </w:p>
              </w:tc>
              <w:tc>
                <w:tcPr>
                  <w:tcW w:w="1558" w:type="pct"/>
                  <w:vMerge w:val="continue"/>
                  <w:shd w:val="clear" w:color="auto" w:fill="auto"/>
                  <w:vAlign w:val="center"/>
                </w:tcPr>
                <w:p w14:paraId="6BF6BC17">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A43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 w:type="pct"/>
                  <w:vMerge w:val="continue"/>
                  <w:shd w:val="clear" w:color="auto" w:fill="auto"/>
                  <w:vAlign w:val="center"/>
                </w:tcPr>
                <w:p w14:paraId="368E77F5">
                  <w:pPr>
                    <w:pStyle w:val="160"/>
                    <w:rPr>
                      <w:color w:val="auto"/>
                    </w:rPr>
                  </w:pPr>
                </w:p>
              </w:tc>
              <w:tc>
                <w:tcPr>
                  <w:tcW w:w="595" w:type="pct"/>
                  <w:vMerge w:val="continue"/>
                  <w:shd w:val="clear" w:color="auto" w:fill="auto"/>
                  <w:vAlign w:val="center"/>
                </w:tcPr>
                <w:p w14:paraId="00C9C0D1">
                  <w:pPr>
                    <w:pStyle w:val="160"/>
                    <w:rPr>
                      <w:rFonts w:hint="eastAsia"/>
                      <w:color w:val="auto"/>
                    </w:rPr>
                  </w:pPr>
                </w:p>
              </w:tc>
              <w:tc>
                <w:tcPr>
                  <w:tcW w:w="410" w:type="pct"/>
                  <w:shd w:val="clear" w:color="auto" w:fill="auto"/>
                  <w:vAlign w:val="center"/>
                </w:tcPr>
                <w:p w14:paraId="57714686">
                  <w:pPr>
                    <w:pStyle w:val="160"/>
                    <w:rPr>
                      <w:rFonts w:hint="eastAsia" w:eastAsia="宋体"/>
                      <w:color w:val="auto"/>
                      <w:lang w:val="en-US" w:eastAsia="zh-CN"/>
                    </w:rPr>
                  </w:pPr>
                  <w:r>
                    <w:rPr>
                      <w:rFonts w:hint="eastAsia"/>
                      <w:color w:val="auto"/>
                      <w:lang w:val="en-US" w:eastAsia="zh-CN"/>
                    </w:rPr>
                    <w:t>/</w:t>
                  </w:r>
                </w:p>
              </w:tc>
              <w:tc>
                <w:tcPr>
                  <w:tcW w:w="847" w:type="pct"/>
                  <w:vMerge w:val="continue"/>
                  <w:shd w:val="clear" w:color="auto" w:fill="auto"/>
                  <w:vAlign w:val="center"/>
                </w:tcPr>
                <w:p w14:paraId="411A0BCD">
                  <w:pPr>
                    <w:pStyle w:val="160"/>
                    <w:rPr>
                      <w:rFonts w:hint="eastAsia"/>
                      <w:color w:val="auto"/>
                      <w:lang w:eastAsia="zh-CN"/>
                    </w:rPr>
                  </w:pPr>
                </w:p>
              </w:tc>
              <w:tc>
                <w:tcPr>
                  <w:tcW w:w="932" w:type="pct"/>
                  <w:shd w:val="clear" w:color="auto" w:fill="auto"/>
                  <w:vAlign w:val="center"/>
                </w:tcPr>
                <w:p w14:paraId="6F3DE937">
                  <w:pPr>
                    <w:pStyle w:val="160"/>
                    <w:rPr>
                      <w:rFonts w:hint="eastAsia"/>
                      <w:color w:val="auto"/>
                      <w:highlight w:val="none"/>
                      <w:lang w:val="en-US" w:eastAsia="zh-CN"/>
                    </w:rPr>
                  </w:pPr>
                  <w:r>
                    <w:rPr>
                      <w:rFonts w:hint="eastAsia"/>
                      <w:color w:val="auto"/>
                      <w:highlight w:val="none"/>
                      <w:lang w:val="en-US" w:eastAsia="zh-CN"/>
                    </w:rPr>
                    <w:t>废机油桶</w:t>
                  </w:r>
                </w:p>
              </w:tc>
              <w:tc>
                <w:tcPr>
                  <w:tcW w:w="430" w:type="pct"/>
                  <w:shd w:val="clear" w:color="auto" w:fill="auto"/>
                  <w:vAlign w:val="center"/>
                </w:tcPr>
                <w:p w14:paraId="2F5B259A">
                  <w:pPr>
                    <w:pStyle w:val="160"/>
                    <w:rPr>
                      <w:color w:val="auto"/>
                    </w:rPr>
                  </w:pPr>
                  <w:r>
                    <w:rPr>
                      <w:color w:val="auto"/>
                    </w:rPr>
                    <w:t>间歇</w:t>
                  </w:r>
                </w:p>
              </w:tc>
              <w:tc>
                <w:tcPr>
                  <w:tcW w:w="1558" w:type="pct"/>
                  <w:vMerge w:val="continue"/>
                  <w:shd w:val="clear" w:color="auto" w:fill="auto"/>
                  <w:vAlign w:val="center"/>
                </w:tcPr>
                <w:p w14:paraId="10DF0DF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bl>
          <w:p w14:paraId="679514C1">
            <w:pPr>
              <w:pStyle w:val="70"/>
              <w:ind w:left="0" w:firstLine="0" w:firstLineChars="0"/>
              <w:rPr>
                <w:rFonts w:ascii="Times New Roman" w:hAnsi="Times New Roman" w:cs="Times New Roman"/>
                <w:color w:val="auto"/>
              </w:rPr>
            </w:pPr>
          </w:p>
        </w:tc>
      </w:tr>
      <w:tr w14:paraId="645D9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2536BBA4">
            <w:pPr>
              <w:pStyle w:val="27"/>
              <w:adjustRightInd w:val="0"/>
              <w:snapToGrid w:val="0"/>
              <w:spacing w:beforeAutospacing="0" w:afterAutospacing="0"/>
              <w:jc w:val="center"/>
              <w:rPr>
                <w:rFonts w:hint="eastAsia" w:ascii="Times New Roman" w:hAnsi="Times New Roman" w:eastAsia="宋体"/>
                <w:color w:val="000000" w:themeColor="text1"/>
                <w:szCs w:val="24"/>
                <w:lang w:eastAsia="zh-CN"/>
                <w14:textFill>
                  <w14:solidFill>
                    <w14:schemeClr w14:val="tx1"/>
                  </w14:solidFill>
                </w14:textFill>
              </w:rPr>
            </w:pPr>
            <w:r>
              <w:rPr>
                <w:rFonts w:hint="default" w:ascii="Times New Roman" w:hAnsi="Times New Roman"/>
                <w:bCs/>
                <w:color w:val="000000" w:themeColor="text1"/>
                <w:kern w:val="2"/>
                <w:szCs w:val="24"/>
                <w14:textFill>
                  <w14:solidFill>
                    <w14:schemeClr w14:val="tx1"/>
                  </w14:solidFill>
                </w14:textFill>
              </w:rPr>
              <w:t>与项目有</w:t>
            </w:r>
            <w:r>
              <w:rPr>
                <w:rFonts w:hint="eastAsia" w:ascii="Times New Roman" w:hAnsi="Times New Roman"/>
                <w:bCs/>
                <w:color w:val="000000" w:themeColor="text1"/>
                <w:kern w:val="2"/>
                <w:szCs w:val="24"/>
                <w:lang w:eastAsia="zh-CN"/>
                <w14:textFill>
                  <w14:solidFill>
                    <w14:schemeClr w14:val="tx1"/>
                  </w14:solidFill>
                </w14:textFill>
              </w:rPr>
              <w:t>关的原有环境污染问题</w:t>
            </w:r>
          </w:p>
        </w:tc>
        <w:tc>
          <w:tcPr>
            <w:tcW w:w="9595" w:type="dxa"/>
            <w:tcBorders>
              <w:top w:val="single" w:color="auto" w:sz="4" w:space="0"/>
              <w:left w:val="single" w:color="auto" w:sz="4" w:space="0"/>
              <w:bottom w:val="single" w:color="auto" w:sz="4" w:space="0"/>
              <w:right w:val="single" w:color="auto" w:sz="8" w:space="0"/>
            </w:tcBorders>
            <w:shd w:val="clear" w:color="auto" w:fill="auto"/>
            <w:vAlign w:val="center"/>
          </w:tcPr>
          <w:p w14:paraId="58B9C2B4">
            <w:pPr>
              <w:pStyle w:val="70"/>
              <w:ind w:left="0" w:firstLine="0" w:firstLineChars="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无</w:t>
            </w:r>
          </w:p>
        </w:tc>
      </w:tr>
    </w:tbl>
    <w:p w14:paraId="023BC33A">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F041775">
      <w:pPr>
        <w:pStyle w:val="27"/>
        <w:spacing w:before="100" w:after="100"/>
        <w:jc w:val="center"/>
        <w:outlineLvl w:val="0"/>
        <w:rPr>
          <w:rFonts w:hint="default" w:ascii="黑体" w:eastAsia="黑体" w:cs="黑体"/>
          <w:color w:val="000000" w:themeColor="text1"/>
          <w:sz w:val="30"/>
          <w:szCs w:val="30"/>
          <w:highlight w:val="yellow"/>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三、区域环境质量现状、环境保护目标及评价标准</w:t>
      </w:r>
    </w:p>
    <w:tbl>
      <w:tblPr>
        <w:tblStyle w:val="37"/>
        <w:tblW w:w="9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9146"/>
      </w:tblGrid>
      <w:tr w14:paraId="715F4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81"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556D53B2">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区域</w:t>
            </w:r>
          </w:p>
          <w:p w14:paraId="12B8A1FA">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环境</w:t>
            </w:r>
          </w:p>
          <w:p w14:paraId="517BBABC">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质量</w:t>
            </w:r>
          </w:p>
          <w:p w14:paraId="20C0D7A3">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现状</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400E176D">
            <w:pPr>
              <w:overflowPunct w:val="0"/>
              <w:topLinePunct/>
              <w:autoSpaceDE w:val="0"/>
              <w:autoSpaceDN w:val="0"/>
              <w:spacing w:line="360" w:lineRule="auto"/>
              <w:ind w:firstLine="482" w:firstLineChars="200"/>
              <w:rPr>
                <w:rFonts w:ascii="Times New Roman" w:hAnsi="Times New Roman" w:cs="Times New Roman"/>
                <w:b/>
                <w:color w:val="000000" w:themeColor="text1"/>
                <w:sz w:val="24"/>
                <w:highlight w:val="none"/>
                <w14:textFill>
                  <w14:solidFill>
                    <w14:schemeClr w14:val="tx1"/>
                  </w14:solidFill>
                </w14:textFill>
              </w:rPr>
            </w:pPr>
            <w:r>
              <w:rPr>
                <w:rFonts w:hint="eastAsia" w:ascii="Times New Roman" w:hAnsi="Times New Roman" w:cs="Times New Roman"/>
                <w:b/>
                <w:color w:val="000000" w:themeColor="text1"/>
                <w:sz w:val="24"/>
                <w:highlight w:val="none"/>
                <w14:textFill>
                  <w14:solidFill>
                    <w14:schemeClr w14:val="tx1"/>
                  </w14:solidFill>
                </w14:textFill>
              </w:rPr>
              <w:t>1、</w:t>
            </w:r>
            <w:r>
              <w:rPr>
                <w:rFonts w:ascii="Times New Roman" w:hAnsi="Times New Roman" w:cs="Times New Roman"/>
                <w:b/>
                <w:color w:val="000000" w:themeColor="text1"/>
                <w:sz w:val="24"/>
                <w:highlight w:val="none"/>
                <w14:textFill>
                  <w14:solidFill>
                    <w14:schemeClr w14:val="tx1"/>
                  </w14:solidFill>
                </w14:textFill>
              </w:rPr>
              <w:t>环境空气质量现状</w:t>
            </w:r>
          </w:p>
          <w:p w14:paraId="3F0A3B3D">
            <w:pPr>
              <w:overflowPunct w:val="0"/>
              <w:topLinePunct/>
              <w:autoSpaceDE w:val="0"/>
              <w:autoSpaceDN w:val="0"/>
              <w:spacing w:line="360" w:lineRule="auto"/>
              <w:ind w:firstLine="482" w:firstLineChars="200"/>
              <w:rPr>
                <w:rFonts w:hint="eastAsia" w:ascii="Times New Roman" w:hAnsi="Times New Roman" w:cs="Times New Roman"/>
                <w:b/>
                <w:bCs/>
                <w:color w:val="auto"/>
                <w:sz w:val="24"/>
              </w:rPr>
            </w:pPr>
            <w:r>
              <w:rPr>
                <w:rFonts w:hint="eastAsia" w:ascii="Times New Roman" w:hAnsi="Times New Roman" w:cs="Times New Roman"/>
                <w:b/>
                <w:bCs/>
                <w:color w:val="auto"/>
                <w:sz w:val="24"/>
              </w:rPr>
              <w:t>（一）基本污染物环境质量现状</w:t>
            </w:r>
          </w:p>
          <w:p w14:paraId="219B3EA4">
            <w:pPr>
              <w:overflowPunct w:val="0"/>
              <w:topLinePunct/>
              <w:autoSpaceDE w:val="0"/>
              <w:autoSpaceDN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项目常规污染物环境质量现状数据引自《廊坊市</w:t>
            </w:r>
            <w:r>
              <w:rPr>
                <w:rFonts w:hint="eastAsia" w:ascii="Times New Roman" w:hAnsi="Times New Roman" w:cs="Times New Roman"/>
                <w:color w:val="auto"/>
                <w:sz w:val="24"/>
                <w:lang w:eastAsia="zh-CN"/>
              </w:rPr>
              <w:t>生态</w:t>
            </w:r>
            <w:r>
              <w:rPr>
                <w:rFonts w:hint="eastAsia" w:ascii="Times New Roman" w:hAnsi="Times New Roman" w:cs="Times New Roman"/>
                <w:color w:val="auto"/>
                <w:sz w:val="24"/>
              </w:rPr>
              <w:t>环境质量</w:t>
            </w:r>
            <w:r>
              <w:rPr>
                <w:rFonts w:hint="eastAsia" w:ascii="Times New Roman" w:hAnsi="Times New Roman" w:cs="Times New Roman"/>
                <w:color w:val="auto"/>
                <w:sz w:val="24"/>
                <w:lang w:eastAsia="zh-CN"/>
              </w:rPr>
              <w:t>报告书</w:t>
            </w:r>
            <w:r>
              <w:rPr>
                <w:rFonts w:hint="eastAsia" w:ascii="Times New Roman" w:hAnsi="Times New Roman" w:cs="Times New Roman"/>
                <w:color w:val="auto"/>
                <w:sz w:val="24"/>
              </w:rPr>
              <w:t>（202</w:t>
            </w:r>
            <w:r>
              <w:rPr>
                <w:rFonts w:hint="eastAsia" w:ascii="Times New Roman" w:hAnsi="Times New Roman" w:cs="Times New Roman"/>
                <w:color w:val="auto"/>
                <w:sz w:val="24"/>
                <w:lang w:val="en-US" w:eastAsia="zh-CN"/>
              </w:rPr>
              <w:t>4</w:t>
            </w:r>
            <w:r>
              <w:rPr>
                <w:rFonts w:hint="eastAsia" w:ascii="Times New Roman" w:hAnsi="Times New Roman" w:cs="Times New Roman"/>
                <w:color w:val="auto"/>
                <w:sz w:val="24"/>
              </w:rPr>
              <w:t>年）》，特征污染物</w:t>
            </w:r>
            <w:r>
              <w:rPr>
                <w:rFonts w:ascii="Times New Roman" w:hAnsi="Times New Roman" w:cs="Times New Roman"/>
                <w:color w:val="auto"/>
                <w:sz w:val="24"/>
              </w:rPr>
              <w:t>非甲烷总烃引用《</w:t>
            </w:r>
            <w:r>
              <w:rPr>
                <w:rFonts w:hint="eastAsia" w:ascii="Times New Roman" w:hAnsi="Times New Roman" w:cs="Times New Roman"/>
                <w:color w:val="auto"/>
                <w:sz w:val="24"/>
              </w:rPr>
              <w:t>廊坊昀途塑料制品有限公司现状监测</w:t>
            </w:r>
            <w:r>
              <w:rPr>
                <w:rFonts w:ascii="Times New Roman" w:hAnsi="Times New Roman" w:cs="Times New Roman"/>
                <w:color w:val="auto"/>
                <w:sz w:val="24"/>
              </w:rPr>
              <w:t>环境</w:t>
            </w:r>
            <w:r>
              <w:rPr>
                <w:rFonts w:hint="eastAsia" w:ascii="Times New Roman" w:hAnsi="Times New Roman" w:cs="Times New Roman"/>
                <w:color w:val="auto"/>
                <w:sz w:val="24"/>
                <w:lang w:eastAsia="zh-CN"/>
              </w:rPr>
              <w:t>空气</w:t>
            </w:r>
            <w:r>
              <w:rPr>
                <w:rFonts w:ascii="Times New Roman" w:hAnsi="Times New Roman" w:cs="Times New Roman"/>
                <w:color w:val="auto"/>
                <w:sz w:val="24"/>
              </w:rPr>
              <w:t>监测</w:t>
            </w:r>
            <w:r>
              <w:rPr>
                <w:rFonts w:hint="eastAsia" w:ascii="Times New Roman" w:hAnsi="Times New Roman" w:cs="Times New Roman"/>
                <w:color w:val="auto"/>
                <w:sz w:val="24"/>
              </w:rPr>
              <w:t>报告</w:t>
            </w:r>
            <w:r>
              <w:rPr>
                <w:rFonts w:ascii="Times New Roman" w:hAnsi="Times New Roman" w:cs="Times New Roman"/>
                <w:color w:val="auto"/>
                <w:sz w:val="24"/>
              </w:rPr>
              <w:t>》</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ZWJC[2025]04147号</w:t>
            </w:r>
            <w:r>
              <w:rPr>
                <w:rFonts w:hint="eastAsia" w:ascii="Times New Roman" w:hAnsi="Times New Roman" w:cs="Times New Roman"/>
                <w:color w:val="auto"/>
                <w:sz w:val="24"/>
                <w:lang w:eastAsia="zh-CN"/>
              </w:rPr>
              <w:t>）</w:t>
            </w:r>
            <w:r>
              <w:rPr>
                <w:rFonts w:ascii="Times New Roman" w:hAnsi="Times New Roman" w:cs="Times New Roman"/>
                <w:color w:val="auto"/>
                <w:sz w:val="24"/>
              </w:rPr>
              <w:t>中的非甲烷总烃监测数据为本次评价服务。</w:t>
            </w:r>
          </w:p>
          <w:p w14:paraId="15332F85">
            <w:pPr>
              <w:numPr>
                <w:ilvl w:val="0"/>
                <w:numId w:val="4"/>
              </w:numPr>
              <w:overflowPunct w:val="0"/>
              <w:topLinePunct/>
              <w:autoSpaceDE w:val="0"/>
              <w:autoSpaceDN w:val="0"/>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常规污染物</w:t>
            </w:r>
          </w:p>
          <w:p w14:paraId="7D006895">
            <w:pPr>
              <w:numPr>
                <w:ilvl w:val="0"/>
                <w:numId w:val="0"/>
              </w:numPr>
              <w:overflowPunct w:val="0"/>
              <w:topLinePunct/>
              <w:autoSpaceDE w:val="0"/>
              <w:autoSpaceDN w:val="0"/>
              <w:spacing w:line="360" w:lineRule="auto"/>
              <w:ind w:firstLine="480" w:firstLineChars="200"/>
              <w:rPr>
                <w:rFonts w:ascii="Times New Roman" w:hAnsi="Times New Roman" w:eastAsia="等线" w:cs="Times New Roman"/>
                <w:color w:val="auto"/>
                <w:sz w:val="24"/>
              </w:rPr>
            </w:pPr>
            <w:r>
              <w:rPr>
                <w:rFonts w:hint="default" w:ascii="Times New Roman" w:hAnsi="宋体" w:eastAsia="宋体" w:cs="Times New Roman"/>
                <w:sz w:val="24"/>
                <w:szCs w:val="21"/>
              </w:rPr>
              <w:t>根据《廊坊市</w:t>
            </w:r>
            <w:r>
              <w:rPr>
                <w:rFonts w:hint="default" w:ascii="Times New Roman" w:hAnsi="宋体" w:eastAsia="宋体" w:cs="Times New Roman"/>
                <w:sz w:val="24"/>
                <w:szCs w:val="21"/>
                <w:lang w:eastAsia="zh-CN"/>
              </w:rPr>
              <w:t>生态</w:t>
            </w:r>
            <w:r>
              <w:rPr>
                <w:rFonts w:hint="default" w:ascii="Times New Roman" w:hAnsi="宋体" w:eastAsia="宋体" w:cs="Times New Roman"/>
                <w:sz w:val="24"/>
                <w:szCs w:val="21"/>
              </w:rPr>
              <w:t>环境质量</w:t>
            </w:r>
            <w:r>
              <w:rPr>
                <w:rFonts w:hint="default" w:ascii="Times New Roman" w:hAnsi="宋体" w:eastAsia="宋体" w:cs="Times New Roman"/>
                <w:sz w:val="24"/>
                <w:szCs w:val="21"/>
                <w:lang w:eastAsia="zh-CN"/>
              </w:rPr>
              <w:t>报告书</w:t>
            </w:r>
            <w:r>
              <w:rPr>
                <w:rFonts w:hint="default" w:ascii="Times New Roman" w:hAnsi="宋体" w:eastAsia="宋体" w:cs="Times New Roman"/>
                <w:sz w:val="24"/>
                <w:szCs w:val="21"/>
              </w:rPr>
              <w:t>（202</w:t>
            </w:r>
            <w:r>
              <w:rPr>
                <w:rFonts w:hint="default" w:ascii="Times New Roman" w:hAnsi="宋体" w:eastAsia="宋体" w:cs="Times New Roman"/>
                <w:sz w:val="24"/>
                <w:szCs w:val="21"/>
                <w:lang w:val="en-US" w:eastAsia="zh-CN"/>
              </w:rPr>
              <w:t>4</w:t>
            </w:r>
            <w:r>
              <w:rPr>
                <w:rFonts w:hint="default" w:ascii="Times New Roman" w:hAnsi="宋体" w:eastAsia="宋体" w:cs="Times New Roman"/>
                <w:sz w:val="24"/>
                <w:szCs w:val="21"/>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w:t>
            </w:r>
            <w:r>
              <w:rPr>
                <w:rFonts w:hint="default" w:ascii="Times New Roman" w:hAnsi="宋体" w:eastAsia="宋体" w:cs="Times New Roman"/>
                <w:sz w:val="24"/>
                <w:szCs w:val="21"/>
              </w:rPr>
              <w:t>环境空气质量（剔除沙尘影响），SO</w:t>
            </w:r>
            <w:r>
              <w:rPr>
                <w:rFonts w:hint="default" w:ascii="Times New Roman" w:hAnsi="宋体" w:eastAsia="宋体" w:cs="Times New Roman"/>
                <w:sz w:val="24"/>
                <w:szCs w:val="21"/>
                <w:vertAlign w:val="subscript"/>
              </w:rPr>
              <w:t>2</w:t>
            </w:r>
            <w:r>
              <w:rPr>
                <w:rFonts w:hint="default" w:ascii="Times New Roman" w:hAnsi="宋体" w:eastAsia="宋体" w:cs="Times New Roman"/>
                <w:sz w:val="24"/>
                <w:szCs w:val="21"/>
              </w:rPr>
              <w:t>、NO</w:t>
            </w:r>
            <w:r>
              <w:rPr>
                <w:rFonts w:hint="default" w:ascii="Times New Roman" w:hAnsi="宋体" w:eastAsia="宋体" w:cs="Times New Roman"/>
                <w:sz w:val="24"/>
                <w:szCs w:val="21"/>
                <w:vertAlign w:val="subscript"/>
              </w:rPr>
              <w:t>2</w:t>
            </w:r>
            <w:r>
              <w:rPr>
                <w:rFonts w:hint="default" w:ascii="Times New Roman" w:hAnsi="宋体" w:eastAsia="宋体" w:cs="Times New Roman"/>
                <w:sz w:val="24"/>
                <w:szCs w:val="21"/>
              </w:rPr>
              <w:t>年平均浓度</w:t>
            </w:r>
            <w:r>
              <w:rPr>
                <w:rFonts w:hint="eastAsia" w:ascii="Times New Roman" w:hAnsi="宋体" w:eastAsia="宋体" w:cs="Times New Roman"/>
                <w:sz w:val="24"/>
                <w:szCs w:val="21"/>
              </w:rPr>
              <w:t>和</w:t>
            </w:r>
            <w:r>
              <w:rPr>
                <w:rFonts w:hint="default" w:ascii="Times New Roman" w:hAnsi="宋体" w:eastAsia="宋体" w:cs="Times New Roman"/>
                <w:sz w:val="24"/>
                <w:szCs w:val="21"/>
              </w:rPr>
              <w:t>CO日平均值的第95百分位浓度达到《环境空气质量标准》（GB3095-2012）</w:t>
            </w:r>
            <w:r>
              <w:rPr>
                <w:rFonts w:hint="eastAsia" w:ascii="Times New Roman" w:hAnsi="宋体" w:eastAsia="宋体" w:cs="Times New Roman"/>
                <w:sz w:val="24"/>
                <w:szCs w:val="21"/>
              </w:rPr>
              <w:t>及修改单</w:t>
            </w:r>
            <w:r>
              <w:rPr>
                <w:rFonts w:hint="default" w:ascii="Times New Roman" w:hAnsi="宋体" w:eastAsia="宋体" w:cs="Times New Roman"/>
                <w:sz w:val="24"/>
                <w:szCs w:val="21"/>
              </w:rPr>
              <w:t>二级标准，PM</w:t>
            </w:r>
            <w:r>
              <w:rPr>
                <w:rFonts w:hint="default" w:ascii="Times New Roman" w:hAnsi="宋体" w:eastAsia="宋体" w:cs="Times New Roman"/>
                <w:sz w:val="24"/>
                <w:szCs w:val="21"/>
                <w:vertAlign w:val="subscript"/>
              </w:rPr>
              <w:t>10</w:t>
            </w:r>
            <w:r>
              <w:rPr>
                <w:rFonts w:hint="eastAsia" w:ascii="Times New Roman" w:hAnsi="宋体" w:eastAsia="宋体" w:cs="Times New Roman"/>
                <w:sz w:val="24"/>
                <w:szCs w:val="21"/>
                <w:lang w:eastAsia="zh-CN"/>
              </w:rPr>
              <w:t>、</w:t>
            </w:r>
            <w:r>
              <w:rPr>
                <w:rFonts w:hint="default" w:ascii="Times New Roman" w:hAnsi="宋体" w:eastAsia="宋体" w:cs="Times New Roman"/>
                <w:sz w:val="24"/>
                <w:szCs w:val="21"/>
              </w:rPr>
              <w:t>PM</w:t>
            </w:r>
            <w:r>
              <w:rPr>
                <w:rFonts w:hint="default" w:ascii="Times New Roman" w:hAnsi="宋体" w:eastAsia="宋体" w:cs="Times New Roman"/>
                <w:sz w:val="24"/>
                <w:szCs w:val="21"/>
                <w:vertAlign w:val="subscript"/>
              </w:rPr>
              <w:t>2.5</w:t>
            </w:r>
            <w:r>
              <w:rPr>
                <w:rFonts w:hint="default" w:ascii="Times New Roman" w:hAnsi="宋体" w:eastAsia="宋体" w:cs="Times New Roman"/>
                <w:sz w:val="24"/>
                <w:szCs w:val="21"/>
              </w:rPr>
              <w:t>年平均浓度和O</w:t>
            </w:r>
            <w:r>
              <w:rPr>
                <w:rFonts w:hint="default" w:ascii="Times New Roman" w:hAnsi="宋体" w:eastAsia="宋体" w:cs="Times New Roman"/>
                <w:sz w:val="24"/>
                <w:szCs w:val="21"/>
                <w:vertAlign w:val="subscript"/>
              </w:rPr>
              <w:t>3</w:t>
            </w:r>
            <w:r>
              <w:rPr>
                <w:rFonts w:hint="default" w:ascii="Times New Roman" w:hAnsi="宋体" w:eastAsia="宋体" w:cs="Times New Roman"/>
                <w:sz w:val="24"/>
                <w:szCs w:val="21"/>
              </w:rPr>
              <w:t>日平均值的第90百分位浓度均超标</w:t>
            </w:r>
            <w:r>
              <w:rPr>
                <w:rFonts w:ascii="Times New Roman" w:hAnsi="Times New Roman" w:cs="Times New Roman"/>
                <w:color w:val="auto"/>
                <w:sz w:val="24"/>
              </w:rPr>
              <w:t>。</w:t>
            </w:r>
          </w:p>
          <w:p w14:paraId="2ACBE741">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 xml:space="preserve">表3-1 </w:t>
            </w:r>
            <w:r>
              <w:rPr>
                <w:rFonts w:hint="eastAsia" w:ascii="Times New Roman" w:hAnsi="Times New Roman" w:cs="Times New Roman"/>
                <w:bCs/>
                <w:color w:val="auto"/>
                <w:sz w:val="24"/>
                <w:szCs w:val="24"/>
                <w:lang w:eastAsia="zh-CN"/>
              </w:rPr>
              <w:t>永清</w:t>
            </w:r>
            <w:r>
              <w:rPr>
                <w:rFonts w:ascii="Times New Roman" w:hAnsi="Times New Roman" w:cs="Times New Roman"/>
                <w:bCs/>
                <w:color w:val="auto"/>
                <w:sz w:val="24"/>
                <w:szCs w:val="24"/>
              </w:rPr>
              <w:t>县空气质量现状评价表   单位：μg/m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（CO，mg/m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w:t>
            </w:r>
          </w:p>
          <w:tbl>
            <w:tblPr>
              <w:tblStyle w:val="37"/>
              <w:tblW w:w="890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28"/>
              <w:gridCol w:w="2003"/>
              <w:gridCol w:w="1323"/>
              <w:gridCol w:w="1484"/>
              <w:gridCol w:w="1486"/>
              <w:gridCol w:w="1476"/>
            </w:tblGrid>
            <w:tr w14:paraId="7EFE29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E1616CA">
                  <w:pPr>
                    <w:pStyle w:val="79"/>
                    <w:rPr>
                      <w:rFonts w:ascii="Times New Roman" w:hAnsi="Times New Roman" w:cs="Times New Roman"/>
                      <w:b/>
                      <w:bCs/>
                      <w:color w:val="auto"/>
                      <w:sz w:val="21"/>
                    </w:rPr>
                  </w:pPr>
                  <w:r>
                    <w:rPr>
                      <w:rFonts w:ascii="Times New Roman" w:hAnsi="Times New Roman" w:cs="Times New Roman"/>
                      <w:b/>
                      <w:bCs/>
                      <w:color w:val="auto"/>
                      <w:sz w:val="21"/>
                    </w:rPr>
                    <w:t>污染物</w:t>
                  </w:r>
                </w:p>
              </w:tc>
              <w:tc>
                <w:tcPr>
                  <w:tcW w:w="2003" w:type="dxa"/>
                  <w:shd w:val="clear" w:color="auto" w:fill="auto"/>
                  <w:vAlign w:val="center"/>
                </w:tcPr>
                <w:p w14:paraId="58F956F4">
                  <w:pPr>
                    <w:pStyle w:val="79"/>
                    <w:rPr>
                      <w:rFonts w:ascii="Times New Roman" w:hAnsi="Times New Roman" w:cs="Times New Roman"/>
                      <w:b/>
                      <w:bCs/>
                      <w:color w:val="auto"/>
                      <w:sz w:val="21"/>
                    </w:rPr>
                  </w:pPr>
                  <w:r>
                    <w:rPr>
                      <w:rFonts w:ascii="Times New Roman" w:hAnsi="Times New Roman" w:cs="Times New Roman"/>
                      <w:b/>
                      <w:bCs/>
                      <w:color w:val="auto"/>
                      <w:sz w:val="21"/>
                    </w:rPr>
                    <w:t>年评价指标</w:t>
                  </w:r>
                </w:p>
              </w:tc>
              <w:tc>
                <w:tcPr>
                  <w:tcW w:w="1323" w:type="dxa"/>
                  <w:shd w:val="clear" w:color="auto" w:fill="auto"/>
                  <w:vAlign w:val="center"/>
                </w:tcPr>
                <w:p w14:paraId="77DC4C4B">
                  <w:pPr>
                    <w:pStyle w:val="79"/>
                    <w:rPr>
                      <w:rFonts w:ascii="Times New Roman" w:hAnsi="Times New Roman" w:cs="Times New Roman"/>
                      <w:b/>
                      <w:bCs/>
                      <w:color w:val="auto"/>
                      <w:sz w:val="21"/>
                    </w:rPr>
                  </w:pPr>
                  <w:r>
                    <w:rPr>
                      <w:rFonts w:ascii="Times New Roman" w:hAnsi="Times New Roman" w:cs="Times New Roman"/>
                      <w:b/>
                      <w:bCs/>
                      <w:color w:val="auto"/>
                      <w:sz w:val="21"/>
                    </w:rPr>
                    <w:t>现状浓度</w:t>
                  </w:r>
                </w:p>
              </w:tc>
              <w:tc>
                <w:tcPr>
                  <w:tcW w:w="1484" w:type="dxa"/>
                  <w:shd w:val="clear" w:color="auto" w:fill="auto"/>
                  <w:vAlign w:val="center"/>
                </w:tcPr>
                <w:p w14:paraId="68B5B3E1">
                  <w:pPr>
                    <w:pStyle w:val="79"/>
                    <w:rPr>
                      <w:rFonts w:ascii="Times New Roman" w:hAnsi="Times New Roman" w:cs="Times New Roman"/>
                      <w:b/>
                      <w:bCs/>
                      <w:color w:val="auto"/>
                      <w:sz w:val="21"/>
                    </w:rPr>
                  </w:pPr>
                  <w:r>
                    <w:rPr>
                      <w:rFonts w:ascii="Times New Roman" w:hAnsi="Times New Roman" w:cs="Times New Roman"/>
                      <w:b/>
                      <w:bCs/>
                      <w:color w:val="auto"/>
                      <w:sz w:val="21"/>
                    </w:rPr>
                    <w:t>标准值</w:t>
                  </w:r>
                </w:p>
              </w:tc>
              <w:tc>
                <w:tcPr>
                  <w:tcW w:w="1486" w:type="dxa"/>
                  <w:shd w:val="clear" w:color="auto" w:fill="auto"/>
                  <w:vAlign w:val="center"/>
                </w:tcPr>
                <w:p w14:paraId="50941CB5">
                  <w:pPr>
                    <w:pStyle w:val="79"/>
                    <w:rPr>
                      <w:rFonts w:ascii="Times New Roman" w:hAnsi="Times New Roman" w:cs="Times New Roman"/>
                      <w:b/>
                      <w:bCs/>
                      <w:color w:val="auto"/>
                      <w:sz w:val="21"/>
                    </w:rPr>
                  </w:pPr>
                  <w:r>
                    <w:rPr>
                      <w:rFonts w:ascii="Times New Roman" w:hAnsi="Times New Roman" w:cs="Times New Roman"/>
                      <w:b/>
                      <w:bCs/>
                      <w:color w:val="auto"/>
                      <w:sz w:val="21"/>
                    </w:rPr>
                    <w:t>占标率/%</w:t>
                  </w:r>
                </w:p>
              </w:tc>
              <w:tc>
                <w:tcPr>
                  <w:tcW w:w="1476" w:type="dxa"/>
                  <w:shd w:val="clear" w:color="auto" w:fill="auto"/>
                  <w:vAlign w:val="center"/>
                </w:tcPr>
                <w:p w14:paraId="74D8C99D">
                  <w:pPr>
                    <w:pStyle w:val="79"/>
                    <w:rPr>
                      <w:rFonts w:ascii="Times New Roman" w:hAnsi="Times New Roman" w:cs="Times New Roman"/>
                      <w:b/>
                      <w:bCs/>
                      <w:color w:val="auto"/>
                      <w:sz w:val="21"/>
                    </w:rPr>
                  </w:pPr>
                  <w:r>
                    <w:rPr>
                      <w:rFonts w:ascii="Times New Roman" w:hAnsi="Times New Roman" w:cs="Times New Roman"/>
                      <w:b/>
                      <w:bCs/>
                      <w:color w:val="auto"/>
                      <w:sz w:val="21"/>
                    </w:rPr>
                    <w:t>达标情况</w:t>
                  </w:r>
                </w:p>
              </w:tc>
            </w:tr>
            <w:tr w14:paraId="307D0D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03281F86">
                  <w:pPr>
                    <w:pStyle w:val="79"/>
                    <w:rPr>
                      <w:rFonts w:ascii="Times New Roman" w:hAnsi="Times New Roman" w:cs="Times New Roman"/>
                      <w:color w:val="auto"/>
                      <w:sz w:val="21"/>
                    </w:rPr>
                  </w:pPr>
                  <w:r>
                    <w:rPr>
                      <w:rFonts w:ascii="Times New Roman" w:hAnsi="Times New Roman" w:cs="Times New Roman"/>
                      <w:color w:val="auto"/>
                      <w:sz w:val="21"/>
                    </w:rPr>
                    <w:t>SO</w:t>
                  </w:r>
                  <w:r>
                    <w:rPr>
                      <w:rFonts w:ascii="Times New Roman" w:hAnsi="Times New Roman" w:cs="Times New Roman"/>
                      <w:color w:val="auto"/>
                      <w:sz w:val="21"/>
                      <w:vertAlign w:val="subscript"/>
                    </w:rPr>
                    <w:t>2</w:t>
                  </w:r>
                </w:p>
              </w:tc>
              <w:tc>
                <w:tcPr>
                  <w:tcW w:w="2003" w:type="dxa"/>
                  <w:shd w:val="clear" w:color="auto" w:fill="auto"/>
                  <w:vAlign w:val="center"/>
                </w:tcPr>
                <w:p w14:paraId="35CFF8FB">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314F0031">
                  <w:pPr>
                    <w:pStyle w:val="18"/>
                    <w:spacing w:line="240" w:lineRule="auto"/>
                    <w:ind w:firstLine="420" w:firstLineChars="20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7</w:t>
                  </w:r>
                </w:p>
              </w:tc>
              <w:tc>
                <w:tcPr>
                  <w:tcW w:w="1484" w:type="dxa"/>
                  <w:shd w:val="clear" w:color="auto" w:fill="auto"/>
                  <w:vAlign w:val="center"/>
                </w:tcPr>
                <w:p w14:paraId="036F4EB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60</w:t>
                  </w:r>
                </w:p>
              </w:tc>
              <w:tc>
                <w:tcPr>
                  <w:tcW w:w="1486" w:type="dxa"/>
                  <w:shd w:val="clear" w:color="auto" w:fill="auto"/>
                  <w:vAlign w:val="center"/>
                </w:tcPr>
                <w:p w14:paraId="05B29C72">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11.67</w:t>
                  </w:r>
                </w:p>
              </w:tc>
              <w:tc>
                <w:tcPr>
                  <w:tcW w:w="1476" w:type="dxa"/>
                  <w:shd w:val="clear" w:color="auto" w:fill="auto"/>
                  <w:vAlign w:val="center"/>
                </w:tcPr>
                <w:p w14:paraId="0299E4EA">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51AFFE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6900224">
                  <w:pPr>
                    <w:pStyle w:val="79"/>
                    <w:rPr>
                      <w:rFonts w:ascii="Times New Roman" w:hAnsi="Times New Roman" w:cs="Times New Roman"/>
                      <w:color w:val="auto"/>
                      <w:sz w:val="21"/>
                    </w:rPr>
                  </w:pPr>
                  <w:r>
                    <w:rPr>
                      <w:rFonts w:ascii="Times New Roman" w:hAnsi="Times New Roman" w:cs="Times New Roman"/>
                      <w:color w:val="auto"/>
                      <w:sz w:val="21"/>
                    </w:rPr>
                    <w:t>NO</w:t>
                  </w:r>
                  <w:r>
                    <w:rPr>
                      <w:rFonts w:ascii="Times New Roman" w:hAnsi="Times New Roman" w:cs="Times New Roman"/>
                      <w:color w:val="auto"/>
                      <w:sz w:val="21"/>
                      <w:vertAlign w:val="subscript"/>
                    </w:rPr>
                    <w:t>2</w:t>
                  </w:r>
                </w:p>
              </w:tc>
              <w:tc>
                <w:tcPr>
                  <w:tcW w:w="2003" w:type="dxa"/>
                  <w:shd w:val="clear" w:color="auto" w:fill="auto"/>
                  <w:vAlign w:val="center"/>
                </w:tcPr>
                <w:p w14:paraId="5A20052B">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3014199">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w:t>
                  </w:r>
                </w:p>
              </w:tc>
              <w:tc>
                <w:tcPr>
                  <w:tcW w:w="1484" w:type="dxa"/>
                  <w:shd w:val="clear" w:color="auto" w:fill="auto"/>
                  <w:vAlign w:val="center"/>
                </w:tcPr>
                <w:p w14:paraId="3F80942A">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1486" w:type="dxa"/>
                  <w:shd w:val="clear" w:color="auto" w:fill="auto"/>
                  <w:vAlign w:val="center"/>
                </w:tcPr>
                <w:p w14:paraId="7479337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82.5</w:t>
                  </w:r>
                </w:p>
              </w:tc>
              <w:tc>
                <w:tcPr>
                  <w:tcW w:w="1476" w:type="dxa"/>
                  <w:shd w:val="clear" w:color="auto" w:fill="auto"/>
                  <w:vAlign w:val="center"/>
                </w:tcPr>
                <w:p w14:paraId="7E681A81">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48100D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74547BA">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10</w:t>
                  </w:r>
                </w:p>
              </w:tc>
              <w:tc>
                <w:tcPr>
                  <w:tcW w:w="2003" w:type="dxa"/>
                  <w:shd w:val="clear" w:color="auto" w:fill="auto"/>
                  <w:vAlign w:val="center"/>
                </w:tcPr>
                <w:p w14:paraId="1A6DD7E8">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782A93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74</w:t>
                  </w:r>
                </w:p>
              </w:tc>
              <w:tc>
                <w:tcPr>
                  <w:tcW w:w="1484" w:type="dxa"/>
                  <w:shd w:val="clear" w:color="auto" w:fill="auto"/>
                  <w:vAlign w:val="center"/>
                </w:tcPr>
                <w:p w14:paraId="044A3F7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70</w:t>
                  </w:r>
                </w:p>
              </w:tc>
              <w:tc>
                <w:tcPr>
                  <w:tcW w:w="1486" w:type="dxa"/>
                  <w:shd w:val="clear" w:color="auto" w:fill="auto"/>
                  <w:vAlign w:val="center"/>
                </w:tcPr>
                <w:p w14:paraId="1023662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105.71</w:t>
                  </w:r>
                </w:p>
              </w:tc>
              <w:tc>
                <w:tcPr>
                  <w:tcW w:w="1476" w:type="dxa"/>
                  <w:shd w:val="clear" w:color="auto" w:fill="auto"/>
                  <w:vAlign w:val="center"/>
                </w:tcPr>
                <w:p w14:paraId="742B8B33">
                  <w:pPr>
                    <w:pStyle w:val="79"/>
                    <w:rPr>
                      <w:rFonts w:ascii="Times New Roman" w:hAnsi="Times New Roman" w:cs="Times New Roman"/>
                      <w:color w:val="auto"/>
                      <w:sz w:val="21"/>
                    </w:rPr>
                  </w:pPr>
                  <w:r>
                    <w:rPr>
                      <w:rFonts w:ascii="Times New Roman" w:hAnsi="Times New Roman" w:cs="Times New Roman"/>
                      <w:color w:val="auto"/>
                      <w:sz w:val="21"/>
                    </w:rPr>
                    <w:t>不达标</w:t>
                  </w:r>
                </w:p>
              </w:tc>
            </w:tr>
            <w:tr w14:paraId="101FCF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2BA03F7">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2.5</w:t>
                  </w:r>
                </w:p>
              </w:tc>
              <w:tc>
                <w:tcPr>
                  <w:tcW w:w="2003" w:type="dxa"/>
                  <w:shd w:val="clear" w:color="auto" w:fill="auto"/>
                  <w:vAlign w:val="center"/>
                </w:tcPr>
                <w:p w14:paraId="541A7BE8">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7FE953D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484" w:type="dxa"/>
                  <w:shd w:val="clear" w:color="auto" w:fill="auto"/>
                  <w:vAlign w:val="center"/>
                </w:tcPr>
                <w:p w14:paraId="41945FD6">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35</w:t>
                  </w:r>
                </w:p>
              </w:tc>
              <w:tc>
                <w:tcPr>
                  <w:tcW w:w="1486" w:type="dxa"/>
                  <w:shd w:val="clear" w:color="auto" w:fill="auto"/>
                  <w:vAlign w:val="center"/>
                </w:tcPr>
                <w:p w14:paraId="6B84E32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114.29</w:t>
                  </w:r>
                </w:p>
              </w:tc>
              <w:tc>
                <w:tcPr>
                  <w:tcW w:w="1476" w:type="dxa"/>
                  <w:shd w:val="clear" w:color="auto" w:fill="auto"/>
                  <w:vAlign w:val="center"/>
                </w:tcPr>
                <w:p w14:paraId="030D4794">
                  <w:pPr>
                    <w:pStyle w:val="79"/>
                    <w:rPr>
                      <w:rFonts w:ascii="Times New Roman" w:hAnsi="Times New Roman" w:cs="Times New Roman"/>
                      <w:color w:val="auto"/>
                      <w:sz w:val="21"/>
                    </w:rPr>
                  </w:pPr>
                  <w:r>
                    <w:rPr>
                      <w:rFonts w:ascii="Times New Roman" w:hAnsi="Times New Roman" w:cs="Times New Roman"/>
                      <w:color w:val="auto"/>
                      <w:sz w:val="21"/>
                    </w:rPr>
                    <w:t>不达标</w:t>
                  </w:r>
                </w:p>
              </w:tc>
            </w:tr>
            <w:tr w14:paraId="6B6E1A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85FF655">
                  <w:pPr>
                    <w:pStyle w:val="79"/>
                    <w:rPr>
                      <w:rFonts w:ascii="Times New Roman" w:hAnsi="Times New Roman" w:cs="Times New Roman"/>
                      <w:color w:val="auto"/>
                      <w:sz w:val="21"/>
                    </w:rPr>
                  </w:pPr>
                  <w:r>
                    <w:rPr>
                      <w:rFonts w:ascii="Times New Roman" w:hAnsi="Times New Roman" w:cs="Times New Roman"/>
                      <w:color w:val="auto"/>
                      <w:sz w:val="21"/>
                    </w:rPr>
                    <w:t>CO</w:t>
                  </w:r>
                </w:p>
              </w:tc>
              <w:tc>
                <w:tcPr>
                  <w:tcW w:w="2003" w:type="dxa"/>
                  <w:shd w:val="clear" w:color="auto" w:fill="auto"/>
                  <w:vAlign w:val="center"/>
                </w:tcPr>
                <w:p w14:paraId="459F0276">
                  <w:pPr>
                    <w:pStyle w:val="79"/>
                    <w:rPr>
                      <w:rFonts w:ascii="Times New Roman" w:hAnsi="Times New Roman" w:cs="Times New Roman"/>
                      <w:color w:val="auto"/>
                      <w:sz w:val="21"/>
                    </w:rPr>
                  </w:pPr>
                  <w:r>
                    <w:rPr>
                      <w:rFonts w:ascii="Times New Roman" w:hAnsi="Times New Roman" w:cs="Times New Roman"/>
                      <w:color w:val="auto"/>
                      <w:sz w:val="21"/>
                    </w:rPr>
                    <w:t>第95百分位浓度</w:t>
                  </w:r>
                </w:p>
              </w:tc>
              <w:tc>
                <w:tcPr>
                  <w:tcW w:w="1323" w:type="dxa"/>
                  <w:shd w:val="clear" w:color="auto" w:fill="auto"/>
                  <w:vAlign w:val="center"/>
                </w:tcPr>
                <w:p w14:paraId="36348FC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1484" w:type="dxa"/>
                  <w:shd w:val="clear" w:color="auto" w:fill="auto"/>
                  <w:vAlign w:val="center"/>
                </w:tcPr>
                <w:p w14:paraId="6BA85AED">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486" w:type="dxa"/>
                  <w:shd w:val="clear" w:color="auto" w:fill="auto"/>
                  <w:vAlign w:val="center"/>
                </w:tcPr>
                <w:p w14:paraId="6C0E3B9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27.5</w:t>
                  </w:r>
                </w:p>
              </w:tc>
              <w:tc>
                <w:tcPr>
                  <w:tcW w:w="1476" w:type="dxa"/>
                  <w:shd w:val="clear" w:color="auto" w:fill="auto"/>
                  <w:vAlign w:val="center"/>
                </w:tcPr>
                <w:p w14:paraId="2D829530">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5AA702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128" w:type="dxa"/>
                  <w:shd w:val="clear" w:color="auto" w:fill="auto"/>
                  <w:vAlign w:val="center"/>
                </w:tcPr>
                <w:p w14:paraId="3B7D5BEF">
                  <w:pPr>
                    <w:pStyle w:val="79"/>
                    <w:rPr>
                      <w:rFonts w:ascii="Times New Roman" w:hAnsi="Times New Roman" w:cs="Times New Roman"/>
                      <w:color w:val="auto"/>
                      <w:sz w:val="21"/>
                    </w:rPr>
                  </w:pPr>
                  <w:r>
                    <w:rPr>
                      <w:rFonts w:ascii="Times New Roman" w:hAnsi="Times New Roman" w:cs="Times New Roman"/>
                      <w:color w:val="auto"/>
                      <w:sz w:val="21"/>
                    </w:rPr>
                    <w:t>O</w:t>
                  </w:r>
                  <w:r>
                    <w:rPr>
                      <w:rFonts w:ascii="Times New Roman" w:hAnsi="Times New Roman" w:cs="Times New Roman"/>
                      <w:color w:val="auto"/>
                      <w:sz w:val="21"/>
                      <w:vertAlign w:val="subscript"/>
                    </w:rPr>
                    <w:t>3</w:t>
                  </w:r>
                </w:p>
              </w:tc>
              <w:tc>
                <w:tcPr>
                  <w:tcW w:w="2003" w:type="dxa"/>
                  <w:shd w:val="clear" w:color="auto" w:fill="auto"/>
                  <w:vAlign w:val="center"/>
                </w:tcPr>
                <w:p w14:paraId="7D8E7D12">
                  <w:pPr>
                    <w:pStyle w:val="79"/>
                    <w:rPr>
                      <w:rFonts w:ascii="Times New Roman" w:hAnsi="Times New Roman" w:cs="Times New Roman"/>
                      <w:color w:val="auto"/>
                      <w:sz w:val="21"/>
                    </w:rPr>
                  </w:pPr>
                  <w:r>
                    <w:rPr>
                      <w:rFonts w:ascii="Times New Roman" w:hAnsi="Times New Roman" w:cs="Times New Roman"/>
                      <w:color w:val="auto"/>
                      <w:sz w:val="21"/>
                    </w:rPr>
                    <w:t>第90百分位浓度</w:t>
                  </w:r>
                </w:p>
              </w:tc>
              <w:tc>
                <w:tcPr>
                  <w:tcW w:w="1323" w:type="dxa"/>
                  <w:shd w:val="clear" w:color="auto" w:fill="auto"/>
                  <w:vAlign w:val="center"/>
                </w:tcPr>
                <w:p w14:paraId="7EFCB2C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183</w:t>
                  </w:r>
                </w:p>
              </w:tc>
              <w:tc>
                <w:tcPr>
                  <w:tcW w:w="1484" w:type="dxa"/>
                  <w:shd w:val="clear" w:color="auto" w:fill="auto"/>
                  <w:vAlign w:val="center"/>
                </w:tcPr>
                <w:p w14:paraId="155986C3">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160</w:t>
                  </w:r>
                </w:p>
              </w:tc>
              <w:tc>
                <w:tcPr>
                  <w:tcW w:w="1486" w:type="dxa"/>
                  <w:shd w:val="clear" w:color="auto" w:fill="auto"/>
                  <w:vAlign w:val="center"/>
                </w:tcPr>
                <w:p w14:paraId="65EE28C3">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114.38</w:t>
                  </w:r>
                </w:p>
              </w:tc>
              <w:tc>
                <w:tcPr>
                  <w:tcW w:w="1476" w:type="dxa"/>
                  <w:shd w:val="clear" w:color="auto" w:fill="auto"/>
                  <w:vAlign w:val="center"/>
                </w:tcPr>
                <w:p w14:paraId="7FFB968F">
                  <w:pPr>
                    <w:pStyle w:val="79"/>
                    <w:rPr>
                      <w:rFonts w:ascii="Times New Roman" w:hAnsi="Times New Roman" w:cs="Times New Roman"/>
                      <w:color w:val="auto"/>
                      <w:sz w:val="21"/>
                    </w:rPr>
                  </w:pPr>
                  <w:r>
                    <w:rPr>
                      <w:rFonts w:ascii="Times New Roman" w:hAnsi="Times New Roman" w:cs="Times New Roman"/>
                      <w:color w:val="auto"/>
                      <w:sz w:val="21"/>
                    </w:rPr>
                    <w:t>不达标</w:t>
                  </w:r>
                </w:p>
              </w:tc>
            </w:tr>
          </w:tbl>
          <w:p w14:paraId="1592E9F1">
            <w:pPr>
              <w:pStyle w:val="109"/>
              <w:ind w:firstLine="480"/>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由上表可以看出，202</w:t>
            </w:r>
            <w:r>
              <w:rPr>
                <w:rFonts w:hint="eastAsia" w:ascii="Times New Roman" w:hAnsi="Times New Roman" w:cs="Times New Roman"/>
                <w:color w:val="auto"/>
                <w:sz w:val="24"/>
                <w:szCs w:val="24"/>
                <w:highlight w:val="none"/>
                <w:lang w:val="en-US" w:eastAsia="zh-CN"/>
              </w:rPr>
              <w:t>4</w:t>
            </w:r>
            <w:r>
              <w:rPr>
                <w:rFonts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县空气质量（剔除沙尘影响），PM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74</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40</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33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，CO日平均值的第95百分位数为</w:t>
            </w:r>
            <w:r>
              <w:rPr>
                <w:rFonts w:hint="eastAsia" w:ascii="Times New Roman" w:hAnsi="Times New Roman" w:cs="Times New Roman"/>
                <w:color w:val="auto"/>
                <w:sz w:val="24"/>
                <w:szCs w:val="24"/>
                <w:highlight w:val="none"/>
                <w:lang w:val="en-US" w:eastAsia="zh-CN"/>
              </w:rPr>
              <w:t>1.1</w:t>
            </w:r>
            <w:r>
              <w:rPr>
                <w:rFonts w:ascii="Times New Roman" w:hAnsi="Times New Roman" w:cs="Times New Roman"/>
                <w:color w:val="auto"/>
                <w:sz w:val="24"/>
                <w:szCs w:val="24"/>
                <w:highlight w:val="none"/>
              </w:rPr>
              <w:t xml:space="preserve"> mg/m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日最大8小时滑动平均值的第90百分位数为</w:t>
            </w:r>
            <w:r>
              <w:rPr>
                <w:rFonts w:hint="eastAsia" w:ascii="Times New Roman" w:hAnsi="Times New Roman" w:cs="Times New Roman"/>
                <w:color w:val="auto"/>
                <w:sz w:val="24"/>
                <w:szCs w:val="24"/>
                <w:highlight w:val="none"/>
                <w:lang w:val="en-US" w:eastAsia="zh-CN"/>
              </w:rPr>
              <w:t>183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、CO浓度达到《环境空气质量标准》（GB3095-2012）及修改单二级标准，PM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浓度超标，超标</w:t>
            </w:r>
            <w:r>
              <w:rPr>
                <w:rFonts w:hint="eastAsia" w:ascii="Times New Roman" w:hAnsi="Times New Roman" w:cs="Times New Roman"/>
                <w:color w:val="auto"/>
                <w:sz w:val="24"/>
                <w:szCs w:val="24"/>
                <w:highlight w:val="none"/>
                <w:lang w:eastAsia="zh-CN"/>
              </w:rPr>
              <w:t>倍数分别为</w:t>
            </w:r>
            <w:r>
              <w:rPr>
                <w:rFonts w:hint="eastAsia" w:ascii="Times New Roman" w:hAnsi="Times New Roman" w:cs="Times New Roman"/>
                <w:color w:val="auto"/>
                <w:sz w:val="24"/>
                <w:szCs w:val="24"/>
                <w:highlight w:val="none"/>
                <w:lang w:val="en-US" w:eastAsia="zh-CN"/>
              </w:rPr>
              <w:t>0.0571、0.1429、0.1438</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县全年有效监测36</w:t>
            </w:r>
            <w:r>
              <w:rPr>
                <w:rFonts w:hint="eastAsia" w:ascii="Times New Roman" w:hAnsi="Times New Roman" w:cs="Times New Roman"/>
                <w:color w:val="auto"/>
                <w:sz w:val="24"/>
                <w:szCs w:val="24"/>
                <w:highlight w:val="none"/>
              </w:rPr>
              <w:t>5</w:t>
            </w:r>
            <w:r>
              <w:rPr>
                <w:rFonts w:ascii="Times New Roman" w:hAnsi="Times New Roman" w:cs="Times New Roman"/>
                <w:color w:val="auto"/>
                <w:sz w:val="24"/>
                <w:szCs w:val="24"/>
                <w:highlight w:val="none"/>
              </w:rPr>
              <w:t>天，达标天数2</w:t>
            </w:r>
            <w:r>
              <w:rPr>
                <w:rFonts w:hint="eastAsia" w:ascii="Times New Roman" w:hAnsi="Times New Roman" w:cs="Times New Roman"/>
                <w:color w:val="auto"/>
                <w:sz w:val="24"/>
                <w:szCs w:val="24"/>
                <w:highlight w:val="none"/>
                <w:lang w:val="en-US" w:eastAsia="zh-CN"/>
              </w:rPr>
              <w:t>52</w:t>
            </w:r>
            <w:r>
              <w:rPr>
                <w:rFonts w:ascii="Times New Roman" w:hAnsi="Times New Roman" w:cs="Times New Roman"/>
                <w:color w:val="auto"/>
                <w:sz w:val="24"/>
                <w:szCs w:val="24"/>
                <w:highlight w:val="none"/>
              </w:rPr>
              <w:t>，超标天数1</w:t>
            </w:r>
            <w:r>
              <w:rPr>
                <w:rFonts w:hint="eastAsia" w:ascii="Times New Roman" w:hAnsi="Times New Roman" w:cs="Times New Roman"/>
                <w:color w:val="auto"/>
                <w:sz w:val="24"/>
                <w:szCs w:val="24"/>
                <w:highlight w:val="none"/>
                <w:lang w:val="en-US" w:eastAsia="zh-CN"/>
              </w:rPr>
              <w:t>13</w:t>
            </w:r>
            <w:r>
              <w:rPr>
                <w:rFonts w:ascii="Times New Roman" w:hAnsi="Times New Roman" w:cs="Times New Roman"/>
                <w:color w:val="auto"/>
                <w:sz w:val="24"/>
                <w:szCs w:val="24"/>
                <w:highlight w:val="none"/>
              </w:rPr>
              <w:t>天，项目所在区域为不达标区。</w:t>
            </w:r>
          </w:p>
          <w:p w14:paraId="7A35B3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color w:val="auto"/>
                <w:sz w:val="24"/>
                <w:szCs w:val="24"/>
              </w:rPr>
            </w:pPr>
            <w:r>
              <w:rPr>
                <w:rFonts w:ascii="Times New Roman" w:hAnsi="Times New Roman" w:cs="Times New Roman"/>
                <w:color w:val="auto"/>
                <w:sz w:val="24"/>
                <w:szCs w:val="24"/>
              </w:rPr>
              <w:t>环境空气常规六项指标中，SO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、NO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、CO 24小时平均浓度第95百分位数浓度达到《环境空气质量标准》（GB3095-2012）及2018修改单中二级标准，PM</w:t>
            </w:r>
            <w:r>
              <w:rPr>
                <w:rFonts w:ascii="Times New Roman" w:hAnsi="Times New Roman" w:cs="Times New Roman"/>
                <w:color w:val="auto"/>
                <w:sz w:val="24"/>
                <w:szCs w:val="24"/>
                <w:vertAlign w:val="subscript"/>
              </w:rPr>
              <w:t>10</w:t>
            </w:r>
            <w:r>
              <w:rPr>
                <w:rFonts w:ascii="Times New Roman" w:hAnsi="Times New Roman" w:cs="Times New Roman"/>
                <w:color w:val="auto"/>
                <w:sz w:val="24"/>
                <w:szCs w:val="24"/>
              </w:rPr>
              <w:t>、PM</w:t>
            </w:r>
            <w:r>
              <w:rPr>
                <w:rFonts w:ascii="Times New Roman" w:hAnsi="Times New Roman" w:cs="Times New Roman"/>
                <w:color w:val="auto"/>
                <w:sz w:val="24"/>
                <w:szCs w:val="24"/>
                <w:vertAlign w:val="subscript"/>
              </w:rPr>
              <w:t>2.5</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rPr>
              <w:t>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日最大8小时平均浓度第90百分位数超过《环境空气质量标准》（GB3095-2012）二级标准要求，O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是该区域主要污染因子。</w:t>
            </w:r>
            <w:r>
              <w:rPr>
                <w:rFonts w:hint="eastAsia" w:ascii="Times New Roman" w:hAnsi="Times New Roman" w:cs="Times New Roman"/>
                <w:color w:val="auto"/>
                <w:sz w:val="24"/>
                <w:szCs w:val="24"/>
              </w:rPr>
              <w:t>为改善廊坊市环境空气质量现状，随着《廊坊市深入打好重污染天气消除、臭氧污染防治、柴油货车污染治理和城市大气污染深度治理攻坚战行动方案》（廊气办字〔2023〕70号）的实施，廊坊市环境空气质量现状逐步得到改善</w:t>
            </w:r>
            <w:r>
              <w:rPr>
                <w:rFonts w:ascii="Times New Roman" w:hAnsi="Times New Roman" w:cs="Times New Roman"/>
                <w:color w:val="auto"/>
                <w:sz w:val="24"/>
                <w:szCs w:val="24"/>
              </w:rPr>
              <w:t>。</w:t>
            </w:r>
          </w:p>
          <w:p w14:paraId="10ADAD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cs="Times New Roman"/>
                <w:b/>
                <w:bCs w:val="0"/>
                <w:color w:val="000000"/>
                <w:sz w:val="24"/>
                <w:szCs w:val="24"/>
                <w:highlight w:val="none"/>
                <w:lang w:eastAsia="zh-CN"/>
              </w:rPr>
            </w:pPr>
            <w:r>
              <w:rPr>
                <w:rFonts w:hint="eastAsia" w:ascii="Times New Roman" w:hAnsi="Times New Roman" w:cs="Times New Roman"/>
                <w:b/>
                <w:bCs w:val="0"/>
                <w:color w:val="000000"/>
                <w:sz w:val="24"/>
                <w:szCs w:val="24"/>
                <w:highlight w:val="none"/>
                <w:lang w:eastAsia="zh-CN"/>
              </w:rPr>
              <w:t>（二）其他污染物环境质量现状</w:t>
            </w:r>
          </w:p>
          <w:p w14:paraId="1388953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cs="Times New Roman"/>
                <w:b w:val="0"/>
                <w:bCs/>
                <w:color w:val="000000"/>
                <w:sz w:val="24"/>
                <w:szCs w:val="24"/>
                <w:highlight w:val="none"/>
                <w:lang w:eastAsia="zh-CN"/>
              </w:rPr>
            </w:pPr>
            <w:r>
              <w:rPr>
                <w:rFonts w:hint="eastAsia" w:ascii="Times New Roman" w:hAnsi="Times New Roman" w:cs="Times New Roman"/>
                <w:b w:val="0"/>
                <w:bCs/>
                <w:color w:val="000000"/>
                <w:sz w:val="24"/>
                <w:szCs w:val="24"/>
                <w:highlight w:val="none"/>
                <w:lang w:eastAsia="zh-CN"/>
              </w:rPr>
              <w:t>非甲烷总烃引用</w:t>
            </w:r>
            <w:r>
              <w:rPr>
                <w:rFonts w:ascii="Times New Roman" w:hAnsi="Times New Roman" w:cs="Times New Roman"/>
                <w:color w:val="auto"/>
                <w:sz w:val="24"/>
              </w:rPr>
              <w:t>《</w:t>
            </w:r>
            <w:r>
              <w:rPr>
                <w:rFonts w:hint="eastAsia" w:ascii="Times New Roman" w:hAnsi="Times New Roman" w:cs="Times New Roman"/>
                <w:color w:val="auto"/>
                <w:sz w:val="24"/>
              </w:rPr>
              <w:t>廊坊昀途塑料制品有限公司现状监测</w:t>
            </w:r>
            <w:r>
              <w:rPr>
                <w:rFonts w:ascii="Times New Roman" w:hAnsi="Times New Roman" w:cs="Times New Roman"/>
                <w:color w:val="auto"/>
                <w:sz w:val="24"/>
              </w:rPr>
              <w:t>环境</w:t>
            </w:r>
            <w:r>
              <w:rPr>
                <w:rFonts w:hint="eastAsia" w:ascii="Times New Roman" w:hAnsi="Times New Roman" w:cs="Times New Roman"/>
                <w:color w:val="auto"/>
                <w:sz w:val="24"/>
                <w:lang w:eastAsia="zh-CN"/>
              </w:rPr>
              <w:t>空气</w:t>
            </w:r>
            <w:r>
              <w:rPr>
                <w:rFonts w:ascii="Times New Roman" w:hAnsi="Times New Roman" w:cs="Times New Roman"/>
                <w:color w:val="auto"/>
                <w:sz w:val="24"/>
              </w:rPr>
              <w:t>监测</w:t>
            </w:r>
            <w:r>
              <w:rPr>
                <w:rFonts w:hint="eastAsia" w:ascii="Times New Roman" w:hAnsi="Times New Roman" w:cs="Times New Roman"/>
                <w:color w:val="auto"/>
                <w:sz w:val="24"/>
              </w:rPr>
              <w:t>报告</w:t>
            </w:r>
            <w:r>
              <w:rPr>
                <w:rFonts w:ascii="Times New Roman" w:hAnsi="Times New Roman" w:cs="Times New Roman"/>
                <w:color w:val="auto"/>
                <w:sz w:val="24"/>
              </w:rPr>
              <w:t>》</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ZWJC[2025]04147号</w:t>
            </w:r>
            <w:r>
              <w:rPr>
                <w:rFonts w:hint="eastAsia" w:ascii="Times New Roman" w:hAnsi="Times New Roman" w:cs="Times New Roman"/>
                <w:color w:val="auto"/>
                <w:sz w:val="24"/>
                <w:lang w:eastAsia="zh-CN"/>
              </w:rPr>
              <w:t>）</w:t>
            </w:r>
            <w:r>
              <w:rPr>
                <w:rFonts w:hint="eastAsia" w:ascii="Times New Roman" w:hAnsi="Times New Roman" w:cs="Times New Roman"/>
                <w:b w:val="0"/>
                <w:bCs/>
                <w:color w:val="000000"/>
                <w:sz w:val="24"/>
                <w:szCs w:val="24"/>
                <w:highlight w:val="none"/>
                <w:lang w:eastAsia="zh-CN"/>
              </w:rPr>
              <w:t>中的非甲烷总烃监测数据为本次评价服务。</w:t>
            </w:r>
            <w:r>
              <w:rPr>
                <w:rFonts w:hint="eastAsia" w:ascii="Times New Roman" w:hAnsi="Times New Roman" w:eastAsia="宋体" w:cs="Times New Roman"/>
                <w:bCs/>
                <w:color w:val="auto"/>
                <w:kern w:val="0"/>
                <w:sz w:val="24"/>
                <w:szCs w:val="21"/>
                <w:highlight w:val="none"/>
                <w:lang w:eastAsia="zh-CN"/>
              </w:rPr>
              <w:t>真维(廊坊)检测技术服务有限公司</w:t>
            </w:r>
            <w:r>
              <w:rPr>
                <w:rFonts w:hint="eastAsia" w:ascii="Times New Roman" w:hAnsi="Times New Roman" w:cs="Times New Roman"/>
                <w:b w:val="0"/>
                <w:bCs/>
                <w:color w:val="000000"/>
                <w:sz w:val="24"/>
                <w:szCs w:val="24"/>
                <w:highlight w:val="none"/>
                <w:lang w:eastAsia="zh-CN"/>
              </w:rPr>
              <w:t>对</w:t>
            </w:r>
            <w:r>
              <w:rPr>
                <w:rFonts w:hint="eastAsia" w:ascii="Times New Roman" w:hAnsi="Times New Roman" w:cs="Times New Roman"/>
                <w:color w:val="auto"/>
                <w:sz w:val="24"/>
              </w:rPr>
              <w:t>廊坊昀途塑料制品有限公司</w:t>
            </w:r>
            <w:r>
              <w:rPr>
                <w:rFonts w:hint="eastAsia" w:ascii="Times New Roman" w:hAnsi="Times New Roman" w:cs="Times New Roman"/>
                <w:b w:val="0"/>
                <w:bCs/>
                <w:color w:val="000000"/>
                <w:sz w:val="24"/>
                <w:szCs w:val="24"/>
                <w:highlight w:val="none"/>
                <w:lang w:eastAsia="zh-CN"/>
              </w:rPr>
              <w:t>周边环境空气中非甲烷总烃进行现状监测，出具了监测报告（</w:t>
            </w:r>
            <w:r>
              <w:rPr>
                <w:rFonts w:hint="eastAsia" w:ascii="Times New Roman" w:hAnsi="Times New Roman" w:cs="Times New Roman"/>
                <w:color w:val="auto"/>
                <w:sz w:val="24"/>
                <w:lang w:val="en-US" w:eastAsia="zh-CN"/>
              </w:rPr>
              <w:t>ZWJC[2025]04147号</w:t>
            </w:r>
            <w:r>
              <w:rPr>
                <w:rFonts w:hint="eastAsia" w:ascii="Times New Roman" w:hAnsi="Times New Roman" w:cs="Times New Roman"/>
                <w:b w:val="0"/>
                <w:bCs/>
                <w:color w:val="000000"/>
                <w:sz w:val="24"/>
                <w:szCs w:val="24"/>
                <w:highlight w:val="none"/>
                <w:lang w:eastAsia="zh-CN"/>
              </w:rPr>
              <w:t>），监测时间为202</w:t>
            </w:r>
            <w:r>
              <w:rPr>
                <w:rFonts w:hint="eastAsia" w:ascii="Times New Roman" w:hAnsi="Times New Roman" w:cs="Times New Roman"/>
                <w:b w:val="0"/>
                <w:bCs/>
                <w:color w:val="000000"/>
                <w:sz w:val="24"/>
                <w:szCs w:val="24"/>
                <w:highlight w:val="none"/>
                <w:lang w:val="en-US" w:eastAsia="zh-CN"/>
              </w:rPr>
              <w:t>5</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4</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25</w:t>
            </w:r>
            <w:r>
              <w:rPr>
                <w:rFonts w:hint="eastAsia" w:ascii="Times New Roman" w:hAnsi="Times New Roman" w:cs="Times New Roman"/>
                <w:b w:val="0"/>
                <w:bCs/>
                <w:color w:val="000000"/>
                <w:sz w:val="24"/>
                <w:szCs w:val="24"/>
                <w:highlight w:val="none"/>
                <w:lang w:eastAsia="zh-CN"/>
              </w:rPr>
              <w:t>日至202</w:t>
            </w:r>
            <w:r>
              <w:rPr>
                <w:rFonts w:hint="eastAsia" w:ascii="Times New Roman" w:hAnsi="Times New Roman" w:cs="Times New Roman"/>
                <w:b w:val="0"/>
                <w:bCs/>
                <w:color w:val="000000"/>
                <w:sz w:val="24"/>
                <w:szCs w:val="24"/>
                <w:highlight w:val="none"/>
                <w:lang w:val="en-US" w:eastAsia="zh-CN"/>
              </w:rPr>
              <w:t>5</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4</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27</w:t>
            </w:r>
            <w:r>
              <w:rPr>
                <w:rFonts w:hint="eastAsia" w:ascii="Times New Roman" w:hAnsi="Times New Roman" w:cs="Times New Roman"/>
                <w:b w:val="0"/>
                <w:bCs/>
                <w:color w:val="000000"/>
                <w:sz w:val="24"/>
                <w:szCs w:val="24"/>
                <w:highlight w:val="none"/>
                <w:lang w:eastAsia="zh-CN"/>
              </w:rPr>
              <w:t>日。监测点距离本项目约</w:t>
            </w:r>
            <w:r>
              <w:rPr>
                <w:rFonts w:hint="eastAsia" w:ascii="Times New Roman" w:hAnsi="Times New Roman" w:cs="Times New Roman"/>
                <w:b w:val="0"/>
                <w:bCs/>
                <w:color w:val="000000"/>
                <w:sz w:val="24"/>
                <w:szCs w:val="24"/>
                <w:highlight w:val="none"/>
                <w:lang w:val="en-US" w:eastAsia="zh-CN"/>
              </w:rPr>
              <w:t>3190</w:t>
            </w:r>
            <w:r>
              <w:rPr>
                <w:rFonts w:hint="eastAsia" w:ascii="Times New Roman" w:hAnsi="Times New Roman" w:cs="Times New Roman"/>
                <w:b w:val="0"/>
                <w:bCs/>
                <w:color w:val="000000"/>
                <w:sz w:val="24"/>
                <w:szCs w:val="24"/>
                <w:highlight w:val="none"/>
                <w:lang w:eastAsia="zh-CN"/>
              </w:rPr>
              <w:t>m，</w:t>
            </w:r>
            <w:r>
              <w:rPr>
                <w:rFonts w:hint="eastAsia" w:ascii="Times New Roman" w:hAnsi="Times New Roman" w:cs="Times New Roman"/>
                <w:b w:val="0"/>
                <w:bCs/>
                <w:color w:val="000000"/>
                <w:sz w:val="24"/>
                <w:szCs w:val="24"/>
                <w:highlight w:val="none"/>
                <w:lang w:val="en-US" w:eastAsia="zh-CN"/>
              </w:rPr>
              <w:t>引用监测点位及时间均符合《建设项目环境影响报告表编制技术指南》（污染影响类）（试行）中引用建设项目周边5千米范围内近3年的现有检测数据要求。引用监测报告见附件</w:t>
            </w:r>
            <w:r>
              <w:rPr>
                <w:rFonts w:hint="eastAsia" w:ascii="Times New Roman" w:hAnsi="Times New Roman" w:cs="Times New Roman"/>
                <w:b w:val="0"/>
                <w:bCs/>
                <w:color w:val="000000"/>
                <w:sz w:val="24"/>
                <w:szCs w:val="24"/>
                <w:highlight w:val="none"/>
                <w:lang w:eastAsia="zh-CN"/>
              </w:rPr>
              <w:t>。</w:t>
            </w:r>
          </w:p>
          <w:p w14:paraId="2A23117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（1）监测点位</w:t>
            </w:r>
          </w:p>
          <w:p w14:paraId="6D87294B">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表3-2 大气环境质量现状监测点位</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3"/>
              <w:gridCol w:w="1970"/>
              <w:gridCol w:w="1813"/>
              <w:gridCol w:w="2118"/>
              <w:gridCol w:w="1134"/>
              <w:gridCol w:w="1393"/>
            </w:tblGrid>
            <w:tr w14:paraId="5BB38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71" w:type="pct"/>
                  <w:noWrap w:val="0"/>
                  <w:vAlign w:val="center"/>
                </w:tcPr>
                <w:p w14:paraId="640C0DAB">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序号</w:t>
                  </w:r>
                </w:p>
              </w:tc>
              <w:tc>
                <w:tcPr>
                  <w:tcW w:w="1105" w:type="pct"/>
                  <w:noWrap w:val="0"/>
                  <w:vAlign w:val="center"/>
                </w:tcPr>
                <w:p w14:paraId="31469533">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监测点名称</w:t>
                  </w:r>
                </w:p>
              </w:tc>
              <w:tc>
                <w:tcPr>
                  <w:tcW w:w="1017" w:type="pct"/>
                  <w:noWrap w:val="0"/>
                  <w:vAlign w:val="center"/>
                </w:tcPr>
                <w:p w14:paraId="4ACFBD59">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监测因子</w:t>
                  </w:r>
                </w:p>
              </w:tc>
              <w:tc>
                <w:tcPr>
                  <w:tcW w:w="1188" w:type="pct"/>
                  <w:noWrap w:val="0"/>
                  <w:vAlign w:val="center"/>
                </w:tcPr>
                <w:p w14:paraId="61BCA1EB">
                  <w:pPr>
                    <w:jc w:val="center"/>
                    <w:rPr>
                      <w:rFonts w:hint="eastAsia" w:ascii="Times New Roman" w:hAnsi="Times New Roman" w:eastAsia="宋体" w:cs="Times New Roman"/>
                      <w:bCs/>
                      <w:color w:val="auto"/>
                      <w:szCs w:val="21"/>
                      <w:highlight w:val="none"/>
                      <w:lang w:eastAsia="zh-CN"/>
                    </w:rPr>
                  </w:pPr>
                  <w:r>
                    <w:rPr>
                      <w:rFonts w:ascii="Times New Roman" w:hAnsi="Times New Roman" w:eastAsia="宋体" w:cs="Times New Roman"/>
                      <w:bCs/>
                      <w:color w:val="auto"/>
                      <w:szCs w:val="21"/>
                      <w:highlight w:val="none"/>
                    </w:rPr>
                    <w:t>监测</w:t>
                  </w:r>
                  <w:r>
                    <w:rPr>
                      <w:rFonts w:hint="eastAsia" w:ascii="Times New Roman" w:hAnsi="Times New Roman" w:eastAsia="宋体" w:cs="Times New Roman"/>
                      <w:bCs/>
                      <w:color w:val="auto"/>
                      <w:szCs w:val="21"/>
                      <w:highlight w:val="none"/>
                      <w:lang w:eastAsia="zh-CN"/>
                    </w:rPr>
                    <w:t>时间</w:t>
                  </w:r>
                </w:p>
              </w:tc>
              <w:tc>
                <w:tcPr>
                  <w:tcW w:w="636" w:type="pct"/>
                  <w:noWrap w:val="0"/>
                  <w:vAlign w:val="center"/>
                </w:tcPr>
                <w:p w14:paraId="1C9C28F8">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603C47DC">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方位</w:t>
                  </w:r>
                </w:p>
              </w:tc>
              <w:tc>
                <w:tcPr>
                  <w:tcW w:w="781" w:type="pct"/>
                  <w:noWrap w:val="0"/>
                  <w:vAlign w:val="center"/>
                </w:tcPr>
                <w:p w14:paraId="46FAE715">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5C5961BD">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距离/m</w:t>
                  </w:r>
                </w:p>
              </w:tc>
            </w:tr>
            <w:tr w14:paraId="1EBB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271" w:type="pct"/>
                  <w:noWrap w:val="0"/>
                  <w:vAlign w:val="center"/>
                </w:tcPr>
                <w:p w14:paraId="173372B7">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w:t>
                  </w:r>
                </w:p>
              </w:tc>
              <w:tc>
                <w:tcPr>
                  <w:tcW w:w="1105" w:type="pct"/>
                  <w:noWrap w:val="0"/>
                  <w:vAlign w:val="center"/>
                </w:tcPr>
                <w:p w14:paraId="38053FBE">
                  <w:pPr>
                    <w:widowControl/>
                    <w:jc w:val="center"/>
                    <w:textAlignment w:val="center"/>
                    <w:rPr>
                      <w:rFonts w:hint="eastAsia" w:ascii="Times New Roman" w:hAnsi="Times New Roman" w:eastAsia="宋体" w:cs="Times New Roman"/>
                      <w:bCs/>
                      <w:color w:val="auto"/>
                      <w:szCs w:val="21"/>
                      <w:highlight w:val="none"/>
                      <w:lang w:eastAsia="zh-CN"/>
                    </w:rPr>
                  </w:pPr>
                  <w:r>
                    <w:rPr>
                      <w:rFonts w:hint="eastAsia" w:ascii="Times New Roman" w:hAnsi="Times New Roman" w:eastAsia="宋体" w:cs="Times New Roman"/>
                      <w:color w:val="auto"/>
                      <w:szCs w:val="21"/>
                      <w:highlight w:val="none"/>
                      <w:lang w:val="en-US" w:eastAsia="zh-CN"/>
                    </w:rPr>
                    <w:t>昀途厂区外东北处1点G1</w:t>
                  </w:r>
                </w:p>
              </w:tc>
              <w:tc>
                <w:tcPr>
                  <w:tcW w:w="1017" w:type="pct"/>
                  <w:noWrap w:val="0"/>
                  <w:vAlign w:val="center"/>
                </w:tcPr>
                <w:p w14:paraId="2E0B3C14">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非甲烷总烃</w:t>
                  </w:r>
                </w:p>
              </w:tc>
              <w:tc>
                <w:tcPr>
                  <w:tcW w:w="1188" w:type="pct"/>
                  <w:noWrap w:val="0"/>
                  <w:vAlign w:val="center"/>
                </w:tcPr>
                <w:p w14:paraId="0F47F414">
                  <w:pPr>
                    <w:jc w:val="center"/>
                    <w:rPr>
                      <w:rFonts w:hint="default" w:ascii="Times New Roman" w:hAnsi="Times New Roman" w:eastAsia="宋体" w:cs="Times New Roman"/>
                      <w:bCs/>
                      <w:color w:val="auto"/>
                      <w:szCs w:val="21"/>
                      <w:highlight w:val="none"/>
                      <w:lang w:val="en-US" w:eastAsia="zh-CN"/>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5</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4</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25</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5</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4</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27</w:t>
                  </w:r>
                </w:p>
              </w:tc>
              <w:tc>
                <w:tcPr>
                  <w:tcW w:w="636" w:type="pct"/>
                  <w:noWrap w:val="0"/>
                  <w:vAlign w:val="center"/>
                </w:tcPr>
                <w:p w14:paraId="75FD8543">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eastAsia="zh-CN"/>
                    </w:rPr>
                    <w:t>西北</w:t>
                  </w:r>
                </w:p>
              </w:tc>
              <w:tc>
                <w:tcPr>
                  <w:tcW w:w="781" w:type="pct"/>
                  <w:noWrap w:val="0"/>
                  <w:vAlign w:val="center"/>
                </w:tcPr>
                <w:p w14:paraId="361597EE">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3190</w:t>
                  </w:r>
                </w:p>
              </w:tc>
            </w:tr>
          </w:tbl>
          <w:p w14:paraId="20D59B37">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（2）监测频次：非甲烷总烃监测时间为</w:t>
            </w:r>
            <w:r>
              <w:rPr>
                <w:rFonts w:hint="eastAsia" w:ascii="Times New Roman" w:hAnsi="Times New Roman" w:cs="Times New Roman"/>
                <w:b w:val="0"/>
                <w:bCs/>
                <w:color w:val="000000"/>
                <w:sz w:val="24"/>
                <w:szCs w:val="24"/>
                <w:highlight w:val="none"/>
                <w:lang w:eastAsia="zh-CN"/>
              </w:rPr>
              <w:t>202</w:t>
            </w:r>
            <w:r>
              <w:rPr>
                <w:rFonts w:hint="eastAsia" w:ascii="Times New Roman" w:hAnsi="Times New Roman" w:cs="Times New Roman"/>
                <w:b w:val="0"/>
                <w:bCs/>
                <w:color w:val="000000"/>
                <w:sz w:val="24"/>
                <w:szCs w:val="24"/>
                <w:highlight w:val="none"/>
                <w:lang w:val="en-US" w:eastAsia="zh-CN"/>
              </w:rPr>
              <w:t>5</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4</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25</w:t>
            </w:r>
            <w:r>
              <w:rPr>
                <w:rFonts w:hint="eastAsia" w:ascii="Times New Roman" w:hAnsi="Times New Roman" w:cs="Times New Roman"/>
                <w:b w:val="0"/>
                <w:bCs/>
                <w:color w:val="000000"/>
                <w:sz w:val="24"/>
                <w:szCs w:val="24"/>
                <w:highlight w:val="none"/>
                <w:lang w:eastAsia="zh-CN"/>
              </w:rPr>
              <w:t>日至202</w:t>
            </w:r>
            <w:r>
              <w:rPr>
                <w:rFonts w:hint="eastAsia" w:ascii="Times New Roman" w:hAnsi="Times New Roman" w:cs="Times New Roman"/>
                <w:b w:val="0"/>
                <w:bCs/>
                <w:color w:val="000000"/>
                <w:sz w:val="24"/>
                <w:szCs w:val="24"/>
                <w:highlight w:val="none"/>
                <w:lang w:val="en-US" w:eastAsia="zh-CN"/>
              </w:rPr>
              <w:t>5</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4</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27</w:t>
            </w:r>
            <w:r>
              <w:rPr>
                <w:rFonts w:hint="eastAsia" w:ascii="Times New Roman" w:hAnsi="Times New Roman" w:cs="Times New Roman"/>
                <w:b w:val="0"/>
                <w:bCs/>
                <w:color w:val="000000"/>
                <w:sz w:val="24"/>
                <w:szCs w:val="24"/>
                <w:highlight w:val="none"/>
                <w:lang w:eastAsia="zh-CN"/>
              </w:rPr>
              <w:t>日</w:t>
            </w:r>
            <w:r>
              <w:rPr>
                <w:rFonts w:ascii="Times New Roman" w:hAnsi="Times New Roman" w:eastAsia="宋体" w:cs="Times New Roman"/>
                <w:color w:val="auto"/>
                <w:kern w:val="0"/>
                <w:sz w:val="24"/>
                <w:szCs w:val="21"/>
                <w:highlight w:val="none"/>
                <w:lang w:val="en-US" w:eastAsia="zh-CN" w:bidi="ar"/>
              </w:rPr>
              <w:t>。4次/天，连续</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天，即每天02、08、14、20时采样</w:t>
            </w:r>
            <w:r>
              <w:rPr>
                <w:rFonts w:ascii="Times New Roman" w:hAnsi="Times New Roman" w:eastAsia="宋体" w:cs="Times New Roman"/>
                <w:color w:val="auto"/>
                <w:kern w:val="2"/>
                <w:sz w:val="24"/>
                <w:szCs w:val="24"/>
                <w:highlight w:val="none"/>
                <w:lang w:val="en-US" w:eastAsia="zh-CN" w:bidi="ar-SA"/>
              </w:rPr>
              <w:t>。</w:t>
            </w:r>
          </w:p>
          <w:p w14:paraId="696C638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（3）分析方法：采样及分析方法均按照《环境监测技术规范》中有关规定执行。</w:t>
            </w:r>
          </w:p>
          <w:p w14:paraId="29ABAB6D">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（4）监测结果</w:t>
            </w:r>
          </w:p>
          <w:p w14:paraId="5E6FB8A5">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大气环境质量监测结果如下表所示：</w:t>
            </w:r>
          </w:p>
          <w:p w14:paraId="08FFDA85">
            <w:pPr>
              <w:widowControl w:val="0"/>
              <w:snapToGrid w:val="0"/>
              <w:spacing w:line="240" w:lineRule="auto"/>
              <w:ind w:firstLine="0" w:firstLineChars="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表3-3  现状监测数据汇总表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5"/>
              <w:gridCol w:w="2857"/>
              <w:gridCol w:w="3053"/>
            </w:tblGrid>
            <w:tr w14:paraId="7DDB7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685" w:type="pct"/>
                  <w:vMerge w:val="restart"/>
                  <w:noWrap w:val="0"/>
                  <w:vAlign w:val="center"/>
                </w:tcPr>
                <w:p w14:paraId="5E45011B">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检测项目</w:t>
                  </w:r>
                </w:p>
              </w:tc>
              <w:tc>
                <w:tcPr>
                  <w:tcW w:w="1602" w:type="pct"/>
                  <w:vMerge w:val="restart"/>
                  <w:noWrap w:val="0"/>
                  <w:vAlign w:val="center"/>
                </w:tcPr>
                <w:p w14:paraId="028FCB16">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采样时间</w:t>
                  </w:r>
                </w:p>
              </w:tc>
              <w:tc>
                <w:tcPr>
                  <w:tcW w:w="1712" w:type="pct"/>
                  <w:noWrap w:val="0"/>
                  <w:vAlign w:val="center"/>
                </w:tcPr>
                <w:p w14:paraId="28DD227F">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采样点位及检测结果</w:t>
                  </w:r>
                </w:p>
              </w:tc>
            </w:tr>
            <w:tr w14:paraId="19D9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685" w:type="pct"/>
                  <w:vMerge w:val="continue"/>
                  <w:noWrap w:val="0"/>
                  <w:vAlign w:val="center"/>
                </w:tcPr>
                <w:p w14:paraId="2E25C1F6">
                  <w:pPr>
                    <w:spacing w:line="240" w:lineRule="exact"/>
                    <w:jc w:val="center"/>
                    <w:rPr>
                      <w:rFonts w:ascii="Times New Roman" w:hAnsi="Times New Roman" w:eastAsia="宋体" w:cs="Times New Roman"/>
                      <w:b/>
                      <w:color w:val="auto"/>
                      <w:szCs w:val="21"/>
                      <w:highlight w:val="none"/>
                    </w:rPr>
                  </w:pPr>
                </w:p>
              </w:tc>
              <w:tc>
                <w:tcPr>
                  <w:tcW w:w="1602" w:type="pct"/>
                  <w:vMerge w:val="continue"/>
                  <w:noWrap w:val="0"/>
                  <w:vAlign w:val="top"/>
                </w:tcPr>
                <w:p w14:paraId="47ACC214">
                  <w:pPr>
                    <w:spacing w:line="240" w:lineRule="exact"/>
                    <w:jc w:val="center"/>
                    <w:rPr>
                      <w:rFonts w:ascii="Times New Roman" w:hAnsi="Times New Roman" w:eastAsia="宋体" w:cs="Times New Roman"/>
                      <w:b/>
                      <w:color w:val="auto"/>
                      <w:szCs w:val="21"/>
                      <w:highlight w:val="none"/>
                    </w:rPr>
                  </w:pPr>
                </w:p>
              </w:tc>
              <w:tc>
                <w:tcPr>
                  <w:tcW w:w="1712" w:type="pct"/>
                  <w:noWrap w:val="0"/>
                  <w:vAlign w:val="center"/>
                </w:tcPr>
                <w:p w14:paraId="2EFD0390">
                  <w:pPr>
                    <w:spacing w:line="0" w:lineRule="atLeast"/>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lang w:val="en-US" w:eastAsia="zh-CN"/>
                    </w:rPr>
                    <w:t>昀途厂区外东北处1点G1</w:t>
                  </w:r>
                </w:p>
              </w:tc>
            </w:tr>
            <w:tr w14:paraId="0F502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85" w:type="pct"/>
                  <w:noWrap w:val="0"/>
                  <w:vAlign w:val="center"/>
                </w:tcPr>
                <w:p w14:paraId="759C874C">
                  <w:pPr>
                    <w:spacing w:line="240" w:lineRule="exact"/>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非甲烷总烃（以碳计）（mg/m³）</w:t>
                  </w:r>
                </w:p>
              </w:tc>
              <w:tc>
                <w:tcPr>
                  <w:tcW w:w="1602" w:type="pct"/>
                  <w:noWrap w:val="0"/>
                  <w:vAlign w:val="center"/>
                </w:tcPr>
                <w:p w14:paraId="0EED5BA1">
                  <w:pPr>
                    <w:spacing w:line="200" w:lineRule="exact"/>
                    <w:jc w:val="center"/>
                    <w:rPr>
                      <w:rFonts w:ascii="Times New Roman" w:hAnsi="Times New Roman" w:eastAsia="宋体" w:cs="Times New Roman"/>
                      <w:color w:val="auto"/>
                      <w:szCs w:val="21"/>
                      <w:highlight w:val="none"/>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5</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4</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25</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5</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4</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27</w:t>
                  </w:r>
                </w:p>
              </w:tc>
              <w:tc>
                <w:tcPr>
                  <w:tcW w:w="1712" w:type="pct"/>
                  <w:noWrap w:val="0"/>
                  <w:vAlign w:val="center"/>
                </w:tcPr>
                <w:p w14:paraId="3DFBC958">
                  <w:pPr>
                    <w:spacing w:line="20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0.66</w:t>
                  </w:r>
                  <w:r>
                    <w:rPr>
                      <w:rFonts w:hint="eastAsia"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0.86</w:t>
                  </w:r>
                </w:p>
              </w:tc>
            </w:tr>
          </w:tbl>
          <w:p w14:paraId="07B5ABF9">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）评价标准：</w:t>
            </w:r>
          </w:p>
          <w:p w14:paraId="74FE2F9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非甲烷总烃执行《河北省地方标准 环境空气质量 非甲烷总烃限值》（DB13/1577-2012）二级标准值。</w:t>
            </w:r>
          </w:p>
          <w:p w14:paraId="0064BF22">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）评价结果</w:t>
            </w:r>
          </w:p>
          <w:p w14:paraId="682497C6">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评价结果见表3-4。</w:t>
            </w:r>
          </w:p>
          <w:p w14:paraId="44538E42">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表3-4 小时平均浓度现状监测结果统计评价表</w:t>
            </w:r>
          </w:p>
          <w:tbl>
            <w:tblPr>
              <w:tblStyle w:val="37"/>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876"/>
              <w:gridCol w:w="815"/>
              <w:gridCol w:w="1008"/>
              <w:gridCol w:w="1313"/>
              <w:gridCol w:w="1172"/>
              <w:gridCol w:w="792"/>
              <w:gridCol w:w="787"/>
              <w:gridCol w:w="783"/>
            </w:tblGrid>
            <w:tr w14:paraId="5055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64" w:type="pct"/>
                  <w:noWrap w:val="0"/>
                  <w:vAlign w:val="center"/>
                </w:tcPr>
                <w:p w14:paraId="64D9726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w:t>
                  </w:r>
                </w:p>
                <w:p w14:paraId="37CC36CC">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点名称</w:t>
                  </w:r>
                </w:p>
              </w:tc>
              <w:tc>
                <w:tcPr>
                  <w:tcW w:w="491" w:type="pct"/>
                  <w:noWrap w:val="0"/>
                  <w:vAlign w:val="center"/>
                </w:tcPr>
                <w:p w14:paraId="1AD3B29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污染物</w:t>
                  </w:r>
                </w:p>
              </w:tc>
              <w:tc>
                <w:tcPr>
                  <w:tcW w:w="457" w:type="pct"/>
                  <w:noWrap w:val="0"/>
                  <w:vAlign w:val="center"/>
                </w:tcPr>
                <w:p w14:paraId="4E75CD57">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平均时间</w:t>
                  </w:r>
                </w:p>
              </w:tc>
              <w:tc>
                <w:tcPr>
                  <w:tcW w:w="565" w:type="pct"/>
                  <w:noWrap w:val="0"/>
                  <w:vAlign w:val="center"/>
                </w:tcPr>
                <w:p w14:paraId="0791FE3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评价标准</w:t>
                  </w:r>
                </w:p>
                <w:p w14:paraId="757005D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(μg/m³)</w:t>
                  </w:r>
                </w:p>
              </w:tc>
              <w:tc>
                <w:tcPr>
                  <w:tcW w:w="736" w:type="pct"/>
                  <w:noWrap w:val="0"/>
                  <w:vAlign w:val="center"/>
                </w:tcPr>
                <w:p w14:paraId="01DC5A3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监测浓度范围(μg/m³)</w:t>
                  </w:r>
                </w:p>
              </w:tc>
              <w:tc>
                <w:tcPr>
                  <w:tcW w:w="657" w:type="pct"/>
                  <w:noWrap w:val="0"/>
                  <w:vAlign w:val="center"/>
                </w:tcPr>
                <w:p w14:paraId="4B7F407F">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最大浓度</w:t>
                  </w:r>
                </w:p>
                <w:p w14:paraId="4F36A7F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占标率/%</w:t>
                  </w:r>
                </w:p>
              </w:tc>
              <w:tc>
                <w:tcPr>
                  <w:tcW w:w="444" w:type="pct"/>
                  <w:noWrap w:val="0"/>
                  <w:vAlign w:val="center"/>
                </w:tcPr>
                <w:p w14:paraId="6C561F08">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超标倍数</w:t>
                  </w:r>
                </w:p>
              </w:tc>
              <w:tc>
                <w:tcPr>
                  <w:tcW w:w="441" w:type="pct"/>
                  <w:noWrap w:val="0"/>
                  <w:vAlign w:val="center"/>
                </w:tcPr>
                <w:p w14:paraId="17B63F5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超标率/%</w:t>
                  </w:r>
                </w:p>
              </w:tc>
              <w:tc>
                <w:tcPr>
                  <w:tcW w:w="439" w:type="pct"/>
                  <w:noWrap w:val="0"/>
                  <w:vAlign w:val="center"/>
                </w:tcPr>
                <w:p w14:paraId="69D5A4C9">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达标</w:t>
                  </w:r>
                </w:p>
                <w:p w14:paraId="77AB0B3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情况</w:t>
                  </w:r>
                </w:p>
              </w:tc>
            </w:tr>
            <w:tr w14:paraId="46D1D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764" w:type="pct"/>
                  <w:noWrap w:val="0"/>
                  <w:vAlign w:val="center"/>
                </w:tcPr>
                <w:p w14:paraId="2A4B32AA">
                  <w:pPr>
                    <w:widowControl/>
                    <w:jc w:val="center"/>
                    <w:textAlignment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lang w:val="en-US" w:eastAsia="zh-CN"/>
                    </w:rPr>
                    <w:t>昀途厂区外东北处1点G1</w:t>
                  </w:r>
                </w:p>
              </w:tc>
              <w:tc>
                <w:tcPr>
                  <w:tcW w:w="491" w:type="pct"/>
                  <w:noWrap w:val="0"/>
                  <w:vAlign w:val="center"/>
                </w:tcPr>
                <w:p w14:paraId="2A834DE4">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NMHC</w:t>
                  </w:r>
                </w:p>
              </w:tc>
              <w:tc>
                <w:tcPr>
                  <w:tcW w:w="457" w:type="pct"/>
                  <w:noWrap w:val="0"/>
                  <w:vAlign w:val="center"/>
                </w:tcPr>
                <w:p w14:paraId="1B2BC21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1h</w:t>
                  </w:r>
                </w:p>
              </w:tc>
              <w:tc>
                <w:tcPr>
                  <w:tcW w:w="565" w:type="pct"/>
                  <w:noWrap w:val="0"/>
                  <w:vAlign w:val="center"/>
                </w:tcPr>
                <w:p w14:paraId="11CCABC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2000</w:t>
                  </w:r>
                </w:p>
              </w:tc>
              <w:tc>
                <w:tcPr>
                  <w:tcW w:w="736" w:type="pct"/>
                  <w:noWrap w:val="0"/>
                  <w:vAlign w:val="center"/>
                </w:tcPr>
                <w:p w14:paraId="55FBB9C9">
                  <w:pPr>
                    <w:widowControl w:val="0"/>
                    <w:adjustRightInd w:val="0"/>
                    <w:spacing w:line="240" w:lineRule="exact"/>
                    <w:ind w:firstLine="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660~860</w:t>
                  </w:r>
                </w:p>
              </w:tc>
              <w:tc>
                <w:tcPr>
                  <w:tcW w:w="657" w:type="pct"/>
                  <w:noWrap w:val="0"/>
                  <w:vAlign w:val="center"/>
                </w:tcPr>
                <w:p w14:paraId="131DB3FB">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0.43</w:t>
                  </w:r>
                </w:p>
              </w:tc>
              <w:tc>
                <w:tcPr>
                  <w:tcW w:w="444" w:type="pct"/>
                  <w:noWrap w:val="0"/>
                  <w:vAlign w:val="center"/>
                </w:tcPr>
                <w:p w14:paraId="2785B99F">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41" w:type="pct"/>
                  <w:noWrap w:val="0"/>
                  <w:vAlign w:val="center"/>
                </w:tcPr>
                <w:p w14:paraId="15725FFA">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39" w:type="pct"/>
                  <w:noWrap w:val="0"/>
                  <w:vAlign w:val="center"/>
                </w:tcPr>
                <w:p w14:paraId="627B6B2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达标</w:t>
                  </w:r>
                </w:p>
              </w:tc>
            </w:tr>
          </w:tbl>
          <w:p w14:paraId="37E99CE8">
            <w:pPr>
              <w:widowControl w:val="0"/>
              <w:autoSpaceDE w:val="0"/>
              <w:autoSpaceDN w:val="0"/>
              <w:adjustRightInd w:val="0"/>
              <w:snapToGrid w:val="0"/>
              <w:spacing w:line="360" w:lineRule="auto"/>
              <w:ind w:firstLine="480" w:firstLineChars="200"/>
              <w:jc w:val="both"/>
              <w:rPr>
                <w:rFonts w:hint="eastAsia" w:ascii="Times New Roman" w:hAnsi="Times New Roman" w:cs="Times New Roman"/>
                <w:color w:val="auto"/>
              </w:rPr>
            </w:pPr>
            <w:r>
              <w:rPr>
                <w:rFonts w:ascii="Times New Roman" w:hAnsi="Times New Roman" w:eastAsia="宋体" w:cs="Times New Roman"/>
                <w:color w:val="auto"/>
                <w:kern w:val="0"/>
                <w:sz w:val="24"/>
                <w:szCs w:val="21"/>
                <w:highlight w:val="none"/>
                <w:lang w:val="en-US" w:eastAsia="zh-CN" w:bidi="ar-SA"/>
              </w:rPr>
              <w:t>由表3-4可知，监测点非甲烷总烃的1小时平均浓度范围为</w:t>
            </w:r>
            <w:r>
              <w:rPr>
                <w:rFonts w:hint="eastAsia" w:ascii="Times New Roman" w:hAnsi="Times New Roman" w:eastAsia="宋体" w:cs="Times New Roman"/>
                <w:color w:val="auto"/>
                <w:kern w:val="0"/>
                <w:sz w:val="24"/>
                <w:szCs w:val="21"/>
                <w:highlight w:val="none"/>
                <w:lang w:val="en-US" w:eastAsia="zh-CN" w:bidi="ar-SA"/>
              </w:rPr>
              <w:t>660~860</w:t>
            </w:r>
            <w:r>
              <w:rPr>
                <w:rFonts w:ascii="Times New Roman" w:hAnsi="Times New Roman" w:eastAsia="宋体" w:cs="Times New Roman"/>
                <w:color w:val="auto"/>
                <w:kern w:val="0"/>
                <w:sz w:val="24"/>
                <w:szCs w:val="21"/>
                <w:highlight w:val="none"/>
                <w:lang w:val="en-US" w:eastAsia="zh-CN" w:bidi="ar-SA"/>
              </w:rPr>
              <w:t>μg/m³，非甲烷总烃满足《河北省地方标准 环境空气质量 非甲烷总烃限值》（DB13/1577-2012）小时浓度限值要求。</w:t>
            </w:r>
          </w:p>
          <w:p w14:paraId="6D9DAF20">
            <w:pPr>
              <w:pStyle w:val="82"/>
              <w:spacing w:before="0" w:beforeLines="0"/>
              <w:ind w:firstLine="482" w:firstLineChars="200"/>
              <w:rPr>
                <w:rFonts w:ascii="Times New Roman" w:hAnsi="Times New Roman" w:cs="Times New Roman"/>
                <w:color w:val="auto"/>
              </w:rPr>
            </w:pPr>
            <w:r>
              <w:rPr>
                <w:rFonts w:hint="eastAsia" w:ascii="Times New Roman" w:hAnsi="Times New Roman" w:cs="Times New Roman"/>
                <w:color w:val="auto"/>
              </w:rPr>
              <w:t>2</w:t>
            </w:r>
            <w:r>
              <w:rPr>
                <w:rFonts w:hint="eastAsia" w:ascii="Times New Roman" w:hAnsi="Times New Roman" w:cs="Times New Roman"/>
                <w:color w:val="auto"/>
                <w:lang w:eastAsia="zh-CN"/>
              </w:rPr>
              <w:t>、</w:t>
            </w:r>
            <w:r>
              <w:rPr>
                <w:rFonts w:ascii="Times New Roman" w:hAnsi="Times New Roman" w:cs="Times New Roman"/>
                <w:color w:val="auto"/>
              </w:rPr>
              <w:t>地表水环境</w:t>
            </w:r>
          </w:p>
          <w:p w14:paraId="1FD5735E">
            <w:pPr>
              <w:pStyle w:val="66"/>
              <w:ind w:firstLine="480"/>
              <w:rPr>
                <w:rFonts w:ascii="Times New Roman" w:hAnsi="Times New Roman" w:cs="Times New Roman"/>
                <w:color w:val="auto"/>
              </w:rPr>
            </w:pPr>
            <w:r>
              <w:rPr>
                <w:rFonts w:hint="default" w:ascii="Times New Roman" w:hAnsi="Times New Roman" w:cs="Times New Roman"/>
                <w:color w:val="auto"/>
                <w:lang w:bidi="mn-Mong-CN"/>
              </w:rPr>
              <w:t>项目所在区域地表水体为</w:t>
            </w:r>
            <w:r>
              <w:rPr>
                <w:rFonts w:hint="eastAsia" w:ascii="Times New Roman" w:hAnsi="Times New Roman" w:cs="Times New Roman"/>
                <w:color w:val="auto"/>
                <w:lang w:eastAsia="zh-CN" w:bidi="mn-Mong-CN"/>
              </w:rPr>
              <w:t>永定</w:t>
            </w:r>
            <w:r>
              <w:rPr>
                <w:rFonts w:hint="default" w:ascii="Times New Roman" w:hAnsi="Times New Roman" w:cs="Times New Roman"/>
                <w:color w:val="auto"/>
                <w:lang w:bidi="mn-Mong-CN"/>
              </w:rPr>
              <w:t>河，根据</w:t>
            </w:r>
            <w:r>
              <w:rPr>
                <w:rFonts w:hint="default" w:ascii="Times New Roman" w:hAnsi="宋体" w:eastAsia="宋体" w:cs="Times New Roman"/>
                <w:color w:val="auto"/>
                <w:sz w:val="24"/>
                <w:szCs w:val="21"/>
              </w:rPr>
              <w:t>《廊坊市</w:t>
            </w:r>
            <w:r>
              <w:rPr>
                <w:rFonts w:hint="default" w:ascii="Times New Roman" w:hAnsi="宋体" w:eastAsia="宋体" w:cs="Times New Roman"/>
                <w:color w:val="auto"/>
                <w:sz w:val="24"/>
                <w:szCs w:val="21"/>
                <w:lang w:eastAsia="zh-CN"/>
              </w:rPr>
              <w:t>生态</w:t>
            </w:r>
            <w:r>
              <w:rPr>
                <w:rFonts w:hint="default" w:ascii="Times New Roman" w:hAnsi="宋体" w:eastAsia="宋体" w:cs="Times New Roman"/>
                <w:color w:val="auto"/>
                <w:sz w:val="24"/>
                <w:szCs w:val="21"/>
              </w:rPr>
              <w:t>环境质量</w:t>
            </w:r>
            <w:r>
              <w:rPr>
                <w:rFonts w:hint="default" w:ascii="Times New Roman" w:hAnsi="宋体" w:eastAsia="宋体" w:cs="Times New Roman"/>
                <w:color w:val="auto"/>
                <w:sz w:val="24"/>
                <w:szCs w:val="21"/>
                <w:lang w:eastAsia="zh-CN"/>
              </w:rPr>
              <w:t>报告书</w:t>
            </w:r>
            <w:r>
              <w:rPr>
                <w:rFonts w:hint="default" w:ascii="Times New Roman" w:hAnsi="宋体" w:eastAsia="宋体" w:cs="Times New Roman"/>
                <w:color w:val="auto"/>
                <w:sz w:val="24"/>
                <w:szCs w:val="21"/>
              </w:rPr>
              <w:t>（202</w:t>
            </w:r>
            <w:r>
              <w:rPr>
                <w:rFonts w:hint="default" w:ascii="Times New Roman" w:hAnsi="宋体" w:eastAsia="宋体" w:cs="Times New Roman"/>
                <w:color w:val="auto"/>
                <w:sz w:val="24"/>
                <w:szCs w:val="21"/>
                <w:lang w:val="en-US" w:eastAsia="zh-CN"/>
              </w:rPr>
              <w:t>4</w:t>
            </w:r>
            <w:r>
              <w:rPr>
                <w:rFonts w:hint="default" w:ascii="Times New Roman" w:hAnsi="宋体" w:eastAsia="宋体" w:cs="Times New Roman"/>
                <w:color w:val="auto"/>
                <w:sz w:val="24"/>
                <w:szCs w:val="21"/>
              </w:rPr>
              <w:t>年）》</w:t>
            </w:r>
            <w:r>
              <w:rPr>
                <w:rFonts w:hint="default" w:ascii="Times New Roman" w:hAnsi="Times New Roman" w:cs="Times New Roman"/>
                <w:color w:val="auto"/>
                <w:lang w:bidi="mn-Mong-CN"/>
              </w:rPr>
              <w:t>中永定河（后沙窝村断面）水质监测结果，现状水质满足《地表水环境质量标准》（GB3838-2002）Ⅲ类水质要求，区域地表水质良好</w:t>
            </w:r>
            <w:r>
              <w:rPr>
                <w:rFonts w:ascii="Times New Roman" w:hAnsi="Times New Roman" w:cs="Times New Roman"/>
                <w:color w:val="auto"/>
                <w:lang w:bidi="mn-Mong-CN"/>
              </w:rPr>
              <w:t>。</w:t>
            </w:r>
          </w:p>
          <w:p w14:paraId="3B9AFA24">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表3-</w:t>
            </w:r>
            <w:r>
              <w:rPr>
                <w:rFonts w:hint="eastAsia" w:ascii="Times New Roman" w:hAnsi="Times New Roman" w:cs="Times New Roman"/>
                <w:bCs/>
                <w:color w:val="auto"/>
                <w:sz w:val="24"/>
                <w:szCs w:val="24"/>
                <w:lang w:val="en-US" w:eastAsia="zh-CN"/>
              </w:rPr>
              <w:t>5</w:t>
            </w:r>
            <w:r>
              <w:rPr>
                <w:rFonts w:ascii="Times New Roman" w:hAnsi="Times New Roman" w:cs="Times New Roman"/>
                <w:bCs/>
                <w:color w:val="auto"/>
                <w:sz w:val="24"/>
                <w:szCs w:val="24"/>
              </w:rPr>
              <w:t xml:space="preserve">  地表水水质监测结果</w:t>
            </w:r>
          </w:p>
          <w:tbl>
            <w:tblPr>
              <w:tblStyle w:val="37"/>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276"/>
              <w:gridCol w:w="1134"/>
              <w:gridCol w:w="1134"/>
              <w:gridCol w:w="1134"/>
              <w:gridCol w:w="2268"/>
              <w:gridCol w:w="1183"/>
            </w:tblGrid>
            <w:tr w14:paraId="0815B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91" w:type="dxa"/>
                  <w:tcBorders>
                    <w:tl2br w:val="nil"/>
                    <w:tr2bl w:val="nil"/>
                  </w:tcBorders>
                  <w:shd w:val="clear" w:color="auto" w:fill="auto"/>
                  <w:vAlign w:val="center"/>
                </w:tcPr>
                <w:p w14:paraId="65769B0E">
                  <w:pPr>
                    <w:pStyle w:val="79"/>
                    <w:rPr>
                      <w:rFonts w:ascii="Times New Roman" w:hAnsi="Times New Roman" w:cs="Times New Roman"/>
                      <w:b/>
                      <w:color w:val="auto"/>
                      <w:sz w:val="21"/>
                    </w:rPr>
                  </w:pPr>
                  <w:r>
                    <w:rPr>
                      <w:rFonts w:ascii="Times New Roman" w:hAnsi="Times New Roman" w:cs="Times New Roman"/>
                      <w:b/>
                      <w:color w:val="auto"/>
                      <w:sz w:val="21"/>
                    </w:rPr>
                    <w:t>序号</w:t>
                  </w:r>
                </w:p>
              </w:tc>
              <w:tc>
                <w:tcPr>
                  <w:tcW w:w="1276" w:type="dxa"/>
                  <w:tcBorders>
                    <w:tl2br w:val="nil"/>
                    <w:tr2bl w:val="nil"/>
                  </w:tcBorders>
                  <w:shd w:val="clear" w:color="auto" w:fill="auto"/>
                  <w:vAlign w:val="center"/>
                </w:tcPr>
                <w:p w14:paraId="2C14098A">
                  <w:pPr>
                    <w:pStyle w:val="79"/>
                    <w:rPr>
                      <w:rFonts w:ascii="Times New Roman" w:hAnsi="Times New Roman" w:cs="Times New Roman"/>
                      <w:b/>
                      <w:color w:val="auto"/>
                      <w:sz w:val="21"/>
                    </w:rPr>
                  </w:pPr>
                  <w:r>
                    <w:rPr>
                      <w:rFonts w:ascii="Times New Roman" w:hAnsi="Times New Roman" w:cs="Times New Roman"/>
                      <w:b/>
                      <w:color w:val="auto"/>
                      <w:sz w:val="21"/>
                    </w:rPr>
                    <w:t>监测断面</w:t>
                  </w:r>
                </w:p>
              </w:tc>
              <w:tc>
                <w:tcPr>
                  <w:tcW w:w="1134" w:type="dxa"/>
                  <w:tcBorders>
                    <w:tl2br w:val="nil"/>
                    <w:tr2bl w:val="nil"/>
                  </w:tcBorders>
                  <w:shd w:val="clear" w:color="auto" w:fill="auto"/>
                  <w:vAlign w:val="center"/>
                </w:tcPr>
                <w:p w14:paraId="1C5DD533">
                  <w:pPr>
                    <w:pStyle w:val="79"/>
                    <w:rPr>
                      <w:rFonts w:ascii="Times New Roman" w:hAnsi="Times New Roman" w:cs="Times New Roman"/>
                      <w:b/>
                      <w:color w:val="auto"/>
                      <w:sz w:val="21"/>
                    </w:rPr>
                  </w:pPr>
                  <w:r>
                    <w:rPr>
                      <w:rFonts w:ascii="Times New Roman" w:hAnsi="Times New Roman" w:cs="Times New Roman"/>
                      <w:b/>
                      <w:color w:val="auto"/>
                      <w:sz w:val="21"/>
                    </w:rPr>
                    <w:t>监测指标</w:t>
                  </w:r>
                </w:p>
              </w:tc>
              <w:tc>
                <w:tcPr>
                  <w:tcW w:w="1134" w:type="dxa"/>
                  <w:tcBorders>
                    <w:tl2br w:val="nil"/>
                    <w:tr2bl w:val="nil"/>
                  </w:tcBorders>
                  <w:shd w:val="clear" w:color="auto" w:fill="auto"/>
                  <w:vAlign w:val="center"/>
                </w:tcPr>
                <w:p w14:paraId="1F9F0215">
                  <w:pPr>
                    <w:pStyle w:val="79"/>
                    <w:rPr>
                      <w:rFonts w:ascii="Times New Roman" w:hAnsi="Times New Roman" w:cs="Times New Roman"/>
                      <w:b/>
                      <w:color w:val="auto"/>
                      <w:sz w:val="21"/>
                    </w:rPr>
                  </w:pPr>
                  <w:r>
                    <w:rPr>
                      <w:rFonts w:ascii="Times New Roman" w:hAnsi="Times New Roman" w:cs="Times New Roman"/>
                      <w:b/>
                      <w:color w:val="auto"/>
                      <w:sz w:val="21"/>
                    </w:rPr>
                    <w:t>单位</w:t>
                  </w:r>
                </w:p>
              </w:tc>
              <w:tc>
                <w:tcPr>
                  <w:tcW w:w="1134" w:type="dxa"/>
                  <w:tcBorders>
                    <w:tl2br w:val="nil"/>
                    <w:tr2bl w:val="nil"/>
                  </w:tcBorders>
                  <w:shd w:val="clear" w:color="auto" w:fill="auto"/>
                  <w:vAlign w:val="center"/>
                </w:tcPr>
                <w:p w14:paraId="05E07DB2">
                  <w:pPr>
                    <w:pStyle w:val="79"/>
                    <w:rPr>
                      <w:rFonts w:ascii="Times New Roman" w:hAnsi="Times New Roman" w:cs="Times New Roman"/>
                      <w:b/>
                      <w:color w:val="auto"/>
                      <w:sz w:val="21"/>
                    </w:rPr>
                  </w:pPr>
                  <w:r>
                    <w:rPr>
                      <w:rFonts w:ascii="Times New Roman" w:hAnsi="Times New Roman" w:cs="Times New Roman"/>
                      <w:b/>
                      <w:color w:val="auto"/>
                      <w:sz w:val="21"/>
                    </w:rPr>
                    <w:t>监测值</w:t>
                  </w:r>
                </w:p>
              </w:tc>
              <w:tc>
                <w:tcPr>
                  <w:tcW w:w="2268" w:type="dxa"/>
                  <w:tcBorders>
                    <w:tl2br w:val="nil"/>
                    <w:tr2bl w:val="nil"/>
                  </w:tcBorders>
                  <w:shd w:val="clear" w:color="auto" w:fill="auto"/>
                  <w:vAlign w:val="center"/>
                </w:tcPr>
                <w:p w14:paraId="41A80329">
                  <w:pPr>
                    <w:pStyle w:val="79"/>
                    <w:rPr>
                      <w:rFonts w:ascii="Times New Roman" w:hAnsi="Times New Roman" w:cs="Times New Roman"/>
                      <w:b/>
                      <w:color w:val="auto"/>
                      <w:sz w:val="21"/>
                    </w:rPr>
                  </w:pPr>
                  <w:r>
                    <w:rPr>
                      <w:rFonts w:ascii="Times New Roman" w:hAnsi="Times New Roman" w:cs="Times New Roman"/>
                      <w:b/>
                      <w:color w:val="auto"/>
                      <w:sz w:val="21"/>
                    </w:rPr>
                    <w:t>（GB3838-2002）</w:t>
                  </w:r>
                  <w:r>
                    <w:rPr>
                      <w:rFonts w:hint="eastAsia" w:ascii="Times New Roman" w:hAnsi="Times New Roman" w:cs="Times New Roman"/>
                      <w:b/>
                      <w:color w:val="auto"/>
                      <w:sz w:val="21"/>
                    </w:rPr>
                    <w:t>Ⅲ</w:t>
                  </w:r>
                  <w:r>
                    <w:rPr>
                      <w:rFonts w:ascii="Times New Roman" w:hAnsi="Times New Roman" w:cs="Times New Roman"/>
                      <w:b/>
                      <w:color w:val="auto"/>
                      <w:sz w:val="21"/>
                    </w:rPr>
                    <w:t>类标准值</w:t>
                  </w:r>
                </w:p>
              </w:tc>
              <w:tc>
                <w:tcPr>
                  <w:tcW w:w="1183" w:type="dxa"/>
                  <w:tcBorders>
                    <w:tl2br w:val="nil"/>
                    <w:tr2bl w:val="nil"/>
                  </w:tcBorders>
                  <w:shd w:val="clear" w:color="auto" w:fill="auto"/>
                  <w:vAlign w:val="center"/>
                </w:tcPr>
                <w:p w14:paraId="23DE6AD1">
                  <w:pPr>
                    <w:pStyle w:val="79"/>
                    <w:rPr>
                      <w:rFonts w:ascii="Times New Roman" w:hAnsi="Times New Roman" w:cs="Times New Roman"/>
                      <w:b/>
                      <w:color w:val="auto"/>
                      <w:sz w:val="21"/>
                    </w:rPr>
                  </w:pPr>
                  <w:r>
                    <w:rPr>
                      <w:rFonts w:ascii="Times New Roman" w:hAnsi="Times New Roman" w:cs="Times New Roman"/>
                      <w:b/>
                      <w:color w:val="auto"/>
                      <w:sz w:val="21"/>
                    </w:rPr>
                    <w:t>是否达标</w:t>
                  </w:r>
                </w:p>
              </w:tc>
            </w:tr>
            <w:tr w14:paraId="4E15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restart"/>
                  <w:tcBorders>
                    <w:tl2br w:val="nil"/>
                    <w:tr2bl w:val="nil"/>
                  </w:tcBorders>
                  <w:shd w:val="clear" w:color="auto" w:fill="auto"/>
                  <w:vAlign w:val="center"/>
                </w:tcPr>
                <w:p w14:paraId="0A768B5F">
                  <w:pPr>
                    <w:pStyle w:val="79"/>
                    <w:rPr>
                      <w:rFonts w:ascii="Times New Roman" w:hAnsi="Times New Roman" w:cs="Times New Roman"/>
                      <w:color w:val="auto"/>
                      <w:sz w:val="21"/>
                    </w:rPr>
                  </w:pPr>
                  <w:r>
                    <w:rPr>
                      <w:rFonts w:ascii="Times New Roman" w:hAnsi="Times New Roman" w:cs="Times New Roman"/>
                      <w:color w:val="auto"/>
                      <w:sz w:val="21"/>
                    </w:rPr>
                    <w:t>1</w:t>
                  </w:r>
                </w:p>
              </w:tc>
              <w:tc>
                <w:tcPr>
                  <w:tcW w:w="1276" w:type="dxa"/>
                  <w:vMerge w:val="restart"/>
                  <w:tcBorders>
                    <w:tl2br w:val="nil"/>
                    <w:tr2bl w:val="nil"/>
                  </w:tcBorders>
                  <w:shd w:val="clear" w:color="auto" w:fill="auto"/>
                  <w:vAlign w:val="center"/>
                </w:tcPr>
                <w:p w14:paraId="3813C775">
                  <w:pPr>
                    <w:pStyle w:val="79"/>
                    <w:rPr>
                      <w:rFonts w:ascii="Times New Roman" w:hAnsi="Times New Roman" w:cs="Times New Roman"/>
                      <w:color w:val="auto"/>
                      <w:sz w:val="21"/>
                    </w:rPr>
                  </w:pPr>
                  <w:r>
                    <w:rPr>
                      <w:rFonts w:hint="default" w:ascii="Times New Roman" w:hAnsi="Times New Roman" w:cs="Times New Roman"/>
                      <w:color w:val="auto"/>
                      <w:sz w:val="21"/>
                    </w:rPr>
                    <w:t>永定河（后沙窝村断面）</w:t>
                  </w:r>
                </w:p>
              </w:tc>
              <w:tc>
                <w:tcPr>
                  <w:tcW w:w="1134" w:type="dxa"/>
                  <w:tcBorders>
                    <w:tl2br w:val="nil"/>
                    <w:tr2bl w:val="nil"/>
                  </w:tcBorders>
                  <w:shd w:val="clear" w:color="auto" w:fill="auto"/>
                  <w:vAlign w:val="center"/>
                </w:tcPr>
                <w:p w14:paraId="5D6F2F2C">
                  <w:pPr>
                    <w:pStyle w:val="79"/>
                    <w:rPr>
                      <w:rFonts w:ascii="Times New Roman" w:hAnsi="Times New Roman" w:cs="Times New Roman"/>
                      <w:color w:val="auto"/>
                      <w:sz w:val="21"/>
                    </w:rPr>
                  </w:pPr>
                  <w:r>
                    <w:rPr>
                      <w:rFonts w:ascii="Times New Roman" w:hAnsi="Times New Roman" w:cs="Times New Roman"/>
                      <w:color w:val="auto"/>
                      <w:sz w:val="21"/>
                    </w:rPr>
                    <w:t>COD</w:t>
                  </w:r>
                  <w:r>
                    <w:rPr>
                      <w:rFonts w:ascii="Times New Roman" w:hAnsi="Times New Roman" w:cs="Times New Roman"/>
                      <w:color w:val="auto"/>
                      <w:sz w:val="21"/>
                      <w:vertAlign w:val="subscript"/>
                    </w:rPr>
                    <w:t>Cr</w:t>
                  </w:r>
                </w:p>
              </w:tc>
              <w:tc>
                <w:tcPr>
                  <w:tcW w:w="1134" w:type="dxa"/>
                  <w:tcBorders>
                    <w:tl2br w:val="nil"/>
                    <w:tr2bl w:val="nil"/>
                  </w:tcBorders>
                  <w:shd w:val="clear" w:color="auto" w:fill="auto"/>
                  <w:vAlign w:val="center"/>
                </w:tcPr>
                <w:p w14:paraId="72D5178A">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234BE0D6">
                  <w:pPr>
                    <w:pStyle w:val="6"/>
                    <w:spacing w:before="0" w:beforeLines="0" w:after="0" w:afterLines="0"/>
                    <w:ind w:left="0" w:leftChars="0"/>
                    <w:jc w:val="center"/>
                    <w:rPr>
                      <w:rFonts w:hint="default" w:ascii="Times New Roman" w:hAnsi="Times New Roman" w:cs="Times New Roman"/>
                      <w:color w:val="auto"/>
                      <w:szCs w:val="21"/>
                      <w:lang w:val="en-US"/>
                    </w:rPr>
                  </w:pPr>
                  <w:r>
                    <w:rPr>
                      <w:rFonts w:hint="eastAsia" w:ascii="Times New Roman" w:hAnsi="Times New Roman" w:cs="Times New Roman"/>
                      <w:b w:val="0"/>
                      <w:bCs/>
                      <w:color w:val="auto"/>
                      <w:szCs w:val="21"/>
                      <w:highlight w:val="none"/>
                      <w:lang w:val="en-US" w:eastAsia="zh-CN"/>
                    </w:rPr>
                    <w:t>13.7</w:t>
                  </w:r>
                </w:p>
              </w:tc>
              <w:tc>
                <w:tcPr>
                  <w:tcW w:w="2268" w:type="dxa"/>
                  <w:tcBorders>
                    <w:tl2br w:val="nil"/>
                    <w:tr2bl w:val="nil"/>
                  </w:tcBorders>
                  <w:shd w:val="clear" w:color="auto" w:fill="auto"/>
                  <w:vAlign w:val="center"/>
                </w:tcPr>
                <w:p w14:paraId="64C981F9">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20</w:t>
                  </w:r>
                </w:p>
              </w:tc>
              <w:tc>
                <w:tcPr>
                  <w:tcW w:w="1183" w:type="dxa"/>
                  <w:tcBorders>
                    <w:tl2br w:val="nil"/>
                    <w:tr2bl w:val="nil"/>
                  </w:tcBorders>
                  <w:shd w:val="clear" w:color="auto" w:fill="auto"/>
                  <w:vAlign w:val="center"/>
                </w:tcPr>
                <w:p w14:paraId="4D699468">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0703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continue"/>
                  <w:tcBorders>
                    <w:tl2br w:val="nil"/>
                    <w:tr2bl w:val="nil"/>
                  </w:tcBorders>
                  <w:shd w:val="clear" w:color="auto" w:fill="auto"/>
                  <w:vAlign w:val="center"/>
                </w:tcPr>
                <w:p w14:paraId="0BFF7C32">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29BC6D41">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0FE80444">
                  <w:pPr>
                    <w:pStyle w:val="79"/>
                    <w:rPr>
                      <w:rFonts w:ascii="Times New Roman" w:hAnsi="Times New Roman" w:cs="Times New Roman"/>
                      <w:color w:val="auto"/>
                      <w:sz w:val="21"/>
                    </w:rPr>
                  </w:pPr>
                  <w:r>
                    <w:rPr>
                      <w:rFonts w:ascii="Times New Roman" w:hAnsi="Times New Roman" w:cs="Times New Roman"/>
                      <w:color w:val="auto"/>
                      <w:sz w:val="21"/>
                    </w:rPr>
                    <w:t>NH</w:t>
                  </w:r>
                  <w:r>
                    <w:rPr>
                      <w:rFonts w:ascii="Times New Roman" w:hAnsi="Times New Roman" w:cs="Times New Roman"/>
                      <w:color w:val="auto"/>
                      <w:sz w:val="21"/>
                      <w:vertAlign w:val="subscript"/>
                    </w:rPr>
                    <w:t>3</w:t>
                  </w:r>
                  <w:r>
                    <w:rPr>
                      <w:rFonts w:ascii="Times New Roman" w:hAnsi="Times New Roman" w:cs="Times New Roman"/>
                      <w:color w:val="auto"/>
                      <w:sz w:val="21"/>
                    </w:rPr>
                    <w:t>-N</w:t>
                  </w:r>
                </w:p>
              </w:tc>
              <w:tc>
                <w:tcPr>
                  <w:tcW w:w="1134" w:type="dxa"/>
                  <w:tcBorders>
                    <w:tl2br w:val="nil"/>
                    <w:tr2bl w:val="nil"/>
                  </w:tcBorders>
                  <w:shd w:val="clear" w:color="auto" w:fill="auto"/>
                  <w:vAlign w:val="center"/>
                </w:tcPr>
                <w:p w14:paraId="2C140D80">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2A1F2C13">
                  <w:pPr>
                    <w:pStyle w:val="6"/>
                    <w:spacing w:before="0" w:beforeLines="0" w:after="0" w:afterLines="0"/>
                    <w:ind w:left="0" w:left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b w:val="0"/>
                      <w:bCs/>
                      <w:color w:val="auto"/>
                      <w:szCs w:val="21"/>
                      <w:highlight w:val="none"/>
                      <w:lang w:val="en-US" w:eastAsia="zh-CN"/>
                    </w:rPr>
                    <w:t>0.23</w:t>
                  </w:r>
                </w:p>
              </w:tc>
              <w:tc>
                <w:tcPr>
                  <w:tcW w:w="2268" w:type="dxa"/>
                  <w:tcBorders>
                    <w:tl2br w:val="nil"/>
                    <w:tr2bl w:val="nil"/>
                  </w:tcBorders>
                  <w:shd w:val="clear" w:color="auto" w:fill="auto"/>
                  <w:vAlign w:val="center"/>
                </w:tcPr>
                <w:p w14:paraId="22CEED9B">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1.0</w:t>
                  </w:r>
                </w:p>
              </w:tc>
              <w:tc>
                <w:tcPr>
                  <w:tcW w:w="1183" w:type="dxa"/>
                  <w:tcBorders>
                    <w:tl2br w:val="nil"/>
                    <w:tr2bl w:val="nil"/>
                  </w:tcBorders>
                  <w:shd w:val="clear" w:color="auto" w:fill="auto"/>
                  <w:vAlign w:val="center"/>
                </w:tcPr>
                <w:p w14:paraId="31520F5A">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53A4D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91" w:type="dxa"/>
                  <w:vMerge w:val="continue"/>
                  <w:tcBorders>
                    <w:tl2br w:val="nil"/>
                    <w:tr2bl w:val="nil"/>
                  </w:tcBorders>
                  <w:shd w:val="clear" w:color="auto" w:fill="auto"/>
                  <w:vAlign w:val="center"/>
                </w:tcPr>
                <w:p w14:paraId="74D3BB81">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067414BF">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101E545A">
                  <w:pPr>
                    <w:pStyle w:val="79"/>
                    <w:rPr>
                      <w:rFonts w:ascii="Times New Roman" w:hAnsi="Times New Roman" w:cs="Times New Roman"/>
                      <w:color w:val="auto"/>
                      <w:sz w:val="21"/>
                    </w:rPr>
                  </w:pPr>
                  <w:r>
                    <w:rPr>
                      <w:rFonts w:ascii="Times New Roman" w:hAnsi="Times New Roman" w:cs="Times New Roman"/>
                      <w:color w:val="auto"/>
                      <w:sz w:val="21"/>
                    </w:rPr>
                    <w:t>TP</w:t>
                  </w:r>
                </w:p>
              </w:tc>
              <w:tc>
                <w:tcPr>
                  <w:tcW w:w="1134" w:type="dxa"/>
                  <w:tcBorders>
                    <w:tl2br w:val="nil"/>
                    <w:tr2bl w:val="nil"/>
                  </w:tcBorders>
                  <w:shd w:val="clear" w:color="auto" w:fill="auto"/>
                  <w:vAlign w:val="center"/>
                </w:tcPr>
                <w:p w14:paraId="4CC4039D">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77BBEB84">
                  <w:pPr>
                    <w:pStyle w:val="6"/>
                    <w:spacing w:before="0" w:beforeLines="0" w:after="0" w:afterLines="0"/>
                    <w:ind w:left="0" w:leftChars="0"/>
                    <w:jc w:val="center"/>
                    <w:rPr>
                      <w:rFonts w:hint="default" w:ascii="Times New Roman" w:hAnsi="Times New Roman" w:cs="Times New Roman"/>
                      <w:color w:val="auto"/>
                      <w:szCs w:val="21"/>
                      <w:lang w:val="en-US"/>
                    </w:rPr>
                  </w:pPr>
                  <w:r>
                    <w:rPr>
                      <w:rFonts w:hint="eastAsia" w:ascii="Times New Roman" w:hAnsi="Times New Roman" w:cs="Times New Roman"/>
                      <w:b w:val="0"/>
                      <w:bCs/>
                      <w:color w:val="auto"/>
                      <w:szCs w:val="21"/>
                      <w:highlight w:val="none"/>
                      <w:lang w:val="en-US" w:eastAsia="zh-CN"/>
                    </w:rPr>
                    <w:t>0.079</w:t>
                  </w:r>
                </w:p>
              </w:tc>
              <w:tc>
                <w:tcPr>
                  <w:tcW w:w="2268" w:type="dxa"/>
                  <w:tcBorders>
                    <w:tl2br w:val="nil"/>
                    <w:tr2bl w:val="nil"/>
                  </w:tcBorders>
                  <w:shd w:val="clear" w:color="auto" w:fill="auto"/>
                  <w:vAlign w:val="center"/>
                </w:tcPr>
                <w:p w14:paraId="476E318B">
                  <w:pPr>
                    <w:pStyle w:val="79"/>
                    <w:ind w:firstLine="0" w:firstLineChars="0"/>
                    <w:rPr>
                      <w:rFonts w:ascii="Times New Roman" w:hAnsi="Times New Roman" w:cs="Times New Roman"/>
                      <w:color w:val="auto"/>
                      <w:sz w:val="21"/>
                    </w:rPr>
                  </w:pPr>
                  <w:r>
                    <w:rPr>
                      <w:rFonts w:hint="default" w:ascii="Times New Roman" w:hAnsi="Times New Roman" w:cs="Times New Roman"/>
                      <w:color w:val="auto"/>
                      <w:sz w:val="21"/>
                      <w:highlight w:val="none"/>
                    </w:rPr>
                    <w:t>0.</w:t>
                  </w:r>
                  <w:r>
                    <w:rPr>
                      <w:rFonts w:hint="eastAsia" w:ascii="Times New Roman" w:hAnsi="Times New Roman" w:cs="Times New Roman"/>
                      <w:color w:val="auto"/>
                      <w:sz w:val="21"/>
                      <w:highlight w:val="none"/>
                      <w:lang w:val="en-US" w:eastAsia="zh-CN"/>
                    </w:rPr>
                    <w:t>2</w:t>
                  </w:r>
                </w:p>
              </w:tc>
              <w:tc>
                <w:tcPr>
                  <w:tcW w:w="1183" w:type="dxa"/>
                  <w:tcBorders>
                    <w:tl2br w:val="nil"/>
                    <w:tr2bl w:val="nil"/>
                  </w:tcBorders>
                  <w:shd w:val="clear" w:color="auto" w:fill="auto"/>
                  <w:vAlign w:val="center"/>
                </w:tcPr>
                <w:p w14:paraId="2A5ADEC9">
                  <w:pPr>
                    <w:pStyle w:val="79"/>
                    <w:rPr>
                      <w:rFonts w:ascii="Times New Roman" w:hAnsi="Times New Roman" w:cs="Times New Roman"/>
                      <w:color w:val="auto"/>
                      <w:sz w:val="21"/>
                    </w:rPr>
                  </w:pPr>
                  <w:r>
                    <w:rPr>
                      <w:rFonts w:ascii="Times New Roman" w:hAnsi="Times New Roman" w:cs="Times New Roman"/>
                      <w:color w:val="auto"/>
                      <w:sz w:val="21"/>
                    </w:rPr>
                    <w:t>达标</w:t>
                  </w:r>
                </w:p>
              </w:tc>
            </w:tr>
          </w:tbl>
          <w:p w14:paraId="41FDAA22">
            <w:pPr>
              <w:pStyle w:val="82"/>
              <w:spacing w:before="156"/>
              <w:ind w:firstLine="482" w:firstLineChars="200"/>
              <w:rPr>
                <w:rFonts w:ascii="Times New Roman" w:hAnsi="Times New Roman" w:cs="Times New Roman"/>
                <w:color w:val="auto"/>
              </w:rPr>
            </w:pPr>
            <w:r>
              <w:rPr>
                <w:rFonts w:hint="eastAsia" w:ascii="Times New Roman" w:hAnsi="Times New Roman" w:cs="Times New Roman"/>
                <w:color w:val="auto"/>
              </w:rPr>
              <w:t>3</w:t>
            </w:r>
            <w:r>
              <w:rPr>
                <w:rFonts w:hint="eastAsia" w:ascii="Times New Roman" w:hAnsi="Times New Roman" w:cs="Times New Roman"/>
                <w:color w:val="auto"/>
                <w:lang w:eastAsia="zh-CN"/>
              </w:rPr>
              <w:t>、</w:t>
            </w:r>
            <w:r>
              <w:rPr>
                <w:rFonts w:hint="eastAsia" w:ascii="Times New Roman" w:hAnsi="Times New Roman" w:cs="Times New Roman"/>
                <w:color w:val="auto"/>
              </w:rPr>
              <w:t>声环境质量现状</w:t>
            </w:r>
          </w:p>
          <w:p w14:paraId="5C8AEF45">
            <w:pPr>
              <w:pStyle w:val="25"/>
              <w:spacing w:line="360" w:lineRule="auto"/>
              <w:ind w:left="0" w:firstLine="480" w:firstLineChars="200"/>
              <w:rPr>
                <w:rFonts w:ascii="Times New Roman" w:hAnsi="Times New Roman"/>
                <w:smallCaps w:val="0"/>
                <w:color w:val="000000" w:themeColor="text1"/>
                <w:sz w:val="24"/>
                <w:szCs w:val="24"/>
                <w:highlight w:val="yellow"/>
                <w14:textFill>
                  <w14:solidFill>
                    <w14:schemeClr w14:val="tx1"/>
                  </w14:solidFill>
                </w14:textFill>
              </w:rPr>
            </w:pPr>
            <w:r>
              <w:rPr>
                <w:rFonts w:hint="eastAsia" w:ascii="Times New Roman" w:hAnsi="Times New Roman"/>
                <w:smallCaps w:val="0"/>
                <w:color w:val="000000" w:themeColor="text1"/>
                <w:sz w:val="24"/>
                <w:szCs w:val="24"/>
                <w:highlight w:val="none"/>
                <w:lang w:val="en-US" w:eastAsia="zh-CN"/>
                <w14:textFill>
                  <w14:solidFill>
                    <w14:schemeClr w14:val="tx1"/>
                  </w14:solidFill>
                </w14:textFill>
              </w:rPr>
              <w:t>本项目</w:t>
            </w:r>
            <w:r>
              <w:rPr>
                <w:rFonts w:ascii="Times New Roman" w:hAnsi="Times New Roman"/>
                <w:smallCaps w:val="0"/>
                <w:color w:val="000000" w:themeColor="text1"/>
                <w:sz w:val="24"/>
                <w:szCs w:val="24"/>
                <w:highlight w:val="none"/>
                <w14:textFill>
                  <w14:solidFill>
                    <w14:schemeClr w14:val="tx1"/>
                  </w14:solidFill>
                </w14:textFill>
              </w:rPr>
              <w:t>厂界外50m范围内无环境敏感目标。</w:t>
            </w:r>
          </w:p>
          <w:p w14:paraId="680C101E">
            <w:pPr>
              <w:pStyle w:val="82"/>
              <w:spacing w:before="156"/>
              <w:ind w:firstLine="482"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地下水、土壤环境质量现状</w:t>
            </w:r>
          </w:p>
          <w:p w14:paraId="39844253">
            <w:pPr>
              <w:pStyle w:val="25"/>
              <w:spacing w:line="360" w:lineRule="auto"/>
              <w:ind w:left="0" w:firstLine="480" w:firstLineChars="200"/>
              <w:rPr>
                <w:rFonts w:hint="default" w:ascii="Times New Roman" w:hAnsi="Times New Roman" w:cs="Times New Roman"/>
                <w:sz w:val="24"/>
              </w:rPr>
            </w:pPr>
            <w:r>
              <w:rPr>
                <w:rFonts w:hint="default" w:ascii="Times New Roman" w:hAnsi="Times New Roman" w:cs="Times New Roman"/>
                <w:sz w:val="24"/>
              </w:rPr>
              <w:t>正常工况下建设项目不存在土壤、地下水环境污染途径，原则上不开展环境质量现状调查。建设项目存在地下水、土壤环境污染途径的，应结合污染源、保护目标分布情况开展现状调查以留作背景值。</w:t>
            </w:r>
          </w:p>
          <w:p w14:paraId="2A1FE2B6">
            <w:pPr>
              <w:pStyle w:val="25"/>
              <w:spacing w:line="360" w:lineRule="auto"/>
              <w:ind w:left="0" w:firstLine="480" w:firstLineChars="200"/>
              <w:rPr>
                <w:rFonts w:hint="eastAsia" w:ascii="Times New Roman" w:hAnsi="Times New Roman"/>
                <w:smallCaps w:val="0"/>
                <w:color w:val="000000" w:themeColor="text1"/>
                <w:sz w:val="24"/>
                <w:szCs w:val="24"/>
                <w14:textFill>
                  <w14:solidFill>
                    <w14:schemeClr w14:val="tx1"/>
                  </w14:solidFill>
                </w14:textFill>
              </w:rPr>
            </w:pPr>
            <w:r>
              <w:rPr>
                <w:rFonts w:hint="eastAsia"/>
                <w:bCs/>
                <w:kern w:val="0"/>
                <w:sz w:val="24"/>
              </w:rPr>
              <w:t>本项目</w:t>
            </w:r>
            <w:r>
              <w:rPr>
                <w:rFonts w:hint="eastAsia"/>
                <w:bCs/>
                <w:kern w:val="0"/>
                <w:sz w:val="24"/>
                <w:lang w:eastAsia="zh-CN"/>
              </w:rPr>
              <w:t>危废间</w:t>
            </w:r>
            <w:r>
              <w:rPr>
                <w:rFonts w:hint="eastAsia"/>
                <w:bCs/>
                <w:kern w:val="0"/>
                <w:sz w:val="24"/>
              </w:rPr>
              <w:t>及</w:t>
            </w:r>
            <w:r>
              <w:rPr>
                <w:rFonts w:hint="eastAsia"/>
                <w:bCs/>
                <w:kern w:val="0"/>
                <w:sz w:val="24"/>
                <w:lang w:eastAsia="zh-CN"/>
              </w:rPr>
              <w:t>化粪池</w:t>
            </w:r>
            <w:r>
              <w:rPr>
                <w:rFonts w:hint="eastAsia"/>
                <w:bCs/>
                <w:kern w:val="0"/>
                <w:sz w:val="24"/>
              </w:rPr>
              <w:t>均进行了防腐防渗漏处理，</w:t>
            </w:r>
            <w:r>
              <w:rPr>
                <w:rFonts w:hint="eastAsia"/>
                <w:sz w:val="24"/>
              </w:rPr>
              <w:t>厂区</w:t>
            </w:r>
            <w:r>
              <w:rPr>
                <w:sz w:val="24"/>
              </w:rPr>
              <w:t>内部</w:t>
            </w:r>
            <w:r>
              <w:rPr>
                <w:kern w:val="0"/>
                <w:sz w:val="24"/>
              </w:rPr>
              <w:t>地面</w:t>
            </w:r>
            <w:r>
              <w:rPr>
                <w:rFonts w:hint="eastAsia"/>
                <w:kern w:val="0"/>
                <w:sz w:val="24"/>
              </w:rPr>
              <w:t>进行</w:t>
            </w:r>
            <w:r>
              <w:rPr>
                <w:kern w:val="0"/>
                <w:sz w:val="24"/>
              </w:rPr>
              <w:t>硬化以及防渗</w:t>
            </w:r>
            <w:r>
              <w:rPr>
                <w:rFonts w:hint="eastAsia"/>
                <w:kern w:val="0"/>
                <w:sz w:val="24"/>
              </w:rPr>
              <w:t>处理，故</w:t>
            </w:r>
            <w:r>
              <w:rPr>
                <w:kern w:val="0"/>
                <w:sz w:val="24"/>
              </w:rPr>
              <w:t>不存在地下水</w:t>
            </w:r>
            <w:r>
              <w:rPr>
                <w:rFonts w:hint="eastAsia"/>
                <w:kern w:val="0"/>
                <w:sz w:val="24"/>
              </w:rPr>
              <w:t>、土壤</w:t>
            </w:r>
            <w:r>
              <w:rPr>
                <w:kern w:val="0"/>
                <w:sz w:val="24"/>
              </w:rPr>
              <w:t>污染途径</w:t>
            </w:r>
            <w:r>
              <w:rPr>
                <w:rFonts w:hint="eastAsia"/>
                <w:kern w:val="0"/>
                <w:sz w:val="24"/>
              </w:rPr>
              <w:t>，不需开展地下水、土壤</w:t>
            </w:r>
            <w:r>
              <w:rPr>
                <w:sz w:val="24"/>
              </w:rPr>
              <w:t>环境质量现状调查</w:t>
            </w:r>
            <w:r>
              <w:rPr>
                <w:rFonts w:hint="default" w:ascii="Times New Roman" w:hAnsi="Times New Roman" w:cs="Times New Roman"/>
                <w:sz w:val="24"/>
              </w:rPr>
              <w:t>。</w:t>
            </w:r>
          </w:p>
          <w:p w14:paraId="53BA84F7">
            <w:pPr>
              <w:pStyle w:val="82"/>
              <w:spacing w:before="156"/>
              <w:ind w:firstLine="482"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lang w:eastAsia="zh-CN"/>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生态环境质量现状</w:t>
            </w:r>
          </w:p>
          <w:p w14:paraId="23ECF031">
            <w:pPr>
              <w:pStyle w:val="25"/>
              <w:spacing w:line="360" w:lineRule="auto"/>
              <w:ind w:left="0" w:firstLine="480" w:firstLineChars="200"/>
              <w:rPr>
                <w:rFonts w:ascii="Times New Roman" w:hAnsi="Times New Roman"/>
                <w:smallCaps w:val="0"/>
                <w:color w:val="000000" w:themeColor="text1"/>
                <w:sz w:val="24"/>
                <w:szCs w:val="24"/>
                <w14:textFill>
                  <w14:solidFill>
                    <w14:schemeClr w14:val="tx1"/>
                  </w14:solidFill>
                </w14:textFill>
              </w:rPr>
            </w:pPr>
            <w:r>
              <w:rPr>
                <w:rFonts w:ascii="Times New Roman" w:hAnsi="Times New Roman"/>
                <w:smallCaps w:val="0"/>
                <w:color w:val="000000" w:themeColor="text1"/>
                <w:sz w:val="24"/>
                <w:szCs w:val="24"/>
                <w14:textFill>
                  <w14:solidFill>
                    <w14:schemeClr w14:val="tx1"/>
                  </w14:solidFill>
                </w14:textFill>
              </w:rPr>
              <w:t>本项目</w:t>
            </w:r>
            <w:r>
              <w:rPr>
                <w:rFonts w:ascii="Times New Roman" w:hAnsi="Times New Roman"/>
                <w:color w:val="auto"/>
                <w:sz w:val="24"/>
              </w:rPr>
              <w:t>利用现有</w:t>
            </w:r>
            <w:r>
              <w:rPr>
                <w:rFonts w:hint="eastAsia" w:ascii="Times New Roman" w:hAnsi="Times New Roman"/>
                <w:color w:val="auto"/>
                <w:sz w:val="24"/>
              </w:rPr>
              <w:t>土地及</w:t>
            </w:r>
            <w:r>
              <w:rPr>
                <w:rFonts w:ascii="Times New Roman" w:hAnsi="Times New Roman"/>
                <w:color w:val="auto"/>
                <w:sz w:val="24"/>
              </w:rPr>
              <w:t>厂房建设</w:t>
            </w:r>
            <w:r>
              <w:rPr>
                <w:rFonts w:ascii="Times New Roman" w:hAnsi="Times New Roman"/>
                <w:smallCaps w:val="0"/>
                <w:color w:val="000000" w:themeColor="text1"/>
                <w:sz w:val="24"/>
                <w:szCs w:val="24"/>
                <w14:textFill>
                  <w14:solidFill>
                    <w14:schemeClr w14:val="tx1"/>
                  </w14:solidFill>
                </w14:textFill>
              </w:rPr>
              <w:t>，</w:t>
            </w:r>
            <w:r>
              <w:rPr>
                <w:rFonts w:ascii="Times New Roman" w:hAnsi="Times New Roman"/>
                <w:color w:val="auto"/>
                <w:sz w:val="24"/>
              </w:rPr>
              <w:t>用地范围内不涉及生态环境保护目标，无需进行生态现状调查</w:t>
            </w:r>
            <w:r>
              <w:rPr>
                <w:rFonts w:ascii="Times New Roman" w:hAnsi="Times New Roman"/>
                <w:smallCaps w:val="0"/>
                <w:color w:val="000000" w:themeColor="text1"/>
                <w:sz w:val="24"/>
                <w:szCs w:val="24"/>
                <w14:textFill>
                  <w14:solidFill>
                    <w14:schemeClr w14:val="tx1"/>
                  </w14:solidFill>
                </w14:textFill>
              </w:rPr>
              <w:t>。</w:t>
            </w:r>
          </w:p>
          <w:p w14:paraId="2D36205F"/>
        </w:tc>
      </w:tr>
      <w:tr w14:paraId="563A7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00"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33520586">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环境</w:t>
            </w:r>
          </w:p>
          <w:p w14:paraId="3E0B887C">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保护</w:t>
            </w:r>
          </w:p>
          <w:p w14:paraId="73A2168F">
            <w:pPr>
              <w:adjustRightInd w:val="0"/>
              <w:snapToGrid w:val="0"/>
              <w:jc w:val="center"/>
              <w:rPr>
                <w:rFonts w:hint="eastAsia" w:ascii="宋体" w:hAnsi="宋体" w:eastAsia="宋体" w:cs="宋体"/>
                <w:color w:val="000000" w:themeColor="text1"/>
                <w:kern w:val="0"/>
                <w:szCs w:val="21"/>
                <w:lang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目标</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62FA082E">
            <w:pPr>
              <w:adjustRightInd w:val="0"/>
              <w:snapToGrid w:val="0"/>
              <w:spacing w:line="460" w:lineRule="exact"/>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1、</w:t>
            </w:r>
            <w:r>
              <w:rPr>
                <w:rFonts w:hint="default" w:ascii="Times New Roman" w:hAnsi="Times New Roman" w:cs="Times New Roman"/>
                <w:b/>
                <w:bCs/>
                <w:color w:val="000000"/>
                <w:sz w:val="24"/>
              </w:rPr>
              <w:t>大气环境保护目标</w:t>
            </w:r>
          </w:p>
          <w:p w14:paraId="0783A86B">
            <w:pPr>
              <w:spacing w:line="360" w:lineRule="auto"/>
              <w:ind w:firstLine="480" w:firstLineChars="200"/>
              <w:rPr>
                <w:rFonts w:hint="eastAsia" w:ascii="Times New Roman" w:hAnsi="Times New Roman"/>
                <w:color w:val="auto"/>
                <w:sz w:val="24"/>
                <w:lang w:eastAsia="zh-CN"/>
              </w:rPr>
            </w:pPr>
            <w:r>
              <w:rPr>
                <w:rFonts w:ascii="Times New Roman" w:hAnsi="Times New Roman" w:eastAsia="宋体" w:cs="Times New Roman"/>
                <w:color w:val="000000" w:themeColor="text1"/>
                <w:sz w:val="24"/>
                <w14:textFill>
                  <w14:solidFill>
                    <w14:schemeClr w14:val="tx1"/>
                  </w14:solidFill>
                </w14:textFill>
              </w:rPr>
              <w:t>本项目位于</w:t>
            </w:r>
            <w:r>
              <w:rPr>
                <w:rFonts w:hint="eastAsia" w:ascii="Times New Roman" w:hAnsi="Times New Roman" w:eastAsia="宋体" w:cs="Times New Roman"/>
                <w:color w:val="000000" w:themeColor="text1"/>
                <w:sz w:val="24"/>
                <w14:textFill>
                  <w14:solidFill>
                    <w14:schemeClr w14:val="tx1"/>
                  </w14:solidFill>
                </w14:textFill>
              </w:rPr>
              <w:t>河北省</w:t>
            </w:r>
            <w:r>
              <w:rPr>
                <w:rFonts w:hint="eastAsia" w:ascii="Times New Roman" w:hAnsi="Times New Roman" w:eastAsia="宋体" w:cs="Times New Roman"/>
                <w:color w:val="000000" w:themeColor="text1"/>
                <w:sz w:val="24"/>
                <w:lang w:eastAsia="zh-CN"/>
                <w14:textFill>
                  <w14:solidFill>
                    <w14:schemeClr w14:val="tx1"/>
                  </w14:solidFill>
                </w14:textFill>
              </w:rPr>
              <w:t>廊坊市永清县别古庄镇北堼上村28号。经现场踏勘，项目周边500m范围内共有</w:t>
            </w:r>
            <w:r>
              <w:rPr>
                <w:rFonts w:hint="eastAsia" w:ascii="Times New Roman" w:hAnsi="Times New Roman"/>
                <w:color w:val="auto"/>
                <w:sz w:val="24"/>
                <w:lang w:val="en-US" w:eastAsia="zh-CN"/>
              </w:rPr>
              <w:t>1</w:t>
            </w:r>
            <w:r>
              <w:rPr>
                <w:rFonts w:hint="eastAsia" w:ascii="Times New Roman" w:hAnsi="Times New Roman"/>
                <w:color w:val="auto"/>
                <w:sz w:val="24"/>
              </w:rPr>
              <w:t>个村庄</w:t>
            </w:r>
            <w:r>
              <w:rPr>
                <w:rFonts w:hint="eastAsia" w:ascii="Times New Roman" w:hAnsi="Times New Roman"/>
                <w:color w:val="auto"/>
                <w:sz w:val="24"/>
                <w:lang w:val="en-US" w:eastAsia="zh-CN"/>
              </w:rPr>
              <w:t>。</w:t>
            </w:r>
            <w:r>
              <w:rPr>
                <w:rFonts w:hint="eastAsia" w:ascii="Times New Roman" w:hAnsi="Times New Roman"/>
                <w:color w:val="auto"/>
                <w:sz w:val="24"/>
              </w:rPr>
              <w:t>本项目</w:t>
            </w:r>
            <w:r>
              <w:rPr>
                <w:rFonts w:ascii="Times New Roman" w:hAnsi="Times New Roman"/>
                <w:color w:val="auto"/>
                <w:sz w:val="24"/>
              </w:rPr>
              <w:t>大气环境敏感保护目标</w:t>
            </w:r>
            <w:r>
              <w:rPr>
                <w:rFonts w:hint="eastAsia" w:ascii="Times New Roman" w:hAnsi="Times New Roman"/>
                <w:color w:val="auto"/>
                <w:sz w:val="24"/>
                <w:lang w:eastAsia="zh-CN"/>
              </w:rPr>
              <w:t>见下表。</w:t>
            </w:r>
          </w:p>
          <w:p w14:paraId="43E305AD">
            <w:pPr>
              <w:spacing w:line="480" w:lineRule="exact"/>
              <w:jc w:val="center"/>
              <w:rPr>
                <w:rFonts w:ascii="Times New Roman" w:hAnsi="Times New Roman"/>
                <w:b/>
                <w:bCs/>
                <w:color w:val="auto"/>
                <w:sz w:val="24"/>
                <w:szCs w:val="24"/>
              </w:rPr>
            </w:pPr>
            <w:r>
              <w:rPr>
                <w:rFonts w:ascii="Times New Roman" w:hAnsi="Times New Roman"/>
                <w:b/>
                <w:bCs/>
                <w:color w:val="auto"/>
                <w:sz w:val="24"/>
                <w:szCs w:val="24"/>
              </w:rPr>
              <w:t>表</w:t>
            </w:r>
            <w:r>
              <w:rPr>
                <w:rFonts w:hint="eastAsia" w:ascii="Times New Roman" w:hAnsi="Times New Roman"/>
                <w:b/>
                <w:bCs/>
                <w:color w:val="auto"/>
                <w:sz w:val="24"/>
                <w:szCs w:val="24"/>
                <w:lang w:val="en-US" w:eastAsia="zh-CN"/>
              </w:rPr>
              <w:t>3-6</w:t>
            </w:r>
            <w:r>
              <w:rPr>
                <w:rFonts w:ascii="Times New Roman" w:hAnsi="Times New Roman"/>
                <w:b/>
                <w:bCs/>
                <w:color w:val="auto"/>
                <w:sz w:val="24"/>
                <w:szCs w:val="24"/>
              </w:rPr>
              <w:t xml:space="preserve">  大气环境保护目标及保护级别一览表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2"/>
              <w:gridCol w:w="1663"/>
              <w:gridCol w:w="1458"/>
              <w:gridCol w:w="669"/>
              <w:gridCol w:w="2471"/>
              <w:gridCol w:w="787"/>
              <w:gridCol w:w="965"/>
            </w:tblGrid>
            <w:tr w14:paraId="0D15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6" w:type="pct"/>
                  <w:vMerge w:val="restart"/>
                  <w:noWrap w:val="0"/>
                  <w:vAlign w:val="center"/>
                </w:tcPr>
                <w:p w14:paraId="5FB63FC1">
                  <w:pPr>
                    <w:pStyle w:val="53"/>
                    <w:jc w:val="center"/>
                    <w:rPr>
                      <w:rFonts w:ascii="Times New Roman" w:cs="Times New Roman"/>
                      <w:color w:val="auto"/>
                      <w:sz w:val="21"/>
                      <w:szCs w:val="21"/>
                    </w:rPr>
                  </w:pPr>
                  <w:r>
                    <w:rPr>
                      <w:rFonts w:ascii="Times New Roman" w:cs="Times New Roman"/>
                      <w:b/>
                      <w:bCs/>
                      <w:color w:val="auto"/>
                      <w:sz w:val="21"/>
                      <w:szCs w:val="21"/>
                    </w:rPr>
                    <w:t>名称</w:t>
                  </w:r>
                </w:p>
              </w:tc>
              <w:tc>
                <w:tcPr>
                  <w:tcW w:w="1749" w:type="pct"/>
                  <w:gridSpan w:val="2"/>
                  <w:noWrap w:val="0"/>
                  <w:vAlign w:val="center"/>
                </w:tcPr>
                <w:p w14:paraId="08D05F76">
                  <w:pPr>
                    <w:pStyle w:val="53"/>
                    <w:jc w:val="center"/>
                    <w:rPr>
                      <w:rFonts w:ascii="Times New Roman" w:cs="Times New Roman"/>
                      <w:b/>
                      <w:bCs/>
                      <w:color w:val="auto"/>
                      <w:sz w:val="21"/>
                      <w:szCs w:val="21"/>
                    </w:rPr>
                  </w:pPr>
                  <w:r>
                    <w:rPr>
                      <w:rFonts w:ascii="Times New Roman" w:cs="Times New Roman"/>
                      <w:b/>
                      <w:bCs/>
                      <w:color w:val="auto"/>
                      <w:sz w:val="21"/>
                      <w:szCs w:val="21"/>
                    </w:rPr>
                    <w:t>坐标</w:t>
                  </w:r>
                </w:p>
              </w:tc>
              <w:tc>
                <w:tcPr>
                  <w:tcW w:w="375" w:type="pct"/>
                  <w:vMerge w:val="restart"/>
                  <w:noWrap w:val="0"/>
                  <w:vAlign w:val="center"/>
                </w:tcPr>
                <w:p w14:paraId="2495EDD7">
                  <w:pPr>
                    <w:jc w:val="center"/>
                    <w:rPr>
                      <w:rFonts w:ascii="Times New Roman" w:hAnsi="Times New Roman"/>
                      <w:b/>
                      <w:bCs/>
                      <w:color w:val="auto"/>
                      <w:szCs w:val="21"/>
                    </w:rPr>
                  </w:pPr>
                  <w:r>
                    <w:rPr>
                      <w:rFonts w:ascii="Times New Roman" w:hAnsi="Times New Roman"/>
                      <w:b/>
                      <w:bCs/>
                      <w:color w:val="auto"/>
                      <w:szCs w:val="21"/>
                    </w:rPr>
                    <w:t>保护</w:t>
                  </w:r>
                </w:p>
                <w:p w14:paraId="129BB127">
                  <w:pPr>
                    <w:jc w:val="center"/>
                    <w:rPr>
                      <w:rFonts w:ascii="Times New Roman" w:hAnsi="Times New Roman"/>
                      <w:b/>
                      <w:bCs/>
                      <w:color w:val="auto"/>
                      <w:szCs w:val="21"/>
                    </w:rPr>
                  </w:pPr>
                  <w:r>
                    <w:rPr>
                      <w:rFonts w:ascii="Times New Roman" w:hAnsi="Times New Roman"/>
                      <w:b/>
                      <w:bCs/>
                      <w:color w:val="auto"/>
                      <w:szCs w:val="21"/>
                    </w:rPr>
                    <w:t>对象</w:t>
                  </w:r>
                </w:p>
              </w:tc>
              <w:tc>
                <w:tcPr>
                  <w:tcW w:w="1385" w:type="pct"/>
                  <w:vMerge w:val="restart"/>
                  <w:noWrap w:val="0"/>
                  <w:vAlign w:val="center"/>
                </w:tcPr>
                <w:p w14:paraId="232F9FBC">
                  <w:pPr>
                    <w:pStyle w:val="64"/>
                    <w:spacing w:before="0" w:beforeLines="0" w:after="0" w:afterLines="0" w:line="240" w:lineRule="auto"/>
                    <w:rPr>
                      <w:rFonts w:ascii="Times New Roman" w:hAnsi="Times New Roman"/>
                      <w:b/>
                      <w:bCs/>
                      <w:color w:val="auto"/>
                      <w:szCs w:val="21"/>
                    </w:rPr>
                  </w:pPr>
                  <w:r>
                    <w:rPr>
                      <w:rFonts w:ascii="Times New Roman" w:hAnsi="Times New Roman"/>
                      <w:b/>
                      <w:bCs/>
                      <w:color w:val="auto"/>
                      <w:szCs w:val="21"/>
                    </w:rPr>
                    <w:t>环境</w:t>
                  </w:r>
                </w:p>
                <w:p w14:paraId="0EAAC75E">
                  <w:pPr>
                    <w:jc w:val="center"/>
                    <w:rPr>
                      <w:rFonts w:ascii="Times New Roman" w:hAnsi="Times New Roman"/>
                      <w:b/>
                      <w:bCs/>
                      <w:color w:val="auto"/>
                      <w:szCs w:val="21"/>
                    </w:rPr>
                  </w:pPr>
                  <w:r>
                    <w:rPr>
                      <w:rFonts w:ascii="Times New Roman" w:hAnsi="Times New Roman"/>
                      <w:b/>
                      <w:bCs/>
                      <w:color w:val="auto"/>
                      <w:szCs w:val="21"/>
                    </w:rPr>
                    <w:t>功能区</w:t>
                  </w:r>
                </w:p>
              </w:tc>
              <w:tc>
                <w:tcPr>
                  <w:tcW w:w="441" w:type="pct"/>
                  <w:vMerge w:val="restart"/>
                  <w:noWrap w:val="0"/>
                  <w:vAlign w:val="center"/>
                </w:tcPr>
                <w:p w14:paraId="074BE47E">
                  <w:pPr>
                    <w:jc w:val="center"/>
                    <w:rPr>
                      <w:rFonts w:ascii="Times New Roman" w:hAnsi="Times New Roman"/>
                      <w:b/>
                      <w:bCs/>
                      <w:color w:val="auto"/>
                      <w:szCs w:val="21"/>
                    </w:rPr>
                  </w:pPr>
                  <w:r>
                    <w:rPr>
                      <w:rFonts w:ascii="Times New Roman" w:hAnsi="Times New Roman"/>
                      <w:b/>
                      <w:bCs/>
                      <w:color w:val="auto"/>
                      <w:szCs w:val="21"/>
                    </w:rPr>
                    <w:t>相对厂址方位</w:t>
                  </w:r>
                </w:p>
              </w:tc>
              <w:tc>
                <w:tcPr>
                  <w:tcW w:w="541" w:type="pct"/>
                  <w:vMerge w:val="restart"/>
                  <w:noWrap w:val="0"/>
                  <w:vAlign w:val="center"/>
                </w:tcPr>
                <w:p w14:paraId="10029C2A">
                  <w:pPr>
                    <w:jc w:val="center"/>
                    <w:rPr>
                      <w:rFonts w:ascii="Times New Roman" w:hAnsi="Times New Roman"/>
                      <w:b/>
                      <w:bCs/>
                      <w:color w:val="auto"/>
                      <w:szCs w:val="21"/>
                    </w:rPr>
                  </w:pPr>
                  <w:r>
                    <w:rPr>
                      <w:rFonts w:ascii="Times New Roman" w:hAnsi="Times New Roman"/>
                      <w:b/>
                      <w:bCs/>
                      <w:color w:val="auto"/>
                      <w:szCs w:val="21"/>
                    </w:rPr>
                    <w:t>相对厂界距离（m）</w:t>
                  </w:r>
                </w:p>
              </w:tc>
            </w:tr>
            <w:tr w14:paraId="6C1D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6" w:type="pct"/>
                  <w:vMerge w:val="continue"/>
                  <w:noWrap w:val="0"/>
                  <w:vAlign w:val="center"/>
                </w:tcPr>
                <w:p w14:paraId="71C4D160">
                  <w:pPr>
                    <w:pStyle w:val="53"/>
                    <w:jc w:val="center"/>
                    <w:rPr>
                      <w:rFonts w:ascii="Times New Roman" w:cs="Times New Roman"/>
                      <w:color w:val="auto"/>
                      <w:sz w:val="21"/>
                      <w:szCs w:val="21"/>
                    </w:rPr>
                  </w:pPr>
                </w:p>
              </w:tc>
              <w:tc>
                <w:tcPr>
                  <w:tcW w:w="932" w:type="pct"/>
                  <w:noWrap w:val="0"/>
                  <w:vAlign w:val="center"/>
                </w:tcPr>
                <w:p w14:paraId="5AC735F4">
                  <w:pPr>
                    <w:pStyle w:val="53"/>
                    <w:jc w:val="center"/>
                    <w:rPr>
                      <w:rFonts w:ascii="Times New Roman" w:cs="Times New Roman"/>
                      <w:b/>
                      <w:bCs/>
                      <w:color w:val="auto"/>
                      <w:sz w:val="21"/>
                      <w:szCs w:val="21"/>
                    </w:rPr>
                  </w:pPr>
                  <w:r>
                    <w:rPr>
                      <w:rFonts w:ascii="Times New Roman" w:cs="Times New Roman"/>
                      <w:b/>
                      <w:bCs/>
                      <w:color w:val="auto"/>
                      <w:sz w:val="21"/>
                      <w:szCs w:val="21"/>
                    </w:rPr>
                    <w:t>X</w:t>
                  </w:r>
                </w:p>
              </w:tc>
              <w:tc>
                <w:tcPr>
                  <w:tcW w:w="817" w:type="pct"/>
                  <w:noWrap w:val="0"/>
                  <w:vAlign w:val="center"/>
                </w:tcPr>
                <w:p w14:paraId="55E450CB">
                  <w:pPr>
                    <w:pStyle w:val="53"/>
                    <w:jc w:val="center"/>
                    <w:rPr>
                      <w:rFonts w:ascii="Times New Roman" w:cs="Times New Roman"/>
                      <w:b/>
                      <w:bCs/>
                      <w:color w:val="auto"/>
                      <w:sz w:val="21"/>
                      <w:szCs w:val="21"/>
                    </w:rPr>
                  </w:pPr>
                  <w:r>
                    <w:rPr>
                      <w:rFonts w:ascii="Times New Roman" w:cs="Times New Roman"/>
                      <w:b/>
                      <w:bCs/>
                      <w:color w:val="auto"/>
                      <w:sz w:val="21"/>
                      <w:szCs w:val="21"/>
                    </w:rPr>
                    <w:t>Y</w:t>
                  </w:r>
                </w:p>
              </w:tc>
              <w:tc>
                <w:tcPr>
                  <w:tcW w:w="375" w:type="pct"/>
                  <w:vMerge w:val="continue"/>
                  <w:noWrap w:val="0"/>
                  <w:vAlign w:val="center"/>
                </w:tcPr>
                <w:p w14:paraId="6DFC71CB">
                  <w:pPr>
                    <w:pStyle w:val="53"/>
                    <w:jc w:val="center"/>
                    <w:rPr>
                      <w:rFonts w:ascii="Times New Roman" w:cs="Times New Roman"/>
                      <w:b/>
                      <w:bCs/>
                      <w:color w:val="auto"/>
                      <w:sz w:val="21"/>
                      <w:szCs w:val="21"/>
                    </w:rPr>
                  </w:pPr>
                </w:p>
              </w:tc>
              <w:tc>
                <w:tcPr>
                  <w:tcW w:w="1385" w:type="pct"/>
                  <w:vMerge w:val="continue"/>
                  <w:noWrap w:val="0"/>
                  <w:vAlign w:val="center"/>
                </w:tcPr>
                <w:p w14:paraId="230BF55E">
                  <w:pPr>
                    <w:pStyle w:val="53"/>
                    <w:jc w:val="center"/>
                    <w:rPr>
                      <w:rFonts w:ascii="Times New Roman" w:cs="Times New Roman"/>
                      <w:b/>
                      <w:bCs/>
                      <w:color w:val="auto"/>
                      <w:sz w:val="21"/>
                      <w:szCs w:val="21"/>
                    </w:rPr>
                  </w:pPr>
                </w:p>
              </w:tc>
              <w:tc>
                <w:tcPr>
                  <w:tcW w:w="441" w:type="pct"/>
                  <w:vMerge w:val="continue"/>
                  <w:noWrap w:val="0"/>
                  <w:vAlign w:val="center"/>
                </w:tcPr>
                <w:p w14:paraId="096068EC">
                  <w:pPr>
                    <w:pStyle w:val="53"/>
                    <w:jc w:val="center"/>
                    <w:rPr>
                      <w:rFonts w:ascii="Times New Roman" w:cs="Times New Roman"/>
                      <w:b/>
                      <w:bCs/>
                      <w:color w:val="auto"/>
                      <w:sz w:val="21"/>
                      <w:szCs w:val="21"/>
                    </w:rPr>
                  </w:pPr>
                </w:p>
              </w:tc>
              <w:tc>
                <w:tcPr>
                  <w:tcW w:w="541" w:type="pct"/>
                  <w:vMerge w:val="continue"/>
                  <w:noWrap w:val="0"/>
                  <w:vAlign w:val="center"/>
                </w:tcPr>
                <w:p w14:paraId="1A3BD86D">
                  <w:pPr>
                    <w:pStyle w:val="53"/>
                    <w:jc w:val="center"/>
                    <w:rPr>
                      <w:rFonts w:ascii="Times New Roman" w:cs="Times New Roman"/>
                      <w:b/>
                      <w:bCs/>
                      <w:color w:val="auto"/>
                      <w:sz w:val="21"/>
                      <w:szCs w:val="21"/>
                    </w:rPr>
                  </w:pPr>
                </w:p>
              </w:tc>
            </w:tr>
            <w:tr w14:paraId="1CE6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6" w:type="pct"/>
                  <w:noWrap w:val="0"/>
                  <w:vAlign w:val="center"/>
                </w:tcPr>
                <w:p w14:paraId="57A9FA5F">
                  <w:pPr>
                    <w:jc w:val="center"/>
                    <w:rPr>
                      <w:rFonts w:ascii="Times New Roman" w:hAnsi="Times New Roman"/>
                      <w:color w:val="auto"/>
                      <w:kern w:val="0"/>
                      <w:szCs w:val="21"/>
                    </w:rPr>
                  </w:pPr>
                  <w:r>
                    <w:rPr>
                      <w:rFonts w:hint="eastAsia" w:ascii="Times New Roman" w:hAnsi="Times New Roman"/>
                      <w:color w:val="auto"/>
                      <w:kern w:val="0"/>
                      <w:szCs w:val="21"/>
                      <w:lang w:eastAsia="zh-CN"/>
                    </w:rPr>
                    <w:t>北堼上村</w:t>
                  </w:r>
                </w:p>
              </w:tc>
              <w:tc>
                <w:tcPr>
                  <w:tcW w:w="932" w:type="pct"/>
                  <w:noWrap w:val="0"/>
                  <w:vAlign w:val="center"/>
                </w:tcPr>
                <w:p w14:paraId="7ED4FCEC">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116°39′23.79″</w:t>
                  </w:r>
                </w:p>
              </w:tc>
              <w:tc>
                <w:tcPr>
                  <w:tcW w:w="817" w:type="pct"/>
                  <w:noWrap w:val="0"/>
                  <w:vAlign w:val="center"/>
                </w:tcPr>
                <w:p w14:paraId="36D819FF">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39°21′5.37″</w:t>
                  </w:r>
                </w:p>
              </w:tc>
              <w:tc>
                <w:tcPr>
                  <w:tcW w:w="375" w:type="pct"/>
                  <w:noWrap w:val="0"/>
                  <w:vAlign w:val="center"/>
                </w:tcPr>
                <w:p w14:paraId="19377D98">
                  <w:pPr>
                    <w:jc w:val="center"/>
                    <w:rPr>
                      <w:rFonts w:ascii="Times New Roman" w:hAnsi="Times New Roman"/>
                      <w:color w:val="auto"/>
                      <w:kern w:val="0"/>
                      <w:szCs w:val="21"/>
                    </w:rPr>
                  </w:pPr>
                  <w:r>
                    <w:rPr>
                      <w:rFonts w:ascii="Times New Roman" w:hAnsi="Times New Roman"/>
                      <w:color w:val="auto"/>
                      <w:kern w:val="0"/>
                      <w:szCs w:val="21"/>
                    </w:rPr>
                    <w:t>居民</w:t>
                  </w:r>
                </w:p>
              </w:tc>
              <w:tc>
                <w:tcPr>
                  <w:tcW w:w="1385" w:type="pct"/>
                  <w:noWrap w:val="0"/>
                  <w:vAlign w:val="center"/>
                </w:tcPr>
                <w:p w14:paraId="51AEF6ED">
                  <w:pPr>
                    <w:pStyle w:val="53"/>
                    <w:jc w:val="center"/>
                    <w:rPr>
                      <w:rFonts w:ascii="Times New Roman" w:cs="Times New Roman"/>
                      <w:color w:val="auto"/>
                      <w:sz w:val="21"/>
                      <w:szCs w:val="21"/>
                    </w:rPr>
                  </w:pPr>
                  <w:r>
                    <w:rPr>
                      <w:rFonts w:ascii="Times New Roman" w:cs="Times New Roman"/>
                      <w:color w:val="auto"/>
                      <w:sz w:val="21"/>
                      <w:szCs w:val="21"/>
                    </w:rPr>
                    <w:t>《环境空气质量标准》（GB3095-2012）二类区</w:t>
                  </w:r>
                </w:p>
              </w:tc>
              <w:tc>
                <w:tcPr>
                  <w:tcW w:w="441" w:type="pct"/>
                  <w:noWrap w:val="0"/>
                  <w:vAlign w:val="center"/>
                </w:tcPr>
                <w:p w14:paraId="77610940">
                  <w:pPr>
                    <w:jc w:val="center"/>
                    <w:rPr>
                      <w:rFonts w:hint="default" w:ascii="Times New Roman" w:hAnsi="Times New Roman" w:eastAsia="宋体"/>
                      <w:color w:val="auto"/>
                      <w:kern w:val="0"/>
                      <w:szCs w:val="21"/>
                      <w:lang w:val="en-US" w:eastAsia="zh-CN"/>
                    </w:rPr>
                  </w:pPr>
                  <w:r>
                    <w:rPr>
                      <w:rFonts w:hint="eastAsia" w:ascii="Times New Roman" w:hAnsi="Times New Roman"/>
                      <w:color w:val="auto"/>
                      <w:kern w:val="0"/>
                      <w:szCs w:val="21"/>
                      <w:lang w:val="en-US" w:eastAsia="zh-CN"/>
                    </w:rPr>
                    <w:t>W</w:t>
                  </w:r>
                </w:p>
              </w:tc>
              <w:tc>
                <w:tcPr>
                  <w:tcW w:w="541" w:type="pct"/>
                  <w:noWrap w:val="0"/>
                  <w:vAlign w:val="center"/>
                </w:tcPr>
                <w:p w14:paraId="57AF2C01">
                  <w:pPr>
                    <w:jc w:val="center"/>
                    <w:rPr>
                      <w:rFonts w:hint="default" w:ascii="Times New Roman" w:hAnsi="Times New Roman" w:eastAsia="宋体"/>
                      <w:color w:val="auto"/>
                      <w:kern w:val="0"/>
                      <w:szCs w:val="21"/>
                      <w:lang w:val="en-US" w:eastAsia="zh-CN"/>
                    </w:rPr>
                  </w:pPr>
                  <w:r>
                    <w:rPr>
                      <w:rFonts w:hint="eastAsia" w:ascii="Times New Roman" w:hAnsi="Times New Roman"/>
                      <w:color w:val="auto"/>
                      <w:kern w:val="0"/>
                      <w:szCs w:val="21"/>
                      <w:lang w:val="en-US" w:eastAsia="zh-CN"/>
                    </w:rPr>
                    <w:t>125</w:t>
                  </w:r>
                </w:p>
              </w:tc>
            </w:tr>
          </w:tbl>
          <w:p w14:paraId="4EB3CA56">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2、声环境</w:t>
            </w:r>
            <w:r>
              <w:rPr>
                <w:rFonts w:hint="default" w:ascii="Times New Roman" w:hAnsi="Times New Roman" w:cs="Times New Roman"/>
                <w:b/>
                <w:bCs/>
                <w:color w:val="000000"/>
                <w:sz w:val="24"/>
              </w:rPr>
              <w:t>保护目标</w:t>
            </w:r>
          </w:p>
          <w:p w14:paraId="74AAD881">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sz w:val="24"/>
              </w:rPr>
              <w:t>经现场踏勘，项目周边50m范围内</w:t>
            </w:r>
            <w:r>
              <w:rPr>
                <w:rFonts w:hint="eastAsia" w:ascii="Times New Roman" w:hAnsi="Times New Roman" w:cs="Times New Roman"/>
                <w:color w:val="000000"/>
                <w:sz w:val="24"/>
                <w:lang w:eastAsia="zh-CN"/>
              </w:rPr>
              <w:t>无</w:t>
            </w:r>
            <w:r>
              <w:rPr>
                <w:rFonts w:hint="default" w:ascii="Times New Roman" w:hAnsi="Times New Roman" w:cs="Times New Roman"/>
                <w:color w:val="000000"/>
                <w:sz w:val="24"/>
              </w:rPr>
              <w:t>声环境敏感保护目标</w:t>
            </w:r>
            <w:r>
              <w:rPr>
                <w:rFonts w:ascii="Times New Roman" w:hAnsi="Times New Roman" w:cs="Times New Roman"/>
                <w:color w:val="000000" w:themeColor="text1"/>
                <w:sz w:val="24"/>
                <w14:textFill>
                  <w14:solidFill>
                    <w14:schemeClr w14:val="tx1"/>
                  </w14:solidFill>
                </w14:textFill>
              </w:rPr>
              <w:t>。</w:t>
            </w:r>
          </w:p>
          <w:p w14:paraId="0D6591C1">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3、</w:t>
            </w:r>
            <w:r>
              <w:rPr>
                <w:rFonts w:hint="default" w:ascii="Times New Roman" w:hAnsi="Times New Roman" w:cs="Times New Roman"/>
                <w:b/>
                <w:bCs/>
                <w:color w:val="000000"/>
                <w:sz w:val="24"/>
              </w:rPr>
              <w:t>地下水环境保护目标</w:t>
            </w:r>
          </w:p>
          <w:p w14:paraId="096EC2F3">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sz w:val="24"/>
              </w:rPr>
              <w:t>经现场踏勘，项目500m范围内无地下水集中式饮用水水源和热水、矿泉水、温泉等特殊地下水资源</w:t>
            </w:r>
            <w:r>
              <w:rPr>
                <w:rFonts w:ascii="Times New Roman" w:hAnsi="Times New Roman" w:cs="Times New Roman"/>
                <w:color w:val="000000" w:themeColor="text1"/>
                <w:sz w:val="24"/>
                <w14:textFill>
                  <w14:solidFill>
                    <w14:schemeClr w14:val="tx1"/>
                  </w14:solidFill>
                </w14:textFill>
              </w:rPr>
              <w:t>。</w:t>
            </w:r>
          </w:p>
          <w:p w14:paraId="1DBF0DC9">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4、生态环境</w:t>
            </w:r>
            <w:r>
              <w:rPr>
                <w:rFonts w:hint="default" w:ascii="Times New Roman" w:hAnsi="Times New Roman" w:cs="Times New Roman"/>
                <w:b/>
                <w:bCs/>
                <w:color w:val="000000"/>
                <w:sz w:val="24"/>
              </w:rPr>
              <w:t>保护目标</w:t>
            </w:r>
          </w:p>
          <w:p w14:paraId="6F1C565B">
            <w:pPr>
              <w:pStyle w:val="25"/>
              <w:spacing w:line="360" w:lineRule="auto"/>
              <w:ind w:left="0" w:firstLine="480" w:firstLineChars="200"/>
              <w:rPr>
                <w:rFonts w:hint="eastAsia" w:ascii="Times New Roman" w:hAnsi="Times New Roman" w:eastAsia="宋体"/>
                <w:smallCaps w:val="0"/>
                <w:color w:val="000000" w:themeColor="text1"/>
                <w:sz w:val="24"/>
                <w:szCs w:val="24"/>
                <w:lang w:eastAsia="zh-CN"/>
                <w14:textFill>
                  <w14:solidFill>
                    <w14:schemeClr w14:val="tx1"/>
                  </w14:solidFill>
                </w14:textFill>
              </w:rPr>
            </w:pPr>
            <w:r>
              <w:rPr>
                <w:rFonts w:hint="default" w:ascii="Times New Roman" w:hAnsi="Times New Roman" w:cs="Times New Roman"/>
                <w:color w:val="000000"/>
                <w:sz w:val="24"/>
              </w:rPr>
              <w:t>经现场踏勘，项目周边无生态敏感保护目标</w:t>
            </w:r>
            <w:r>
              <w:rPr>
                <w:rFonts w:hint="eastAsia" w:ascii="Times New Roman" w:hAnsi="Times New Roman" w:cs="Times New Roman"/>
                <w:color w:val="000000" w:themeColor="text1"/>
                <w:sz w:val="24"/>
                <w:lang w:eastAsia="zh-CN"/>
                <w14:textFill>
                  <w14:solidFill>
                    <w14:schemeClr w14:val="tx1"/>
                  </w14:solidFill>
                </w14:textFill>
              </w:rPr>
              <w:t>。</w:t>
            </w:r>
          </w:p>
        </w:tc>
      </w:tr>
      <w:tr w14:paraId="1FD53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4" w:space="0"/>
              <w:right w:val="single" w:color="auto" w:sz="4" w:space="0"/>
            </w:tcBorders>
            <w:shd w:val="clear" w:color="auto" w:fill="auto"/>
            <w:tcMar>
              <w:left w:w="28" w:type="dxa"/>
              <w:right w:w="28" w:type="dxa"/>
            </w:tcMar>
            <w:vAlign w:val="center"/>
          </w:tcPr>
          <w:p w14:paraId="2C3A62B9">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污染</w:t>
            </w:r>
          </w:p>
          <w:p w14:paraId="1400C08E">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物排</w:t>
            </w:r>
          </w:p>
          <w:p w14:paraId="4872BC1E">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放控</w:t>
            </w:r>
          </w:p>
          <w:p w14:paraId="1EC11312">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制标</w:t>
            </w:r>
          </w:p>
          <w:p w14:paraId="239CCD3B">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准</w:t>
            </w:r>
          </w:p>
        </w:tc>
        <w:tc>
          <w:tcPr>
            <w:tcW w:w="9146" w:type="dxa"/>
            <w:tcBorders>
              <w:top w:val="single" w:color="auto" w:sz="4" w:space="0"/>
              <w:left w:val="single" w:color="auto" w:sz="4" w:space="0"/>
              <w:bottom w:val="single" w:color="auto" w:sz="4" w:space="0"/>
              <w:right w:val="single" w:color="auto" w:sz="8" w:space="0"/>
            </w:tcBorders>
            <w:shd w:val="clear" w:color="auto" w:fill="auto"/>
          </w:tcPr>
          <w:p w14:paraId="54E92BB1">
            <w:pPr>
              <w:spacing w:before="156" w:beforeLines="50" w:line="360" w:lineRule="auto"/>
              <w:rPr>
                <w:rFonts w:ascii="Times New Roman" w:hAnsi="Times New Roman" w:cs="Times New Roman"/>
                <w:b/>
                <w:color w:val="auto"/>
                <w:sz w:val="24"/>
              </w:rPr>
            </w:pPr>
            <w:r>
              <w:rPr>
                <w:rFonts w:ascii="Times New Roman" w:hAnsi="Times New Roman" w:cs="Times New Roman"/>
                <w:b/>
                <w:color w:val="auto"/>
                <w:sz w:val="24"/>
              </w:rPr>
              <w:t>施工期</w:t>
            </w:r>
          </w:p>
          <w:p w14:paraId="64D64D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bCs/>
                <w:color w:val="auto"/>
                <w:sz w:val="24"/>
              </w:rPr>
            </w:pPr>
            <w:r>
              <w:rPr>
                <w:rFonts w:hint="eastAsia" w:ascii="Times New Roman" w:hAnsi="Times New Roman" w:eastAsia="宋体" w:cs="Times New Roman"/>
                <w:b/>
                <w:color w:val="auto"/>
                <w:sz w:val="24"/>
                <w:lang w:val="en-US" w:eastAsia="zh-CN"/>
              </w:rPr>
              <w:t>1、</w:t>
            </w:r>
            <w:r>
              <w:rPr>
                <w:rFonts w:ascii="Times New Roman" w:hAnsi="Times New Roman" w:eastAsia="宋体" w:cs="Times New Roman"/>
                <w:b/>
                <w:color w:val="auto"/>
                <w:sz w:val="24"/>
              </w:rPr>
              <w:t>噪声</w:t>
            </w:r>
          </w:p>
          <w:p w14:paraId="77B90206">
            <w:pPr>
              <w:adjustRightInd w:val="0"/>
              <w:snapToGrid w:val="0"/>
              <w:spacing w:line="360" w:lineRule="auto"/>
              <w:ind w:firstLine="480" w:firstLineChars="200"/>
              <w:rPr>
                <w:rFonts w:ascii="Times New Roman" w:hAnsi="Times New Roman" w:cs="Times New Roman"/>
                <w:b/>
                <w:bCs/>
                <w:color w:val="auto"/>
                <w:sz w:val="24"/>
                <w:highlight w:val="none"/>
              </w:rPr>
            </w:pPr>
            <w:r>
              <w:rPr>
                <w:rFonts w:ascii="Times New Roman" w:hAnsi="Times New Roman" w:eastAsia="宋体" w:cs="Times New Roman"/>
                <w:color w:val="auto"/>
                <w:sz w:val="24"/>
              </w:rPr>
              <w:t>噪声执行《建筑施工场界环境噪声排放标准》（GB12523-2011）表1</w:t>
            </w:r>
            <w:r>
              <w:rPr>
                <w:rFonts w:hint="eastAsia" w:ascii="Times New Roman" w:hAnsi="Times New Roman" w:eastAsia="宋体" w:cs="Times New Roman"/>
                <w:color w:val="auto"/>
                <w:sz w:val="24"/>
              </w:rPr>
              <w:t>中标准限值</w:t>
            </w:r>
            <w:r>
              <w:rPr>
                <w:rFonts w:ascii="Times New Roman" w:hAnsi="Times New Roman" w:eastAsia="宋体" w:cs="Times New Roman"/>
                <w:color w:val="auto"/>
                <w:sz w:val="24"/>
              </w:rPr>
              <w:t>。</w:t>
            </w:r>
          </w:p>
          <w:p w14:paraId="53834227">
            <w:pPr>
              <w:adjustRightInd w:val="0"/>
              <w:snapToGrid w:val="0"/>
              <w:jc w:val="center"/>
              <w:rPr>
                <w:rFonts w:ascii="Times New Roman" w:hAnsi="Times New Roman" w:eastAsia="宋体" w:cs="Times New Roman"/>
                <w:b/>
                <w:bCs/>
                <w:color w:val="auto"/>
                <w:kern w:val="0"/>
                <w:sz w:val="24"/>
                <w:highlight w:val="none"/>
              </w:rPr>
            </w:pPr>
            <w:r>
              <w:rPr>
                <w:rFonts w:ascii="Times New Roman" w:hAnsi="Times New Roman" w:eastAsia="宋体" w:cs="Times New Roman"/>
                <w:b/>
                <w:bCs/>
                <w:color w:val="auto"/>
                <w:kern w:val="0"/>
                <w:sz w:val="24"/>
                <w:highlight w:val="none"/>
              </w:rPr>
              <w:t>表3-</w:t>
            </w:r>
            <w:r>
              <w:rPr>
                <w:rFonts w:hint="eastAsia" w:ascii="Times New Roman" w:hAnsi="Times New Roman" w:eastAsia="宋体" w:cs="Times New Roman"/>
                <w:b/>
                <w:bCs/>
                <w:color w:val="auto"/>
                <w:kern w:val="0"/>
                <w:sz w:val="24"/>
                <w:highlight w:val="none"/>
                <w:lang w:val="en-US" w:eastAsia="zh-CN"/>
              </w:rPr>
              <w:t xml:space="preserve">7 </w:t>
            </w:r>
            <w:r>
              <w:rPr>
                <w:rFonts w:hint="eastAsia" w:ascii="Times New Roman" w:hAnsi="Times New Roman" w:eastAsia="宋体" w:cs="Times New Roman"/>
                <w:b/>
                <w:bCs/>
                <w:color w:val="auto"/>
                <w:kern w:val="0"/>
                <w:sz w:val="24"/>
                <w:highlight w:val="none"/>
              </w:rPr>
              <w:t>施工期</w:t>
            </w:r>
            <w:r>
              <w:rPr>
                <w:rFonts w:ascii="Times New Roman" w:hAnsi="Times New Roman" w:eastAsia="宋体" w:cs="Times New Roman"/>
                <w:b/>
                <w:bCs/>
                <w:color w:val="auto"/>
                <w:kern w:val="0"/>
                <w:sz w:val="24"/>
                <w:highlight w:val="none"/>
              </w:rPr>
              <w:t>污染物排放标准一览表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496"/>
              <w:gridCol w:w="899"/>
              <w:gridCol w:w="1616"/>
              <w:gridCol w:w="4905"/>
            </w:tblGrid>
            <w:tr w14:paraId="3AEAAE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trPr>
              <w:tc>
                <w:tcPr>
                  <w:tcW w:w="839" w:type="pct"/>
                  <w:noWrap w:val="0"/>
                  <w:vAlign w:val="center"/>
                </w:tcPr>
                <w:p w14:paraId="2DC728A1">
                  <w:pPr>
                    <w:widowControl/>
                    <w:adjustRightInd w:val="0"/>
                    <w:snapToGrid w:val="0"/>
                    <w:spacing w:before="0" w:after="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评价因子</w:t>
                  </w:r>
                </w:p>
              </w:tc>
              <w:tc>
                <w:tcPr>
                  <w:tcW w:w="1410" w:type="pct"/>
                  <w:gridSpan w:val="2"/>
                  <w:noWrap w:val="0"/>
                  <w:vAlign w:val="center"/>
                </w:tcPr>
                <w:p w14:paraId="0B855A94">
                  <w:pPr>
                    <w:widowControl/>
                    <w:adjustRightInd w:val="0"/>
                    <w:snapToGrid w:val="0"/>
                    <w:spacing w:before="0" w:after="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标准值</w:t>
                  </w:r>
                </w:p>
              </w:tc>
              <w:tc>
                <w:tcPr>
                  <w:tcW w:w="2750" w:type="pct"/>
                  <w:noWrap w:val="0"/>
                  <w:vAlign w:val="center"/>
                </w:tcPr>
                <w:p w14:paraId="79EE8468">
                  <w:pPr>
                    <w:widowControl/>
                    <w:adjustRightInd w:val="0"/>
                    <w:snapToGrid w:val="0"/>
                    <w:spacing w:before="0" w:after="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标准名称</w:t>
                  </w:r>
                </w:p>
              </w:tc>
            </w:tr>
            <w:tr w14:paraId="4108E13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trPr>
              <w:tc>
                <w:tcPr>
                  <w:tcW w:w="839" w:type="pct"/>
                  <w:vMerge w:val="restart"/>
                  <w:noWrap w:val="0"/>
                  <w:vAlign w:val="center"/>
                </w:tcPr>
                <w:p w14:paraId="529CEAAE">
                  <w:pPr>
                    <w:widowControl/>
                    <w:adjustRightInd w:val="0"/>
                    <w:snapToGrid w:val="0"/>
                    <w:spacing w:before="0" w:after="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施工期</w:t>
                  </w:r>
                  <w:r>
                    <w:rPr>
                      <w:rFonts w:hint="eastAsia" w:ascii="Times New Roman" w:hAnsi="Times New Roman" w:eastAsia="宋体" w:cs="Times New Roman"/>
                      <w:color w:val="auto"/>
                      <w:kern w:val="2"/>
                      <w:sz w:val="21"/>
                      <w:szCs w:val="21"/>
                      <w:lang w:val="en-US" w:eastAsia="zh-CN" w:bidi="ar-SA"/>
                    </w:rPr>
                    <w:t>噪声</w:t>
                  </w:r>
                </w:p>
              </w:tc>
              <w:tc>
                <w:tcPr>
                  <w:tcW w:w="504" w:type="pct"/>
                  <w:noWrap w:val="0"/>
                  <w:vAlign w:val="center"/>
                </w:tcPr>
                <w:p w14:paraId="26D5BF4F">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昼间</w:t>
                  </w:r>
                </w:p>
              </w:tc>
              <w:tc>
                <w:tcPr>
                  <w:tcW w:w="906" w:type="pct"/>
                  <w:noWrap w:val="0"/>
                  <w:vAlign w:val="center"/>
                </w:tcPr>
                <w:p w14:paraId="1284B709">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≤70dB（A）</w:t>
                  </w:r>
                </w:p>
              </w:tc>
              <w:tc>
                <w:tcPr>
                  <w:tcW w:w="2750" w:type="pct"/>
                  <w:vMerge w:val="restart"/>
                  <w:noWrap w:val="0"/>
                  <w:vAlign w:val="center"/>
                </w:tcPr>
                <w:p w14:paraId="36014077">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《建筑施工场界环境噪声排放标准》（GB12523-2011）中的限值</w:t>
                  </w:r>
                </w:p>
              </w:tc>
            </w:tr>
            <w:tr w14:paraId="692F72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trPr>
              <w:tc>
                <w:tcPr>
                  <w:tcW w:w="839" w:type="pct"/>
                  <w:vMerge w:val="continue"/>
                  <w:noWrap w:val="0"/>
                  <w:vAlign w:val="center"/>
                </w:tcPr>
                <w:p w14:paraId="3302C542">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p>
              </w:tc>
              <w:tc>
                <w:tcPr>
                  <w:tcW w:w="504" w:type="pct"/>
                  <w:noWrap w:val="0"/>
                  <w:vAlign w:val="center"/>
                </w:tcPr>
                <w:p w14:paraId="501DF2DB">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夜间</w:t>
                  </w:r>
                </w:p>
              </w:tc>
              <w:tc>
                <w:tcPr>
                  <w:tcW w:w="906" w:type="pct"/>
                  <w:noWrap w:val="0"/>
                  <w:vAlign w:val="center"/>
                </w:tcPr>
                <w:p w14:paraId="397CFE82">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≤55dB（A）</w:t>
                  </w:r>
                </w:p>
              </w:tc>
              <w:tc>
                <w:tcPr>
                  <w:tcW w:w="2750" w:type="pct"/>
                  <w:vMerge w:val="continue"/>
                  <w:noWrap w:val="0"/>
                  <w:vAlign w:val="center"/>
                </w:tcPr>
                <w:p w14:paraId="0D28EE62">
                  <w:pPr>
                    <w:widowControl/>
                    <w:adjustRightInd w:val="0"/>
                    <w:snapToGrid w:val="0"/>
                    <w:spacing w:before="0" w:after="0"/>
                    <w:jc w:val="center"/>
                    <w:rPr>
                      <w:rFonts w:ascii="Times New Roman" w:hAnsi="Times New Roman" w:eastAsia="宋体" w:cs="Times New Roman"/>
                      <w:color w:val="auto"/>
                      <w:kern w:val="2"/>
                      <w:sz w:val="21"/>
                      <w:szCs w:val="21"/>
                      <w:lang w:val="en-US" w:eastAsia="zh-CN" w:bidi="ar-SA"/>
                    </w:rPr>
                  </w:pPr>
                </w:p>
              </w:tc>
            </w:tr>
          </w:tbl>
          <w:p w14:paraId="7EE6E32D">
            <w:pPr>
              <w:adjustRightInd w:val="0"/>
              <w:snapToGrid w:val="0"/>
              <w:spacing w:line="360" w:lineRule="auto"/>
              <w:ind w:firstLine="482" w:firstLineChars="200"/>
              <w:rPr>
                <w:rFonts w:ascii="Times New Roman" w:hAnsi="Times New Roman" w:cs="Times New Roman"/>
                <w:b/>
                <w:bCs/>
                <w:color w:val="auto"/>
                <w:sz w:val="24"/>
                <w:highlight w:val="none"/>
              </w:rPr>
            </w:pPr>
          </w:p>
          <w:p w14:paraId="6BCF454B">
            <w:pPr>
              <w:adjustRightInd w:val="0"/>
              <w:snapToGrid w:val="0"/>
              <w:spacing w:line="360" w:lineRule="auto"/>
              <w:rPr>
                <w:rFonts w:ascii="Times New Roman" w:hAnsi="Times New Roman" w:cs="Times New Roman"/>
                <w:b/>
                <w:bCs/>
                <w:color w:val="auto"/>
                <w:sz w:val="24"/>
                <w:highlight w:val="none"/>
              </w:rPr>
            </w:pPr>
            <w:r>
              <w:rPr>
                <w:rFonts w:hint="eastAsia"/>
                <w:b/>
                <w:bCs/>
                <w:color w:val="auto"/>
                <w:sz w:val="24"/>
                <w:lang w:eastAsia="zh-CN"/>
              </w:rPr>
              <w:t>运营期</w:t>
            </w:r>
          </w:p>
          <w:p w14:paraId="0F47E743">
            <w:pPr>
              <w:adjustRightInd w:val="0"/>
              <w:snapToGrid w:val="0"/>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ascii="Times New Roman" w:hAnsi="Times New Roman" w:cs="Times New Roman"/>
                <w:b/>
                <w:bCs/>
                <w:color w:val="000000" w:themeColor="text1"/>
                <w:sz w:val="24"/>
                <w:highlight w:val="none"/>
                <w14:textFill>
                  <w14:solidFill>
                    <w14:schemeClr w14:val="tx1"/>
                  </w14:solidFill>
                </w14:textFill>
              </w:rPr>
              <w:t>1、废气</w:t>
            </w:r>
          </w:p>
          <w:p w14:paraId="50D2980E">
            <w:pPr>
              <w:pStyle w:val="108"/>
              <w:ind w:firstLine="480"/>
              <w:rPr>
                <w:rFonts w:hint="default" w:ascii="Times New Roman" w:hAnsi="Times New Roman" w:cs="Times New Roman"/>
                <w:color w:val="auto"/>
                <w:sz w:val="24"/>
              </w:rPr>
            </w:pPr>
            <w:r>
              <w:rPr>
                <w:rFonts w:hint="default" w:ascii="Times New Roman" w:hAnsi="Times New Roman" w:cs="Times New Roman"/>
                <w:sz w:val="24"/>
                <w:lang w:val="en-US" w:eastAsia="zh-CN"/>
              </w:rPr>
              <w:t>注塑工序</w:t>
            </w:r>
            <w:r>
              <w:rPr>
                <w:rFonts w:hint="default" w:ascii="Times New Roman" w:hAnsi="Times New Roman" w:cs="Times New Roman"/>
                <w:color w:val="auto"/>
                <w:sz w:val="24"/>
                <w:lang w:eastAsia="zh-CN"/>
              </w:rPr>
              <w:t>产生的</w:t>
            </w:r>
            <w:r>
              <w:rPr>
                <w:rFonts w:hint="default" w:ascii="Times New Roman" w:hAnsi="Times New Roman" w:cs="Times New Roman"/>
                <w:sz w:val="24"/>
              </w:rPr>
              <w:t>非甲烷总烃</w:t>
            </w:r>
            <w:r>
              <w:rPr>
                <w:rFonts w:hint="default" w:ascii="Times New Roman" w:hAnsi="Times New Roman" w:cs="Times New Roman"/>
                <w:sz w:val="24"/>
                <w:lang w:val="en-US" w:eastAsia="zh-CN"/>
              </w:rPr>
              <w:t>有组织排放</w:t>
            </w:r>
            <w:r>
              <w:rPr>
                <w:rFonts w:hint="default" w:ascii="Times New Roman" w:hAnsi="Times New Roman" w:cs="Times New Roman"/>
                <w:snapToGrid w:val="0"/>
                <w:color w:val="auto"/>
                <w:kern w:val="0"/>
                <w:sz w:val="24"/>
                <w:szCs w:val="24"/>
                <w:highlight w:val="none"/>
                <w:lang w:eastAsia="zh-CN"/>
              </w:rPr>
              <w:t>河北省地方标准《工业企业挥发性有机物排放控制标准》（DB13/2322-2016）表1有机化工业大气污染物排放限值要求及《合成树脂工业污染物排放标准》（GB31572-2015，含2024年修改单）中表5大气污染物特别排放限值要求，</w:t>
            </w:r>
            <w:r>
              <w:rPr>
                <w:rFonts w:hint="default" w:ascii="Times New Roman" w:hAnsi="Times New Roman" w:cs="Times New Roman"/>
                <w:color w:val="auto"/>
                <w:sz w:val="24"/>
                <w:lang w:val="en-US" w:eastAsia="zh-CN"/>
              </w:rPr>
              <w:t>臭气浓度执行《恶臭污染物排放标准》（GB14554-93）表2恶臭污染物排放标准值</w:t>
            </w:r>
            <w:r>
              <w:rPr>
                <w:rFonts w:hint="eastAsia" w:ascii="Times New Roman" w:hAnsi="Times New Roman" w:cs="Times New Roman"/>
                <w:color w:val="auto"/>
                <w:sz w:val="24"/>
                <w:lang w:val="en-US" w:eastAsia="zh-CN"/>
              </w:rPr>
              <w:t>；</w:t>
            </w:r>
          </w:p>
          <w:p w14:paraId="7561319E">
            <w:pPr>
              <w:pStyle w:val="108"/>
              <w:ind w:firstLine="480"/>
              <w:rPr>
                <w:rFonts w:hint="eastAsia" w:ascii="Times New Roman" w:hAnsi="Times New Roman"/>
                <w:color w:val="auto"/>
                <w:sz w:val="24"/>
              </w:rPr>
            </w:pPr>
            <w:r>
              <w:rPr>
                <w:rFonts w:hint="eastAsia" w:ascii="Times New Roman" w:hAnsi="Times New Roman"/>
                <w:color w:val="auto"/>
                <w:sz w:val="24"/>
                <w:lang w:val="en-US" w:eastAsia="zh-CN"/>
              </w:rPr>
              <w:t>粉碎工序废气产生的颗粒物有组织排放执行《合成树脂工业污染物排放标准》（GB31572-2015，含2024年修改单）</w:t>
            </w:r>
            <w:r>
              <w:rPr>
                <w:rFonts w:hint="eastAsia" w:ascii="Times New Roman" w:hAnsi="Times New Roman"/>
                <w:color w:val="auto"/>
                <w:sz w:val="24"/>
                <w:lang w:eastAsia="zh-CN"/>
              </w:rPr>
              <w:t>中</w:t>
            </w:r>
            <w:r>
              <w:rPr>
                <w:rFonts w:hint="eastAsia" w:ascii="Times New Roman" w:hAnsi="Times New Roman"/>
                <w:color w:val="auto"/>
                <w:sz w:val="24"/>
                <w:lang w:val="en-US" w:eastAsia="zh-CN"/>
              </w:rPr>
              <w:t>表5大气污染物特别排放标准限值；</w:t>
            </w:r>
          </w:p>
          <w:p w14:paraId="65B07B9F">
            <w:pPr>
              <w:pStyle w:val="108"/>
              <w:ind w:firstLine="480"/>
              <w:rPr>
                <w:rFonts w:hint="eastAsia" w:ascii="Times New Roman" w:hAnsi="Times New Roman"/>
                <w:color w:val="auto"/>
                <w:sz w:val="24"/>
              </w:rPr>
            </w:pPr>
            <w:r>
              <w:rPr>
                <w:rFonts w:hint="eastAsia" w:ascii="Times New Roman" w:hAnsi="Times New Roman"/>
                <w:color w:val="auto"/>
                <w:sz w:val="24"/>
              </w:rPr>
              <w:t>厂界无组织非甲烷总烃执行《工业企业挥发性有机物排放标准》（DB13/2322-2016）表2企业边界大气污染物浓度限值；车间口</w:t>
            </w:r>
            <w:r>
              <w:rPr>
                <w:rFonts w:hint="eastAsia" w:ascii="Times New Roman" w:hAnsi="Times New Roman"/>
                <w:color w:val="auto"/>
                <w:sz w:val="24"/>
                <w:lang w:eastAsia="zh-CN"/>
              </w:rPr>
              <w:t>无组织</w:t>
            </w:r>
            <w:r>
              <w:rPr>
                <w:rFonts w:hint="eastAsia" w:ascii="Times New Roman" w:hAnsi="Times New Roman"/>
                <w:color w:val="auto"/>
                <w:sz w:val="24"/>
              </w:rPr>
              <w:t>非甲烷总烃执行《工业企业挥发性有机物排放标准》（DB13/2322-2016）表3生产车间或生产设备边界大气污染物浓度限值</w:t>
            </w:r>
            <w:r>
              <w:rPr>
                <w:rFonts w:hint="eastAsia" w:ascii="Times New Roman" w:hAnsi="Times New Roman"/>
                <w:color w:val="auto"/>
                <w:sz w:val="24"/>
                <w:lang w:eastAsia="zh-CN"/>
              </w:rPr>
              <w:t>，厂区内无组织非甲烷总烃执行</w:t>
            </w:r>
            <w:r>
              <w:rPr>
                <w:rFonts w:hint="eastAsia" w:ascii="Times New Roman" w:hAnsi="Times New Roman"/>
                <w:color w:val="auto"/>
                <w:sz w:val="24"/>
                <w:lang w:val="en-US" w:eastAsia="zh-CN"/>
              </w:rPr>
              <w:t>《挥发性有机物无组织排放控制标准》（GB37822-2019）中表A.1厂区内VOCs厂区无组织排放限值</w:t>
            </w:r>
            <w:r>
              <w:rPr>
                <w:rFonts w:hint="eastAsia" w:ascii="Times New Roman" w:hAnsi="Times New Roman"/>
                <w:color w:val="auto"/>
                <w:sz w:val="24"/>
              </w:rPr>
              <w:t>。厂界无组织颗粒物执行</w:t>
            </w:r>
            <w:r>
              <w:rPr>
                <w:rFonts w:hint="eastAsia" w:ascii="Times New Roman" w:hAnsi="Times New Roman"/>
                <w:color w:val="auto"/>
                <w:sz w:val="24"/>
                <w:lang w:val="en-US" w:eastAsia="zh-CN"/>
              </w:rPr>
              <w:t>《合成树脂工业污染物排放标准》（GB31572-2015，含2024年修改单）中</w:t>
            </w:r>
            <w:r>
              <w:rPr>
                <w:rFonts w:hint="eastAsia" w:ascii="Times New Roman" w:hAnsi="Times New Roman"/>
                <w:color w:val="auto"/>
                <w:sz w:val="24"/>
              </w:rPr>
              <w:t>表9企业边界大气污染物浓度限值</w:t>
            </w:r>
            <w:r>
              <w:rPr>
                <w:rFonts w:hint="eastAsia" w:ascii="Times New Roman" w:hAnsi="Times New Roman"/>
                <w:color w:val="auto"/>
                <w:sz w:val="24"/>
                <w:lang w:eastAsia="zh-CN"/>
              </w:rPr>
              <w:t>；</w:t>
            </w:r>
            <w:r>
              <w:rPr>
                <w:rFonts w:hint="eastAsia" w:ascii="Times New Roman" w:hAnsi="Times New Roman"/>
                <w:color w:val="auto"/>
                <w:sz w:val="24"/>
              </w:rPr>
              <w:t>无组织</w:t>
            </w:r>
            <w:r>
              <w:rPr>
                <w:rFonts w:hint="eastAsia" w:ascii="Times New Roman" w:hAnsi="Times New Roman"/>
                <w:color w:val="auto"/>
                <w:sz w:val="24"/>
                <w:lang w:val="en-US" w:eastAsia="zh-CN"/>
              </w:rPr>
              <w:t>臭气浓度执行《恶臭污染物排放标准》（GB14554-93）表1恶臭污染物厂界二级新扩改建标准限值。</w:t>
            </w:r>
          </w:p>
          <w:p w14:paraId="473E83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snapToGrid w:val="0"/>
                <w:color w:val="auto"/>
                <w:kern w:val="0"/>
                <w:sz w:val="24"/>
                <w:szCs w:val="24"/>
              </w:rPr>
            </w:pPr>
            <w:r>
              <w:rPr>
                <w:rFonts w:hint="default" w:ascii="Times New Roman" w:hAnsi="Times New Roman" w:eastAsia="宋体" w:cs="Times New Roman"/>
                <w:b/>
                <w:snapToGrid w:val="0"/>
                <w:color w:val="auto"/>
                <w:kern w:val="0"/>
                <w:sz w:val="24"/>
                <w:szCs w:val="24"/>
              </w:rPr>
              <w:t>表</w:t>
            </w:r>
            <w:r>
              <w:rPr>
                <w:rFonts w:hint="eastAsia" w:ascii="Times New Roman" w:hAnsi="Times New Roman" w:eastAsia="宋体" w:cs="Times New Roman"/>
                <w:b/>
                <w:snapToGrid w:val="0"/>
                <w:color w:val="auto"/>
                <w:kern w:val="0"/>
                <w:sz w:val="24"/>
                <w:szCs w:val="24"/>
                <w:lang w:val="en-US" w:eastAsia="zh-CN"/>
              </w:rPr>
              <w:t>3-8</w:t>
            </w:r>
            <w:r>
              <w:rPr>
                <w:rFonts w:hint="default" w:ascii="Times New Roman" w:hAnsi="Times New Roman" w:eastAsia="宋体" w:cs="Times New Roman"/>
                <w:b/>
                <w:snapToGrid w:val="0"/>
                <w:color w:val="auto"/>
                <w:kern w:val="0"/>
                <w:sz w:val="24"/>
                <w:szCs w:val="24"/>
              </w:rPr>
              <w:t xml:space="preserve">  大气污染物排放标准限值</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33"/>
              <w:gridCol w:w="1257"/>
              <w:gridCol w:w="1409"/>
              <w:gridCol w:w="924"/>
              <w:gridCol w:w="4092"/>
            </w:tblGrid>
            <w:tr w14:paraId="5DF11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397" w:type="pct"/>
                  <w:gridSpan w:val="2"/>
                  <w:noWrap w:val="0"/>
                  <w:vAlign w:val="center"/>
                </w:tcPr>
                <w:p w14:paraId="47FB0B79">
                  <w:pPr>
                    <w:jc w:val="center"/>
                    <w:rPr>
                      <w:rFonts w:hint="default" w:ascii="Times New Roman" w:hAnsi="Times New Roman" w:cs="Times New Roman"/>
                      <w:b/>
                    </w:rPr>
                  </w:pPr>
                  <w:r>
                    <w:rPr>
                      <w:rFonts w:hint="default" w:ascii="Times New Roman" w:hAnsi="Times New Roman" w:cs="Times New Roman"/>
                      <w:b/>
                    </w:rPr>
                    <w:t>污染物</w:t>
                  </w:r>
                </w:p>
              </w:tc>
              <w:tc>
                <w:tcPr>
                  <w:tcW w:w="790" w:type="pct"/>
                  <w:noWrap w:val="0"/>
                  <w:vAlign w:val="center"/>
                </w:tcPr>
                <w:p w14:paraId="00879D73">
                  <w:pPr>
                    <w:jc w:val="center"/>
                    <w:rPr>
                      <w:rFonts w:hint="default" w:ascii="Times New Roman" w:hAnsi="Times New Roman" w:cs="Times New Roman"/>
                      <w:b/>
                    </w:rPr>
                  </w:pPr>
                  <w:r>
                    <w:rPr>
                      <w:rFonts w:hint="default" w:ascii="Times New Roman" w:hAnsi="Times New Roman" w:cs="Times New Roman"/>
                      <w:b/>
                    </w:rPr>
                    <w:t>标准值</w:t>
                  </w:r>
                </w:p>
              </w:tc>
              <w:tc>
                <w:tcPr>
                  <w:tcW w:w="518" w:type="pct"/>
                  <w:noWrap w:val="0"/>
                  <w:vAlign w:val="center"/>
                </w:tcPr>
                <w:p w14:paraId="39B2CE07">
                  <w:pPr>
                    <w:jc w:val="center"/>
                    <w:rPr>
                      <w:rFonts w:hint="default" w:ascii="Times New Roman" w:hAnsi="Times New Roman" w:cs="Times New Roman"/>
                      <w:b/>
                    </w:rPr>
                  </w:pPr>
                  <w:r>
                    <w:rPr>
                      <w:rFonts w:hint="default" w:ascii="Times New Roman" w:hAnsi="Times New Roman" w:cs="Times New Roman"/>
                      <w:b/>
                    </w:rPr>
                    <w:t>单位</w:t>
                  </w:r>
                </w:p>
              </w:tc>
              <w:tc>
                <w:tcPr>
                  <w:tcW w:w="2293" w:type="pct"/>
                  <w:noWrap w:val="0"/>
                  <w:vAlign w:val="center"/>
                </w:tcPr>
                <w:p w14:paraId="59DE17EA">
                  <w:pPr>
                    <w:jc w:val="center"/>
                    <w:rPr>
                      <w:rFonts w:hint="default" w:ascii="Times New Roman" w:hAnsi="Times New Roman" w:cs="Times New Roman"/>
                      <w:b/>
                    </w:rPr>
                  </w:pPr>
                  <w:r>
                    <w:rPr>
                      <w:rFonts w:hint="default" w:ascii="Times New Roman" w:hAnsi="Times New Roman" w:cs="Times New Roman"/>
                      <w:b/>
                    </w:rPr>
                    <w:t>标准来源</w:t>
                  </w:r>
                </w:p>
              </w:tc>
            </w:tr>
            <w:tr w14:paraId="1728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692" w:type="pct"/>
                  <w:vMerge w:val="restart"/>
                  <w:noWrap w:val="0"/>
                  <w:vAlign w:val="center"/>
                </w:tcPr>
                <w:p w14:paraId="35817DFB">
                  <w:pPr>
                    <w:jc w:val="center"/>
                    <w:rPr>
                      <w:rFonts w:hint="default" w:ascii="Times New Roman" w:hAnsi="Times New Roman" w:eastAsia="宋体" w:cs="Times New Roman"/>
                      <w:b w:val="0"/>
                      <w:bCs/>
                      <w:lang w:eastAsia="zh-CN"/>
                    </w:rPr>
                  </w:pPr>
                  <w:r>
                    <w:rPr>
                      <w:rFonts w:hint="default" w:ascii="Times New Roman" w:hAnsi="Times New Roman" w:cs="Times New Roman"/>
                      <w:b w:val="0"/>
                      <w:bCs/>
                      <w:lang w:eastAsia="zh-CN"/>
                    </w:rPr>
                    <w:t>有组织废气（</w:t>
                  </w:r>
                  <w:r>
                    <w:rPr>
                      <w:rFonts w:hint="default" w:ascii="Times New Roman" w:hAnsi="Times New Roman" w:cs="Times New Roman"/>
                      <w:b w:val="0"/>
                      <w:bCs/>
                      <w:lang w:val="en-US" w:eastAsia="zh-CN"/>
                    </w:rPr>
                    <w:t>DA001</w:t>
                  </w:r>
                  <w:r>
                    <w:rPr>
                      <w:rFonts w:hint="default" w:ascii="Times New Roman" w:hAnsi="Times New Roman" w:cs="Times New Roman"/>
                      <w:b w:val="0"/>
                      <w:bCs/>
                      <w:lang w:eastAsia="zh-CN"/>
                    </w:rPr>
                    <w:t>）</w:t>
                  </w:r>
                </w:p>
              </w:tc>
              <w:tc>
                <w:tcPr>
                  <w:tcW w:w="704" w:type="pct"/>
                  <w:noWrap w:val="0"/>
                  <w:vAlign w:val="center"/>
                </w:tcPr>
                <w:p w14:paraId="01C4E368">
                  <w:pPr>
                    <w:jc w:val="center"/>
                    <w:rPr>
                      <w:rFonts w:hint="default" w:ascii="Times New Roman" w:hAnsi="Times New Roman" w:cs="Times New Roman"/>
                      <w:b w:val="0"/>
                      <w:bCs/>
                      <w:lang w:eastAsia="zh-CN"/>
                    </w:rPr>
                  </w:pPr>
                  <w:r>
                    <w:rPr>
                      <w:rFonts w:hint="default" w:ascii="Times New Roman" w:hAnsi="Times New Roman" w:cs="Times New Roman"/>
                      <w:lang w:eastAsia="zh-CN"/>
                    </w:rPr>
                    <w:t>非甲烷总烃</w:t>
                  </w:r>
                </w:p>
              </w:tc>
              <w:tc>
                <w:tcPr>
                  <w:tcW w:w="790" w:type="pct"/>
                  <w:noWrap w:val="0"/>
                  <w:vAlign w:val="center"/>
                </w:tcPr>
                <w:p w14:paraId="434FA0A5">
                  <w:pPr>
                    <w:jc w:val="center"/>
                    <w:rPr>
                      <w:rFonts w:hint="default" w:ascii="Times New Roman" w:hAnsi="Times New Roman" w:cs="Times New Roman"/>
                      <w:b w:val="0"/>
                      <w:bCs/>
                      <w:lang w:val="en-US"/>
                    </w:rPr>
                  </w:pPr>
                  <w:r>
                    <w:rPr>
                      <w:rFonts w:hint="default" w:ascii="Times New Roman" w:hAnsi="Times New Roman" w:cs="Times New Roman"/>
                    </w:rPr>
                    <w:t>≤</w:t>
                  </w:r>
                  <w:r>
                    <w:rPr>
                      <w:rFonts w:hint="default" w:ascii="Times New Roman" w:hAnsi="Times New Roman" w:cs="Times New Roman"/>
                      <w:bCs/>
                      <w:szCs w:val="21"/>
                      <w:lang w:val="en-US" w:eastAsia="zh-CN"/>
                    </w:rPr>
                    <w:t>6</w:t>
                  </w:r>
                  <w:r>
                    <w:rPr>
                      <w:rFonts w:hint="default" w:ascii="Times New Roman" w:hAnsi="Times New Roman" w:cs="Times New Roman"/>
                      <w:bCs/>
                      <w:szCs w:val="21"/>
                    </w:rPr>
                    <w:t>0（</w:t>
                  </w:r>
                  <w:r>
                    <w:rPr>
                      <w:rFonts w:hint="default" w:ascii="Times New Roman" w:hAnsi="Times New Roman" w:cs="Times New Roman"/>
                      <w:bCs/>
                      <w:szCs w:val="21"/>
                      <w:lang w:eastAsia="zh-CN"/>
                    </w:rPr>
                    <w:t>最低去除率为</w:t>
                  </w:r>
                  <w:r>
                    <w:rPr>
                      <w:rFonts w:hint="default" w:ascii="Times New Roman" w:hAnsi="Times New Roman" w:cs="Times New Roman"/>
                      <w:bCs/>
                      <w:szCs w:val="21"/>
                    </w:rPr>
                    <w:t>90%）</w:t>
                  </w:r>
                </w:p>
              </w:tc>
              <w:tc>
                <w:tcPr>
                  <w:tcW w:w="518" w:type="pct"/>
                  <w:noWrap w:val="0"/>
                  <w:vAlign w:val="center"/>
                </w:tcPr>
                <w:p w14:paraId="3FADAB56">
                  <w:pPr>
                    <w:jc w:val="center"/>
                    <w:rPr>
                      <w:rFonts w:hint="default" w:ascii="Times New Roman" w:hAnsi="Times New Roman" w:cs="Times New Roman"/>
                      <w:b w:val="0"/>
                      <w:bCs/>
                    </w:rPr>
                  </w:pPr>
                  <w:r>
                    <w:rPr>
                      <w:rFonts w:hint="default" w:ascii="Times New Roman" w:hAnsi="Times New Roman" w:cs="Times New Roman"/>
                    </w:rPr>
                    <w:t>mg/m</w:t>
                  </w:r>
                  <w:r>
                    <w:rPr>
                      <w:rFonts w:hint="default" w:ascii="Times New Roman" w:hAnsi="Times New Roman" w:cs="Times New Roman"/>
                      <w:vertAlign w:val="superscript"/>
                    </w:rPr>
                    <w:t>3</w:t>
                  </w:r>
                </w:p>
              </w:tc>
              <w:tc>
                <w:tcPr>
                  <w:tcW w:w="2293" w:type="pct"/>
                  <w:noWrap w:val="0"/>
                  <w:vAlign w:val="center"/>
                </w:tcPr>
                <w:p w14:paraId="6B90C429">
                  <w:pPr>
                    <w:jc w:val="center"/>
                    <w:rPr>
                      <w:rFonts w:hint="default" w:ascii="Times New Roman" w:hAnsi="Times New Roman" w:cs="Times New Roman"/>
                      <w:b w:val="0"/>
                      <w:bCs/>
                    </w:rPr>
                  </w:pPr>
                  <w:r>
                    <w:rPr>
                      <w:rFonts w:hint="default" w:ascii="Times New Roman" w:hAnsi="Times New Roman" w:cs="Times New Roman"/>
                      <w:b w:val="0"/>
                      <w:bCs/>
                      <w:lang w:eastAsia="zh-CN"/>
                    </w:rPr>
                    <w:t>河北省地方标准《工业企业挥发性有机物排放控制标准》（DB13/2322-2016）表1有机化工业大气污染物排放限值要求及《合成树脂工业污染物排放标准》（GB31572-2015，含2024年修改单）中表5大气污染物特别排放限值要求</w:t>
                  </w:r>
                </w:p>
              </w:tc>
            </w:tr>
            <w:tr w14:paraId="08BF0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692" w:type="pct"/>
                  <w:vMerge w:val="continue"/>
                  <w:noWrap w:val="0"/>
                  <w:vAlign w:val="center"/>
                </w:tcPr>
                <w:p w14:paraId="108042A0">
                  <w:pPr>
                    <w:jc w:val="center"/>
                    <w:rPr>
                      <w:rFonts w:hint="default" w:ascii="Times New Roman" w:hAnsi="Times New Roman" w:cs="Times New Roman"/>
                      <w:b w:val="0"/>
                      <w:bCs/>
                      <w:lang w:eastAsia="zh-CN"/>
                    </w:rPr>
                  </w:pPr>
                </w:p>
              </w:tc>
              <w:tc>
                <w:tcPr>
                  <w:tcW w:w="704" w:type="pct"/>
                  <w:noWrap w:val="0"/>
                  <w:vAlign w:val="center"/>
                </w:tcPr>
                <w:p w14:paraId="55B6BD93">
                  <w:pPr>
                    <w:jc w:val="center"/>
                    <w:rPr>
                      <w:rFonts w:hint="default" w:ascii="Times New Roman" w:hAnsi="Times New Roman" w:cs="Times New Roman"/>
                      <w:spacing w:val="-6"/>
                      <w:lang w:eastAsia="zh-CN"/>
                    </w:rPr>
                  </w:pPr>
                  <w:r>
                    <w:rPr>
                      <w:rFonts w:hint="default" w:ascii="Times New Roman" w:hAnsi="Times New Roman" w:cs="Times New Roman"/>
                      <w:bCs/>
                      <w:szCs w:val="21"/>
                      <w:lang w:eastAsia="zh-CN"/>
                    </w:rPr>
                    <w:t>臭气浓度</w:t>
                  </w:r>
                </w:p>
              </w:tc>
              <w:tc>
                <w:tcPr>
                  <w:tcW w:w="790" w:type="pct"/>
                  <w:noWrap w:val="0"/>
                  <w:vAlign w:val="center"/>
                </w:tcPr>
                <w:p w14:paraId="44836CA2">
                  <w:pPr>
                    <w:pStyle w:val="94"/>
                    <w:rPr>
                      <w:rFonts w:hint="default" w:ascii="Times New Roman" w:hAnsi="Times New Roman" w:cs="Times New Roman"/>
                    </w:rPr>
                  </w:pPr>
                  <w:r>
                    <w:rPr>
                      <w:rFonts w:hint="eastAsia" w:cs="Times New Roman"/>
                      <w:lang w:val="en-US" w:eastAsia="zh-CN"/>
                    </w:rPr>
                    <w:t>2</w:t>
                  </w:r>
                  <w:r>
                    <w:rPr>
                      <w:rFonts w:hint="default" w:ascii="Times New Roman" w:hAnsi="Times New Roman" w:cs="Times New Roman"/>
                      <w:lang w:val="en-US" w:eastAsia="zh-CN"/>
                    </w:rPr>
                    <w:t>000</w:t>
                  </w:r>
                </w:p>
              </w:tc>
              <w:tc>
                <w:tcPr>
                  <w:tcW w:w="518" w:type="pct"/>
                  <w:noWrap w:val="0"/>
                  <w:vAlign w:val="center"/>
                </w:tcPr>
                <w:p w14:paraId="45D17D96">
                  <w:pPr>
                    <w:jc w:val="center"/>
                    <w:rPr>
                      <w:rFonts w:hint="default" w:ascii="Times New Roman" w:hAnsi="Times New Roman" w:cs="Times New Roman"/>
                    </w:rPr>
                  </w:pPr>
                  <w:r>
                    <w:rPr>
                      <w:rFonts w:hint="default" w:ascii="Times New Roman" w:hAnsi="Times New Roman" w:cs="Times New Roman"/>
                      <w:lang w:val="en-US" w:eastAsia="zh-CN"/>
                    </w:rPr>
                    <w:t>无量纲</w:t>
                  </w:r>
                </w:p>
              </w:tc>
              <w:tc>
                <w:tcPr>
                  <w:tcW w:w="2293" w:type="pct"/>
                  <w:noWrap w:val="0"/>
                  <w:vAlign w:val="center"/>
                </w:tcPr>
                <w:p w14:paraId="04A7283A">
                  <w:pPr>
                    <w:jc w:val="center"/>
                    <w:rPr>
                      <w:rFonts w:hint="default" w:ascii="Times New Roman" w:hAnsi="Times New Roman" w:cs="Times New Roman"/>
                      <w:b w:val="0"/>
                      <w:bCs/>
                    </w:rPr>
                  </w:pPr>
                  <w:r>
                    <w:rPr>
                      <w:rFonts w:hint="default" w:ascii="Times New Roman" w:hAnsi="Times New Roman" w:cs="Times New Roman"/>
                      <w:b w:val="0"/>
                      <w:bCs/>
                      <w:lang w:val="en-US" w:eastAsia="zh-CN"/>
                    </w:rPr>
                    <w:t>《恶臭污染物排放标准》（GB14554-93）表2恶臭污染物排放标准值</w:t>
                  </w:r>
                </w:p>
              </w:tc>
            </w:tr>
            <w:tr w14:paraId="73EEF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2" w:type="pct"/>
                  <w:noWrap w:val="0"/>
                  <w:vAlign w:val="center"/>
                </w:tcPr>
                <w:p w14:paraId="1A083DAD">
                  <w:pPr>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有组织废气</w:t>
                  </w:r>
                  <w:r>
                    <w:rPr>
                      <w:rFonts w:hint="default" w:ascii="Times New Roman" w:hAnsi="Times New Roman" w:cs="Times New Roman"/>
                      <w:b w:val="0"/>
                      <w:bCs/>
                      <w:color w:val="auto"/>
                      <w:lang w:eastAsia="zh-CN"/>
                    </w:rPr>
                    <w:t>（</w:t>
                  </w:r>
                  <w:r>
                    <w:rPr>
                      <w:rFonts w:hint="default" w:ascii="Times New Roman" w:hAnsi="Times New Roman" w:cs="Times New Roman"/>
                      <w:b w:val="0"/>
                      <w:bCs/>
                      <w:color w:val="auto"/>
                      <w:lang w:val="en-US" w:eastAsia="zh-CN"/>
                    </w:rPr>
                    <w:t>DA00</w:t>
                  </w:r>
                  <w:r>
                    <w:rPr>
                      <w:rFonts w:hint="eastAsia" w:ascii="Times New Roman" w:hAnsi="Times New Roman" w:cs="Times New Roman"/>
                      <w:b w:val="0"/>
                      <w:bCs/>
                      <w:color w:val="auto"/>
                      <w:lang w:val="en-US" w:eastAsia="zh-CN"/>
                    </w:rPr>
                    <w:t>2</w:t>
                  </w:r>
                  <w:r>
                    <w:rPr>
                      <w:rFonts w:hint="default" w:ascii="Times New Roman" w:hAnsi="Times New Roman" w:cs="Times New Roman"/>
                      <w:b w:val="0"/>
                      <w:bCs/>
                      <w:color w:val="auto"/>
                      <w:lang w:eastAsia="zh-CN"/>
                    </w:rPr>
                    <w:t>）</w:t>
                  </w:r>
                </w:p>
              </w:tc>
              <w:tc>
                <w:tcPr>
                  <w:tcW w:w="704" w:type="pct"/>
                  <w:noWrap w:val="0"/>
                  <w:vAlign w:val="center"/>
                </w:tcPr>
                <w:p w14:paraId="05433DEF">
                  <w:pPr>
                    <w:jc w:val="center"/>
                    <w:rPr>
                      <w:rFonts w:hint="default" w:ascii="Times New Roman" w:hAnsi="Times New Roman" w:cs="Times New Roman"/>
                      <w:spacing w:val="-6"/>
                      <w:lang w:eastAsia="zh-CN"/>
                    </w:rPr>
                  </w:pPr>
                  <w:r>
                    <w:rPr>
                      <w:rFonts w:hint="default" w:ascii="Times New Roman" w:hAnsi="Times New Roman" w:cs="Times New Roman"/>
                      <w:spacing w:val="-6"/>
                      <w:lang w:eastAsia="zh-CN"/>
                    </w:rPr>
                    <w:t>颗粒物</w:t>
                  </w:r>
                </w:p>
              </w:tc>
              <w:tc>
                <w:tcPr>
                  <w:tcW w:w="790" w:type="pct"/>
                  <w:noWrap w:val="0"/>
                  <w:vAlign w:val="center"/>
                </w:tcPr>
                <w:p w14:paraId="30E3F601">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20</w:t>
                  </w:r>
                </w:p>
              </w:tc>
              <w:tc>
                <w:tcPr>
                  <w:tcW w:w="518" w:type="pct"/>
                  <w:noWrap w:val="0"/>
                  <w:vAlign w:val="center"/>
                </w:tcPr>
                <w:p w14:paraId="5B4CCFD7">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3" w:type="pct"/>
                  <w:noWrap w:val="0"/>
                  <w:vAlign w:val="center"/>
                </w:tcPr>
                <w:p w14:paraId="015B7F2F">
                  <w:pPr>
                    <w:jc w:val="center"/>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《合成树脂工业污染物排放标准》（GB31572-2015，含2024年修改单）中表5大气污染物特别排放标准限值</w:t>
                  </w:r>
                </w:p>
              </w:tc>
            </w:tr>
            <w:tr w14:paraId="6756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2" w:type="pct"/>
                  <w:vMerge w:val="restart"/>
                  <w:noWrap w:val="0"/>
                  <w:vAlign w:val="center"/>
                </w:tcPr>
                <w:p w14:paraId="4E2236A5">
                  <w:pPr>
                    <w:jc w:val="center"/>
                    <w:rPr>
                      <w:rFonts w:hint="default" w:ascii="Times New Roman" w:hAnsi="Times New Roman" w:cs="Times New Roman"/>
                      <w:highlight w:val="none"/>
                    </w:rPr>
                  </w:pPr>
                  <w:r>
                    <w:rPr>
                      <w:rFonts w:hint="default" w:ascii="Times New Roman" w:hAnsi="Times New Roman" w:cs="Times New Roman"/>
                      <w:highlight w:val="none"/>
                    </w:rPr>
                    <w:t>无组织废气</w:t>
                  </w:r>
                </w:p>
              </w:tc>
              <w:tc>
                <w:tcPr>
                  <w:tcW w:w="704" w:type="pct"/>
                  <w:noWrap w:val="0"/>
                  <w:vAlign w:val="center"/>
                </w:tcPr>
                <w:p w14:paraId="296C8E8A">
                  <w:pPr>
                    <w:jc w:val="center"/>
                    <w:rPr>
                      <w:rFonts w:hint="default" w:ascii="Times New Roman" w:hAnsi="Times New Roman" w:cs="Times New Roman"/>
                      <w:spacing w:val="-6"/>
                      <w:highlight w:val="none"/>
                    </w:rPr>
                  </w:pPr>
                  <w:r>
                    <w:rPr>
                      <w:rFonts w:hint="default" w:ascii="Times New Roman" w:hAnsi="Times New Roman" w:cs="Times New Roman"/>
                      <w:spacing w:val="-6"/>
                      <w:highlight w:val="none"/>
                      <w:lang w:eastAsia="zh-CN"/>
                    </w:rPr>
                    <w:t>颗粒物</w:t>
                  </w:r>
                </w:p>
              </w:tc>
              <w:tc>
                <w:tcPr>
                  <w:tcW w:w="790" w:type="pct"/>
                  <w:noWrap w:val="0"/>
                  <w:vAlign w:val="center"/>
                </w:tcPr>
                <w:p w14:paraId="416F1A50">
                  <w:pPr>
                    <w:jc w:val="center"/>
                    <w:rPr>
                      <w:rFonts w:hint="default" w:ascii="Times New Roman" w:hAnsi="Times New Roman" w:eastAsia="宋体" w:cs="Times New Roman"/>
                      <w:highlight w:val="none"/>
                      <w:lang w:eastAsia="zh-CN"/>
                    </w:rPr>
                  </w:pPr>
                  <w:r>
                    <w:rPr>
                      <w:rFonts w:hint="default" w:ascii="Times New Roman" w:hAnsi="Times New Roman" w:cs="Times New Roman"/>
                      <w:highlight w:val="none"/>
                    </w:rPr>
                    <w:t>≤</w:t>
                  </w:r>
                  <w:r>
                    <w:rPr>
                      <w:rFonts w:hint="default" w:ascii="Times New Roman" w:hAnsi="Times New Roman" w:cs="Times New Roman"/>
                      <w:highlight w:val="none"/>
                      <w:lang w:val="en-US" w:eastAsia="zh-CN"/>
                    </w:rPr>
                    <w:t>1</w:t>
                  </w:r>
                </w:p>
              </w:tc>
              <w:tc>
                <w:tcPr>
                  <w:tcW w:w="518" w:type="pct"/>
                  <w:noWrap w:val="0"/>
                  <w:vAlign w:val="center"/>
                </w:tcPr>
                <w:p w14:paraId="67BA0E6B">
                  <w:pPr>
                    <w:jc w:val="center"/>
                    <w:rPr>
                      <w:rFonts w:hint="default" w:ascii="Times New Roman" w:hAnsi="Times New Roman" w:cs="Times New Roman"/>
                      <w:highlight w:val="none"/>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3" w:type="pct"/>
                  <w:noWrap w:val="0"/>
                  <w:vAlign w:val="center"/>
                </w:tcPr>
                <w:p w14:paraId="12CC2764">
                  <w:pPr>
                    <w:jc w:val="center"/>
                    <w:rPr>
                      <w:rFonts w:hint="default" w:ascii="Times New Roman" w:hAnsi="Times New Roman" w:cs="Times New Roman"/>
                      <w:color w:val="auto"/>
                    </w:rPr>
                  </w:pPr>
                  <w:r>
                    <w:rPr>
                      <w:rFonts w:hint="default" w:ascii="Times New Roman" w:hAnsi="Times New Roman" w:cs="Times New Roman"/>
                      <w:b w:val="0"/>
                      <w:bCs/>
                      <w:color w:val="auto"/>
                      <w:lang w:val="en-US" w:eastAsia="zh-CN"/>
                    </w:rPr>
                    <w:t>《合成树脂工业污染物排放标准》（GB31572-2015，含2024年修改单）中</w:t>
                  </w:r>
                  <w:r>
                    <w:rPr>
                      <w:rFonts w:ascii="Times New Roman" w:hAnsi="Times New Roman" w:cs="Times New Roman"/>
                      <w:color w:val="auto"/>
                      <w:sz w:val="21"/>
                      <w:szCs w:val="21"/>
                    </w:rPr>
                    <w:t>表9企业边界大气污染物浓度限值</w:t>
                  </w:r>
                </w:p>
              </w:tc>
            </w:tr>
            <w:tr w14:paraId="4194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2" w:type="pct"/>
                  <w:vMerge w:val="continue"/>
                  <w:noWrap w:val="0"/>
                  <w:vAlign w:val="center"/>
                </w:tcPr>
                <w:p w14:paraId="04D665AC">
                  <w:pPr>
                    <w:jc w:val="center"/>
                    <w:rPr>
                      <w:rFonts w:hint="default" w:ascii="Times New Roman" w:hAnsi="Times New Roman" w:cs="Times New Roman"/>
                      <w:highlight w:val="none"/>
                    </w:rPr>
                  </w:pPr>
                </w:p>
              </w:tc>
              <w:tc>
                <w:tcPr>
                  <w:tcW w:w="1257" w:type="dxa"/>
                  <w:noWrap w:val="0"/>
                  <w:vAlign w:val="center"/>
                </w:tcPr>
                <w:p w14:paraId="074DBAAA">
                  <w:pPr>
                    <w:jc w:val="center"/>
                    <w:rPr>
                      <w:rFonts w:hint="default" w:ascii="Times New Roman" w:hAnsi="Times New Roman" w:cs="Times New Roman"/>
                      <w:spacing w:val="-6"/>
                      <w:highlight w:val="none"/>
                      <w:lang w:eastAsia="zh-CN"/>
                    </w:rPr>
                  </w:pPr>
                  <w:r>
                    <w:rPr>
                      <w:rFonts w:hint="default" w:ascii="Times New Roman" w:hAnsi="Times New Roman" w:cs="Times New Roman"/>
                      <w:highlight w:val="none"/>
                      <w:lang w:eastAsia="zh-CN"/>
                    </w:rPr>
                    <w:t>臭气浓度</w:t>
                  </w:r>
                </w:p>
              </w:tc>
              <w:tc>
                <w:tcPr>
                  <w:tcW w:w="1409" w:type="dxa"/>
                  <w:noWrap w:val="0"/>
                  <w:vAlign w:val="center"/>
                </w:tcPr>
                <w:p w14:paraId="39C91558">
                  <w:pPr>
                    <w:widowControl w:val="0"/>
                    <w:autoSpaceDE w:val="0"/>
                    <w:autoSpaceDN w:val="0"/>
                    <w:spacing w:after="0"/>
                    <w:jc w:val="center"/>
                    <w:rPr>
                      <w:rFonts w:hint="default" w:ascii="Times New Roman" w:hAnsi="Times New Roman" w:cs="Times New Roman"/>
                      <w:highlight w:val="none"/>
                    </w:rPr>
                  </w:pPr>
                  <w:r>
                    <w:rPr>
                      <w:rFonts w:hint="default" w:ascii="Times New Roman" w:hAnsi="Times New Roman" w:cs="Times New Roman"/>
                      <w:highlight w:val="none"/>
                    </w:rPr>
                    <w:t>≤</w:t>
                  </w:r>
                  <w:r>
                    <w:rPr>
                      <w:rFonts w:hint="default" w:ascii="Times New Roman" w:hAnsi="Times New Roman" w:eastAsia="宋体" w:cs="Times New Roman"/>
                      <w:color w:val="auto"/>
                      <w:sz w:val="21"/>
                      <w:szCs w:val="21"/>
                      <w:highlight w:val="none"/>
                    </w:rPr>
                    <w:t>20</w:t>
                  </w:r>
                </w:p>
              </w:tc>
              <w:tc>
                <w:tcPr>
                  <w:tcW w:w="924" w:type="dxa"/>
                  <w:noWrap w:val="0"/>
                  <w:vAlign w:val="center"/>
                </w:tcPr>
                <w:p w14:paraId="172BBA0C">
                  <w:pPr>
                    <w:jc w:val="center"/>
                    <w:rPr>
                      <w:rFonts w:hint="default" w:ascii="Times New Roman" w:hAnsi="Times New Roman" w:cs="Times New Roman"/>
                      <w:highlight w:val="none"/>
                    </w:rPr>
                  </w:pPr>
                  <w:r>
                    <w:rPr>
                      <w:rFonts w:hint="default" w:ascii="Times New Roman" w:hAnsi="Times New Roman" w:cs="Times New Roman"/>
                      <w:highlight w:val="none"/>
                      <w:lang w:eastAsia="zh-CN"/>
                    </w:rPr>
                    <w:t>无量纲</w:t>
                  </w:r>
                </w:p>
              </w:tc>
              <w:tc>
                <w:tcPr>
                  <w:tcW w:w="4090" w:type="dxa"/>
                  <w:noWrap w:val="0"/>
                  <w:vAlign w:val="center"/>
                </w:tcPr>
                <w:p w14:paraId="5323CEB0">
                  <w:pPr>
                    <w:jc w:val="center"/>
                    <w:rPr>
                      <w:rFonts w:hint="default" w:ascii="Times New Roman" w:hAnsi="Times New Roman" w:cs="Times New Roman"/>
                    </w:rPr>
                  </w:pPr>
                  <w:r>
                    <w:rPr>
                      <w:rFonts w:hint="default" w:ascii="Times New Roman" w:hAnsi="Times New Roman" w:cs="Times New Roman"/>
                      <w:spacing w:val="-4"/>
                      <w:lang w:val="en-US" w:eastAsia="zh-CN"/>
                    </w:rPr>
                    <w:t>《恶臭污染物排放标准》（GB14554-93）表1恶臭污染物厂界二级新扩改建标准限值</w:t>
                  </w:r>
                </w:p>
              </w:tc>
            </w:tr>
            <w:tr w14:paraId="28A3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2" w:type="pct"/>
                  <w:vMerge w:val="continue"/>
                  <w:noWrap w:val="0"/>
                  <w:vAlign w:val="center"/>
                </w:tcPr>
                <w:p w14:paraId="01D203AB">
                  <w:pPr>
                    <w:jc w:val="center"/>
                    <w:rPr>
                      <w:rFonts w:hint="default" w:ascii="Times New Roman" w:hAnsi="Times New Roman" w:cs="Times New Roman"/>
                      <w:highlight w:val="none"/>
                    </w:rPr>
                  </w:pPr>
                </w:p>
              </w:tc>
              <w:tc>
                <w:tcPr>
                  <w:tcW w:w="704" w:type="pct"/>
                  <w:vMerge w:val="restart"/>
                  <w:noWrap w:val="0"/>
                  <w:vAlign w:val="center"/>
                </w:tcPr>
                <w:p w14:paraId="4D0AF473">
                  <w:pPr>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非甲烷总烃</w:t>
                  </w:r>
                </w:p>
              </w:tc>
              <w:tc>
                <w:tcPr>
                  <w:tcW w:w="790" w:type="pct"/>
                  <w:noWrap w:val="0"/>
                  <w:vAlign w:val="center"/>
                </w:tcPr>
                <w:p w14:paraId="367CCA3C">
                  <w:pPr>
                    <w:jc w:val="center"/>
                    <w:rPr>
                      <w:rFonts w:hint="default" w:ascii="Times New Roman" w:hAnsi="Times New Roman" w:cs="Times New Roman"/>
                      <w:highlight w:val="none"/>
                    </w:rPr>
                  </w:pPr>
                  <w:r>
                    <w:rPr>
                      <w:rFonts w:hint="default" w:ascii="Times New Roman" w:hAnsi="Times New Roman" w:cs="Times New Roman"/>
                      <w:highlight w:val="none"/>
                    </w:rPr>
                    <w:t>≤</w:t>
                  </w:r>
                  <w:r>
                    <w:rPr>
                      <w:rFonts w:hint="default" w:ascii="Times New Roman" w:hAnsi="Times New Roman" w:cs="Times New Roman"/>
                      <w:highlight w:val="none"/>
                      <w:lang w:val="en-US" w:eastAsia="zh-CN"/>
                    </w:rPr>
                    <w:t>2</w:t>
                  </w:r>
                </w:p>
              </w:tc>
              <w:tc>
                <w:tcPr>
                  <w:tcW w:w="518" w:type="pct"/>
                  <w:noWrap w:val="0"/>
                  <w:vAlign w:val="center"/>
                </w:tcPr>
                <w:p w14:paraId="5B52DF21">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3" w:type="pct"/>
                  <w:noWrap w:val="0"/>
                  <w:vAlign w:val="center"/>
                </w:tcPr>
                <w:p w14:paraId="533DC6F0">
                  <w:pPr>
                    <w:jc w:val="center"/>
                    <w:rPr>
                      <w:rFonts w:hint="default" w:ascii="Times New Roman" w:hAnsi="Times New Roman" w:cs="Times New Roman"/>
                      <w:spacing w:val="-4"/>
                    </w:rPr>
                  </w:pPr>
                  <w:r>
                    <w:rPr>
                      <w:rFonts w:hint="default" w:ascii="Times New Roman" w:hAnsi="Times New Roman" w:eastAsia="宋体" w:cs="Times New Roman"/>
                      <w:color w:val="auto"/>
                      <w:sz w:val="21"/>
                      <w:szCs w:val="21"/>
                      <w:lang w:val="en-US" w:eastAsia="zh-CN"/>
                    </w:rPr>
                    <w:t>《工业企业挥发性有机物排放控制标准》（DB13/2322-2016）表2其他企业标准限值</w:t>
                  </w:r>
                </w:p>
              </w:tc>
            </w:tr>
            <w:tr w14:paraId="2B2B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2" w:type="pct"/>
                  <w:vMerge w:val="continue"/>
                  <w:noWrap w:val="0"/>
                  <w:vAlign w:val="center"/>
                </w:tcPr>
                <w:p w14:paraId="3BE38376">
                  <w:pPr>
                    <w:jc w:val="center"/>
                    <w:rPr>
                      <w:rFonts w:hint="default" w:ascii="Times New Roman" w:hAnsi="Times New Roman" w:cs="Times New Roman"/>
                      <w:highlight w:val="none"/>
                    </w:rPr>
                  </w:pPr>
                </w:p>
              </w:tc>
              <w:tc>
                <w:tcPr>
                  <w:tcW w:w="704" w:type="pct"/>
                  <w:vMerge w:val="continue"/>
                  <w:noWrap w:val="0"/>
                  <w:vAlign w:val="center"/>
                </w:tcPr>
                <w:p w14:paraId="3D48F5DF">
                  <w:pPr>
                    <w:jc w:val="center"/>
                    <w:rPr>
                      <w:rFonts w:hint="default" w:ascii="Times New Roman" w:hAnsi="Times New Roman" w:eastAsia="宋体" w:cs="Times New Roman"/>
                      <w:color w:val="auto"/>
                      <w:kern w:val="2"/>
                      <w:sz w:val="21"/>
                      <w:szCs w:val="21"/>
                      <w:highlight w:val="none"/>
                    </w:rPr>
                  </w:pPr>
                </w:p>
              </w:tc>
              <w:tc>
                <w:tcPr>
                  <w:tcW w:w="790" w:type="pct"/>
                  <w:noWrap w:val="0"/>
                  <w:vAlign w:val="center"/>
                </w:tcPr>
                <w:p w14:paraId="46CFC589">
                  <w:pPr>
                    <w:jc w:val="center"/>
                    <w:rPr>
                      <w:rFonts w:hint="default" w:ascii="Times New Roman" w:hAnsi="Times New Roman" w:cs="Times New Roman"/>
                      <w:highlight w:val="none"/>
                    </w:rPr>
                  </w:pPr>
                  <w:r>
                    <w:rPr>
                      <w:rFonts w:hint="default" w:ascii="Times New Roman" w:hAnsi="Times New Roman" w:cs="Times New Roman"/>
                      <w:color w:val="auto"/>
                      <w:kern w:val="0"/>
                      <w:szCs w:val="21"/>
                      <w:highlight w:val="none"/>
                    </w:rPr>
                    <w:t>车间或设备边界浓度限值≤4.0</w:t>
                  </w:r>
                </w:p>
              </w:tc>
              <w:tc>
                <w:tcPr>
                  <w:tcW w:w="518" w:type="pct"/>
                  <w:noWrap w:val="0"/>
                  <w:vAlign w:val="center"/>
                </w:tcPr>
                <w:p w14:paraId="6F29356D">
                  <w:pPr>
                    <w:jc w:val="center"/>
                    <w:rPr>
                      <w:rFonts w:hint="default" w:ascii="Times New Roman" w:hAnsi="Times New Roman" w:cs="Times New Roman"/>
                      <w:highlight w:val="none"/>
                    </w:rPr>
                  </w:pPr>
                  <w:r>
                    <w:rPr>
                      <w:rFonts w:hint="default" w:ascii="Times New Roman" w:hAnsi="Times New Roman" w:cs="Times New Roman"/>
                      <w:color w:val="auto"/>
                      <w:kern w:val="0"/>
                      <w:szCs w:val="21"/>
                      <w:highlight w:val="none"/>
                    </w:rPr>
                    <w:t>mg/m</w:t>
                  </w:r>
                  <w:r>
                    <w:rPr>
                      <w:rFonts w:hint="default" w:ascii="Times New Roman" w:hAnsi="Times New Roman" w:cs="Times New Roman"/>
                      <w:color w:val="auto"/>
                      <w:kern w:val="0"/>
                      <w:szCs w:val="21"/>
                      <w:highlight w:val="none"/>
                      <w:vertAlign w:val="superscript"/>
                    </w:rPr>
                    <w:t>3</w:t>
                  </w:r>
                </w:p>
              </w:tc>
              <w:tc>
                <w:tcPr>
                  <w:tcW w:w="2293" w:type="pct"/>
                  <w:noWrap w:val="0"/>
                  <w:vAlign w:val="center"/>
                </w:tcPr>
                <w:p w14:paraId="5616A4F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Cs w:val="21"/>
                    </w:rPr>
                    <w:t>《工业企业挥发性有机物排放控制标准》（DB13/2322-2016）</w:t>
                  </w:r>
                  <w:r>
                    <w:rPr>
                      <w:rFonts w:hint="default" w:ascii="Times New Roman" w:hAnsi="Times New Roman" w:cs="Times New Roman"/>
                      <w:color w:val="auto"/>
                      <w:kern w:val="0"/>
                      <w:szCs w:val="21"/>
                      <w:lang w:eastAsia="zh-CN"/>
                    </w:rPr>
                    <w:t>表3生产车间或生产设备边界大气污染物浓度限值</w:t>
                  </w:r>
                </w:p>
              </w:tc>
            </w:tr>
            <w:tr w14:paraId="6BF2F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2" w:type="pct"/>
                  <w:vMerge w:val="continue"/>
                  <w:noWrap w:val="0"/>
                  <w:vAlign w:val="center"/>
                </w:tcPr>
                <w:p w14:paraId="6D4F192C">
                  <w:pPr>
                    <w:jc w:val="center"/>
                    <w:rPr>
                      <w:rFonts w:hint="default" w:ascii="Times New Roman" w:hAnsi="Times New Roman" w:cs="Times New Roman"/>
                      <w:highlight w:val="none"/>
                    </w:rPr>
                  </w:pPr>
                </w:p>
              </w:tc>
              <w:tc>
                <w:tcPr>
                  <w:tcW w:w="704" w:type="pct"/>
                  <w:vMerge w:val="continue"/>
                  <w:noWrap w:val="0"/>
                  <w:vAlign w:val="center"/>
                </w:tcPr>
                <w:p w14:paraId="53DE3042">
                  <w:pPr>
                    <w:jc w:val="center"/>
                    <w:rPr>
                      <w:rFonts w:hint="default" w:ascii="Times New Roman" w:hAnsi="Times New Roman" w:cs="Times New Roman"/>
                      <w:highlight w:val="none"/>
                    </w:rPr>
                  </w:pPr>
                </w:p>
              </w:tc>
              <w:tc>
                <w:tcPr>
                  <w:tcW w:w="790" w:type="pct"/>
                  <w:noWrap w:val="0"/>
                  <w:vAlign w:val="center"/>
                </w:tcPr>
                <w:p w14:paraId="0310E9BB">
                  <w:pPr>
                    <w:widowControl w:val="0"/>
                    <w:autoSpaceDE w:val="0"/>
                    <w:autoSpaceDN w:val="0"/>
                    <w:spacing w:after="0"/>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highlight w:val="none"/>
                    </w:rPr>
                    <w:t>≤</w:t>
                  </w:r>
                  <w:r>
                    <w:rPr>
                      <w:rFonts w:hint="default" w:ascii="Times New Roman" w:hAnsi="Times New Roman" w:eastAsia="宋体" w:cs="Times New Roman"/>
                      <w:color w:val="auto"/>
                      <w:sz w:val="21"/>
                      <w:szCs w:val="21"/>
                      <w:highlight w:val="none"/>
                    </w:rPr>
                    <w:t>6</w:t>
                  </w:r>
                </w:p>
              </w:tc>
              <w:tc>
                <w:tcPr>
                  <w:tcW w:w="518" w:type="pct"/>
                  <w:noWrap w:val="0"/>
                  <w:vAlign w:val="center"/>
                </w:tcPr>
                <w:p w14:paraId="3597F3DE">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3" w:type="pct"/>
                  <w:vMerge w:val="restart"/>
                  <w:noWrap w:val="0"/>
                  <w:vAlign w:val="center"/>
                </w:tcPr>
                <w:p w14:paraId="22537145">
                  <w:pPr>
                    <w:jc w:val="center"/>
                    <w:rPr>
                      <w:rFonts w:hint="default" w:ascii="Times New Roman" w:hAnsi="Times New Roman" w:cs="Times New Roman"/>
                      <w:spacing w:val="-4"/>
                    </w:rPr>
                  </w:pPr>
                  <w:r>
                    <w:rPr>
                      <w:rFonts w:hint="default" w:ascii="Times New Roman" w:hAnsi="Times New Roman" w:eastAsia="宋体" w:cs="Times New Roman"/>
                      <w:color w:val="auto"/>
                      <w:sz w:val="21"/>
                      <w:szCs w:val="21"/>
                      <w:lang w:val="en-US" w:eastAsia="zh-CN"/>
                    </w:rPr>
                    <w:t>《挥发性有机物无组织排放控制标准》（GB37822-2019）附录A.1标准</w:t>
                  </w:r>
                </w:p>
              </w:tc>
            </w:tr>
            <w:tr w14:paraId="5F69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2" w:type="pct"/>
                  <w:vMerge w:val="continue"/>
                  <w:noWrap w:val="0"/>
                  <w:vAlign w:val="center"/>
                </w:tcPr>
                <w:p w14:paraId="01C40CAB">
                  <w:pPr>
                    <w:jc w:val="center"/>
                    <w:rPr>
                      <w:rFonts w:hint="default" w:ascii="Times New Roman" w:hAnsi="Times New Roman" w:cs="Times New Roman"/>
                      <w:highlight w:val="none"/>
                    </w:rPr>
                  </w:pPr>
                </w:p>
              </w:tc>
              <w:tc>
                <w:tcPr>
                  <w:tcW w:w="704" w:type="pct"/>
                  <w:vMerge w:val="continue"/>
                  <w:noWrap w:val="0"/>
                  <w:vAlign w:val="center"/>
                </w:tcPr>
                <w:p w14:paraId="599C2C64">
                  <w:pPr>
                    <w:jc w:val="center"/>
                    <w:rPr>
                      <w:rFonts w:hint="default" w:ascii="Times New Roman" w:hAnsi="Times New Roman" w:cs="Times New Roman"/>
                      <w:highlight w:val="none"/>
                    </w:rPr>
                  </w:pPr>
                </w:p>
              </w:tc>
              <w:tc>
                <w:tcPr>
                  <w:tcW w:w="790" w:type="pct"/>
                  <w:noWrap w:val="0"/>
                  <w:vAlign w:val="center"/>
                </w:tcPr>
                <w:p w14:paraId="5C1D2FF7">
                  <w:pPr>
                    <w:widowControl w:val="0"/>
                    <w:autoSpaceDE w:val="0"/>
                    <w:autoSpaceDN w:val="0"/>
                    <w:spacing w:after="0"/>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highlight w:val="none"/>
                    </w:rPr>
                    <w:t>≤</w:t>
                  </w:r>
                  <w:r>
                    <w:rPr>
                      <w:rFonts w:hint="default" w:ascii="Times New Roman" w:hAnsi="Times New Roman" w:eastAsia="宋体" w:cs="Times New Roman"/>
                      <w:color w:val="auto"/>
                      <w:sz w:val="21"/>
                      <w:szCs w:val="21"/>
                      <w:highlight w:val="none"/>
                    </w:rPr>
                    <w:t>20</w:t>
                  </w:r>
                </w:p>
              </w:tc>
              <w:tc>
                <w:tcPr>
                  <w:tcW w:w="518" w:type="pct"/>
                  <w:noWrap w:val="0"/>
                  <w:vAlign w:val="center"/>
                </w:tcPr>
                <w:p w14:paraId="3BB5403D">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3" w:type="pct"/>
                  <w:vMerge w:val="continue"/>
                  <w:noWrap w:val="0"/>
                  <w:vAlign w:val="center"/>
                </w:tcPr>
                <w:p w14:paraId="5C5B6EFB">
                  <w:pPr>
                    <w:jc w:val="center"/>
                    <w:rPr>
                      <w:rFonts w:hint="default" w:ascii="Times New Roman" w:hAnsi="Times New Roman" w:cs="Times New Roman"/>
                      <w:spacing w:val="-4"/>
                    </w:rPr>
                  </w:pPr>
                </w:p>
              </w:tc>
            </w:tr>
            <w:tr w14:paraId="7D43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5000" w:type="pct"/>
                  <w:gridSpan w:val="5"/>
                  <w:noWrap w:val="0"/>
                  <w:vAlign w:val="center"/>
                </w:tcPr>
                <w:p w14:paraId="13971FC0">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注：该项目200m范围最高的建筑物不超</w:t>
                  </w:r>
                  <w:r>
                    <w:rPr>
                      <w:rFonts w:hint="default" w:ascii="Times New Roman" w:hAnsi="Times New Roman" w:eastAsia="宋体" w:cs="Times New Roman"/>
                      <w:b/>
                      <w:bCs/>
                      <w:color w:val="auto"/>
                      <w:szCs w:val="21"/>
                      <w:lang w:eastAsia="zh-CN"/>
                    </w:rPr>
                    <w:t>过</w:t>
                  </w:r>
                  <w:r>
                    <w:rPr>
                      <w:rFonts w:hint="default" w:ascii="Times New Roman" w:hAnsi="Times New Roman" w:eastAsia="宋体" w:cs="Times New Roman"/>
                      <w:b/>
                      <w:bCs/>
                      <w:color w:val="auto"/>
                      <w:szCs w:val="21"/>
                    </w:rPr>
                    <w:t>10m。</w:t>
                  </w:r>
                </w:p>
                <w:p w14:paraId="48F8102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①</w:t>
                  </w:r>
                  <w:r>
                    <w:rPr>
                      <w:rFonts w:hint="default" w:ascii="Times New Roman" w:hAnsi="Times New Roman" w:eastAsia="宋体" w:cs="Times New Roman"/>
                      <w:color w:val="auto"/>
                      <w:szCs w:val="21"/>
                      <w:lang w:eastAsia="zh-CN"/>
                    </w:rPr>
                    <w:t>《合成树脂工业污染物排放标准》（GB31572-2015，含2024年修改单）“</w:t>
                  </w:r>
                  <w:r>
                    <w:rPr>
                      <w:rFonts w:hint="default" w:ascii="Times New Roman" w:hAnsi="Times New Roman" w:eastAsia="宋体" w:cs="Times New Roman"/>
                      <w:color w:val="auto"/>
                      <w:szCs w:val="21"/>
                    </w:rPr>
                    <w:t>5.4.2废气收集系统与处理装置应符合相关安全技术要求。排气筒高度不低于15m(因安全考虑或有特殊工艺要求的，以及装置区污水池处理设施除外)</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具体高度以及与周围建筑物的相对高度关系应根据环境影响评价文件确定</w:t>
                  </w:r>
                  <w:r>
                    <w:rPr>
                      <w:rFonts w:hint="default"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本项目排气筒设计高度为15m，满足该标准高度要求</w:t>
                  </w:r>
                  <w:r>
                    <w:rPr>
                      <w:rFonts w:hint="eastAsia" w:ascii="Times New Roman" w:hAnsi="Times New Roman" w:eastAsia="宋体" w:cs="Times New Roman"/>
                      <w:color w:val="auto"/>
                      <w:szCs w:val="21"/>
                      <w:lang w:eastAsia="zh-CN"/>
                    </w:rPr>
                    <w:t>。</w:t>
                  </w:r>
                </w:p>
                <w:p w14:paraId="632A710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pacing w:val="-4"/>
                    </w:rPr>
                  </w:pPr>
                  <w:r>
                    <w:rPr>
                      <w:rFonts w:hint="default" w:ascii="Times New Roman" w:hAnsi="Times New Roman" w:eastAsia="宋体" w:cs="Times New Roman"/>
                      <w:color w:val="auto"/>
                      <w:sz w:val="21"/>
                      <w:szCs w:val="21"/>
                    </w:rPr>
                    <w:t>②</w:t>
                  </w:r>
                  <w:r>
                    <w:rPr>
                      <w:rFonts w:hint="default" w:ascii="Times New Roman" w:hAnsi="Times New Roman" w:eastAsia="宋体" w:cs="Times New Roman"/>
                      <w:color w:val="auto"/>
                      <w:szCs w:val="21"/>
                    </w:rPr>
                    <w:t>按《工业企业挥发性有机物排放控制标准》（DB13/2322-2016）“4.1.7企业排气筒高度一般不应低于15m，排气筒高度应高出200m半径范围内建筑5m以上，高度达不到规定时，按排放限值的50%执行”，本项目排气筒设计高度为15m，满足该标准高度要求。</w:t>
                  </w:r>
                </w:p>
              </w:tc>
            </w:tr>
          </w:tbl>
          <w:p w14:paraId="7B7752AA">
            <w:pPr>
              <w:adjustRightInd w:val="0"/>
              <w:snapToGrid w:val="0"/>
              <w:spacing w:line="360" w:lineRule="auto"/>
              <w:ind w:firstLine="482" w:firstLineChars="200"/>
              <w:rPr>
                <w:rFonts w:hint="eastAsia" w:ascii="Times New Roman" w:hAnsi="Times New Roman" w:eastAsia="宋体" w:cs="Times New Roman"/>
                <w:b/>
                <w:color w:val="000000" w:themeColor="text1"/>
                <w:sz w:val="24"/>
                <w:lang w:val="en-US" w:eastAsia="zh-CN"/>
                <w14:textFill>
                  <w14:solidFill>
                    <w14:schemeClr w14:val="tx1"/>
                  </w14:solidFill>
                </w14:textFill>
              </w:rPr>
            </w:pPr>
          </w:p>
          <w:p w14:paraId="050FA6CF">
            <w:pPr>
              <w:adjustRightInd w:val="0"/>
              <w:snapToGrid w:val="0"/>
              <w:spacing w:line="360" w:lineRule="auto"/>
              <w:ind w:firstLine="482"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2</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噪声污染排放标准</w:t>
            </w:r>
          </w:p>
          <w:p w14:paraId="627FBA11">
            <w:pPr>
              <w:adjustRightInd w:val="0"/>
              <w:snapToGrid w:val="0"/>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000000" w:themeColor="text1"/>
                <w:sz w:val="24"/>
                <w14:textFill>
                  <w14:solidFill>
                    <w14:schemeClr w14:val="tx1"/>
                  </w14:solidFill>
                </w14:textFill>
              </w:rPr>
              <w:t>项目营运期厂界噪声执行《工业企业厂界环境噪声排放标准》（GB12348-2008）中的</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类</w:t>
            </w:r>
            <w:r>
              <w:rPr>
                <w:rFonts w:ascii="Times New Roman" w:hAnsi="Times New Roman" w:eastAsia="宋体" w:cs="Times New Roman"/>
                <w:color w:val="auto"/>
                <w:sz w:val="24"/>
              </w:rPr>
              <w:t>标准值</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具体标准值见</w:t>
            </w:r>
            <w:r>
              <w:rPr>
                <w:rFonts w:hint="eastAsia" w:ascii="Times New Roman" w:hAnsi="Times New Roman" w:eastAsia="宋体" w:cs="Times New Roman"/>
                <w:color w:val="auto"/>
                <w:sz w:val="24"/>
              </w:rPr>
              <w:t>下</w:t>
            </w:r>
            <w:r>
              <w:rPr>
                <w:rFonts w:ascii="Times New Roman" w:hAnsi="Times New Roman" w:eastAsia="宋体" w:cs="Times New Roman"/>
                <w:color w:val="auto"/>
                <w:sz w:val="24"/>
              </w:rPr>
              <w:t>表。</w:t>
            </w:r>
          </w:p>
          <w:p w14:paraId="38BFC638">
            <w:pPr>
              <w:adjustRightInd w:val="0"/>
              <w:snapToGrid w:val="0"/>
              <w:spacing w:line="440" w:lineRule="exact"/>
              <w:jc w:val="center"/>
              <w:rPr>
                <w:rFonts w:ascii="Times New Roman" w:hAnsi="Times New Roman" w:eastAsia="宋体" w:cs="Times New Roman"/>
                <w:b/>
                <w:bCs/>
                <w:color w:val="000000" w:themeColor="text1"/>
                <w:sz w:val="24"/>
                <w14:textFill>
                  <w14:solidFill>
                    <w14:schemeClr w14:val="tx1"/>
                  </w14:solidFill>
                </w14:textFill>
              </w:rPr>
            </w:pPr>
          </w:p>
          <w:p w14:paraId="53A1C982">
            <w:pPr>
              <w:adjustRightInd w:val="0"/>
              <w:snapToGrid w:val="0"/>
              <w:spacing w:line="440" w:lineRule="exact"/>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表3-</w:t>
            </w:r>
            <w:r>
              <w:rPr>
                <w:rFonts w:hint="eastAsia" w:ascii="Times New Roman" w:hAnsi="Times New Roman" w:eastAsia="宋体" w:cs="Times New Roman"/>
                <w:b/>
                <w:bCs/>
                <w:color w:val="000000" w:themeColor="text1"/>
                <w:sz w:val="24"/>
                <w:lang w:val="en-US" w:eastAsia="zh-CN"/>
                <w14:textFill>
                  <w14:solidFill>
                    <w14:schemeClr w14:val="tx1"/>
                  </w14:solidFill>
                </w14:textFill>
              </w:rPr>
              <w:t>9</w:t>
            </w:r>
            <w:r>
              <w:rPr>
                <w:rFonts w:ascii="Times New Roman" w:hAnsi="Times New Roman" w:eastAsia="宋体" w:cs="Times New Roman"/>
                <w:b/>
                <w:bCs/>
                <w:color w:val="000000" w:themeColor="text1"/>
                <w:sz w:val="24"/>
                <w14:textFill>
                  <w14:solidFill>
                    <w14:schemeClr w14:val="tx1"/>
                  </w14:solidFill>
                </w14:textFill>
              </w:rPr>
              <w:t xml:space="preserve">  项目厂界噪声标准值   单位：dB（A）</w:t>
            </w:r>
          </w:p>
          <w:tbl>
            <w:tblPr>
              <w:tblStyle w:val="37"/>
              <w:tblW w:w="8920"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753"/>
              <w:gridCol w:w="2193"/>
              <w:gridCol w:w="2489"/>
              <w:gridCol w:w="2485"/>
            </w:tblGrid>
            <w:tr w14:paraId="1D4CD62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15" w:hRule="atLeast"/>
                <w:jc w:val="center"/>
              </w:trPr>
              <w:tc>
                <w:tcPr>
                  <w:tcW w:w="1753" w:type="dxa"/>
                  <w:vAlign w:val="center"/>
                </w:tcPr>
                <w:p w14:paraId="1F5B3C64">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类别</w:t>
                  </w:r>
                </w:p>
              </w:tc>
              <w:tc>
                <w:tcPr>
                  <w:tcW w:w="2193" w:type="dxa"/>
                  <w:vAlign w:val="center"/>
                </w:tcPr>
                <w:p w14:paraId="1B61DE6D">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昼间</w:t>
                  </w:r>
                </w:p>
              </w:tc>
              <w:tc>
                <w:tcPr>
                  <w:tcW w:w="2489" w:type="dxa"/>
                  <w:vAlign w:val="center"/>
                </w:tcPr>
                <w:p w14:paraId="0E63C1E5">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夜间</w:t>
                  </w:r>
                </w:p>
              </w:tc>
              <w:tc>
                <w:tcPr>
                  <w:tcW w:w="2485" w:type="dxa"/>
                  <w:vAlign w:val="center"/>
                </w:tcPr>
                <w:p w14:paraId="60FAB4F7">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备注</w:t>
                  </w:r>
                </w:p>
              </w:tc>
            </w:tr>
            <w:tr w14:paraId="3F375F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67" w:hRule="atLeast"/>
                <w:jc w:val="center"/>
              </w:trPr>
              <w:tc>
                <w:tcPr>
                  <w:tcW w:w="1753" w:type="dxa"/>
                  <w:vAlign w:val="center"/>
                </w:tcPr>
                <w:p w14:paraId="01F4EFFB">
                  <w:pPr>
                    <w:snapToGrid w:val="0"/>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w:t>
                  </w:r>
                  <w:r>
                    <w:rPr>
                      <w:rFonts w:ascii="Times New Roman" w:hAnsi="Times New Roman" w:eastAsia="宋体" w:cs="Times New Roman"/>
                      <w:bCs/>
                      <w:color w:val="000000" w:themeColor="text1"/>
                      <w:szCs w:val="21"/>
                      <w14:textFill>
                        <w14:solidFill>
                          <w14:schemeClr w14:val="tx1"/>
                        </w14:solidFill>
                      </w14:textFill>
                    </w:rPr>
                    <w:t>类</w:t>
                  </w:r>
                </w:p>
              </w:tc>
              <w:tc>
                <w:tcPr>
                  <w:tcW w:w="2193" w:type="dxa"/>
                  <w:vAlign w:val="center"/>
                </w:tcPr>
                <w:p w14:paraId="04651021">
                  <w:pPr>
                    <w:snapToGrid w:val="0"/>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6</w:t>
                  </w: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2489" w:type="dxa"/>
                  <w:vAlign w:val="center"/>
                </w:tcPr>
                <w:p w14:paraId="237555F1">
                  <w:pPr>
                    <w:snapToGrid w:val="0"/>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5</w:t>
                  </w: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2485" w:type="dxa"/>
                  <w:vAlign w:val="center"/>
                </w:tcPr>
                <w:p w14:paraId="25A38943">
                  <w:pPr>
                    <w:snapToGrid w:val="0"/>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厂界</w:t>
                  </w:r>
                </w:p>
              </w:tc>
            </w:tr>
          </w:tbl>
          <w:p w14:paraId="46D3E022">
            <w:pPr>
              <w:spacing w:line="360" w:lineRule="auto"/>
              <w:ind w:firstLine="482" w:firstLineChars="200"/>
              <w:rPr>
                <w:rFonts w:ascii="Times New Roman" w:hAnsi="Times New Roman" w:cs="Times New Roman"/>
                <w:color w:val="000000" w:themeColor="text1"/>
                <w:szCs w:val="24"/>
                <w:highlight w:val="none"/>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固废污染控制标准</w:t>
            </w:r>
          </w:p>
          <w:p w14:paraId="099CCDB9">
            <w:p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1</w:t>
            </w:r>
            <w:r>
              <w:rPr>
                <w:rFonts w:hint="default" w:ascii="Times New Roman" w:hAnsi="Times New Roman" w:eastAsia="宋体" w:cs="Times New Roman"/>
                <w:color w:val="000000" w:themeColor="text1"/>
                <w:kern w:val="0"/>
                <w:sz w:val="24"/>
                <w:lang w:eastAsia="zh-CN"/>
                <w14:textFill>
                  <w14:solidFill>
                    <w14:schemeClr w14:val="tx1"/>
                  </w14:solidFill>
                </w14:textFill>
              </w:rPr>
              <w:t>）一般工业固废厂区暂存及管理执行《一般工业固体废物贮存和填埋污染控制标准》（GB18599-2020）及《中华人民共和国固体废物污染环境防治法》（2020年4月29日修订）第三章工业固体废物第四十条规定。</w:t>
            </w:r>
          </w:p>
          <w:p w14:paraId="0122C2A7">
            <w:p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eastAsia="zh-CN"/>
                <w14:textFill>
                  <w14:solidFill>
                    <w14:schemeClr w14:val="tx1"/>
                  </w14:solidFill>
                </w14:textFill>
              </w:rPr>
              <w:t>）生活垃圾处置执行《中华人民共和国固体废物污染环境防治法》(2020.9.1)</w:t>
            </w:r>
          </w:p>
          <w:p w14:paraId="0108AB53">
            <w:pPr>
              <w:spacing w:line="360" w:lineRule="auto"/>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中相关规定。</w:t>
            </w:r>
          </w:p>
          <w:p w14:paraId="29D67586">
            <w:pPr>
              <w:numPr>
                <w:ilvl w:val="0"/>
                <w:numId w:val="5"/>
              </w:num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危险废物执行《危险废物贮存污染控制标准》（GB18597-20</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23</w:t>
            </w:r>
            <w:r>
              <w:rPr>
                <w:rFonts w:hint="default" w:ascii="Times New Roman" w:hAnsi="Times New Roman" w:eastAsia="宋体" w:cs="Times New Roman"/>
                <w:color w:val="000000" w:themeColor="text1"/>
                <w:kern w:val="0"/>
                <w:sz w:val="24"/>
                <w:lang w:eastAsia="zh-CN"/>
                <w14:textFill>
                  <w14:solidFill>
                    <w14:schemeClr w14:val="tx1"/>
                  </w14:solidFill>
                </w14:textFill>
              </w:rPr>
              <w:t>）以及《中华人民共和国固体废物污染环境防治法》(2020修正)“第六章 危险废物”之规定。</w:t>
            </w:r>
          </w:p>
          <w:p w14:paraId="519CB220">
            <w:pPr>
              <w:widowControl w:val="0"/>
              <w:numPr>
                <w:ilvl w:val="0"/>
                <w:numId w:val="0"/>
              </w:numPr>
              <w:spacing w:line="360" w:lineRule="auto"/>
              <w:jc w:val="both"/>
              <w:rPr>
                <w:rFonts w:hint="default" w:ascii="Times New Roman" w:hAnsi="Times New Roman" w:eastAsia="宋体" w:cs="Times New Roman"/>
                <w:color w:val="000000" w:themeColor="text1"/>
                <w:kern w:val="0"/>
                <w:sz w:val="24"/>
                <w:lang w:eastAsia="zh-CN"/>
                <w14:textFill>
                  <w14:solidFill>
                    <w14:schemeClr w14:val="tx1"/>
                  </w14:solidFill>
                </w14:textFill>
              </w:rPr>
            </w:pPr>
          </w:p>
          <w:p w14:paraId="6466C05C">
            <w:pPr>
              <w:widowControl w:val="0"/>
              <w:numPr>
                <w:ilvl w:val="0"/>
                <w:numId w:val="0"/>
              </w:numPr>
              <w:spacing w:line="360" w:lineRule="auto"/>
              <w:jc w:val="both"/>
              <w:rPr>
                <w:rFonts w:hint="default" w:ascii="Times New Roman" w:hAnsi="Times New Roman" w:eastAsia="宋体" w:cs="Times New Roman"/>
                <w:color w:val="000000" w:themeColor="text1"/>
                <w:kern w:val="0"/>
                <w:sz w:val="24"/>
                <w:lang w:eastAsia="zh-CN"/>
                <w14:textFill>
                  <w14:solidFill>
                    <w14:schemeClr w14:val="tx1"/>
                  </w14:solidFill>
                </w14:textFill>
              </w:rPr>
            </w:pPr>
          </w:p>
          <w:p w14:paraId="3CB66123">
            <w:pPr>
              <w:widowControl w:val="0"/>
              <w:numPr>
                <w:ilvl w:val="0"/>
                <w:numId w:val="0"/>
              </w:numPr>
              <w:spacing w:line="360" w:lineRule="auto"/>
              <w:jc w:val="both"/>
              <w:rPr>
                <w:rFonts w:hint="default" w:ascii="Times New Roman" w:hAnsi="Times New Roman" w:eastAsia="宋体" w:cs="Times New Roman"/>
                <w:color w:val="000000" w:themeColor="text1"/>
                <w:kern w:val="0"/>
                <w:sz w:val="24"/>
                <w:lang w:eastAsia="zh-CN"/>
                <w14:textFill>
                  <w14:solidFill>
                    <w14:schemeClr w14:val="tx1"/>
                  </w14:solidFill>
                </w14:textFill>
              </w:rPr>
            </w:pPr>
          </w:p>
        </w:tc>
      </w:tr>
      <w:tr w14:paraId="3FDCA1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8" w:space="0"/>
              <w:right w:val="single" w:color="auto" w:sz="4" w:space="0"/>
            </w:tcBorders>
            <w:shd w:val="clear" w:color="auto" w:fill="auto"/>
            <w:vAlign w:val="center"/>
          </w:tcPr>
          <w:p w14:paraId="56644535">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总量</w:t>
            </w:r>
          </w:p>
          <w:p w14:paraId="72FC62D0">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控制</w:t>
            </w:r>
          </w:p>
          <w:p w14:paraId="7E080D9A">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指标</w:t>
            </w:r>
          </w:p>
        </w:tc>
        <w:tc>
          <w:tcPr>
            <w:tcW w:w="9146" w:type="dxa"/>
            <w:tcBorders>
              <w:top w:val="single" w:color="auto" w:sz="4" w:space="0"/>
              <w:left w:val="single" w:color="auto" w:sz="4" w:space="0"/>
              <w:bottom w:val="single" w:color="auto" w:sz="8" w:space="0"/>
              <w:right w:val="single" w:color="auto" w:sz="8" w:space="0"/>
            </w:tcBorders>
            <w:shd w:val="clear" w:color="auto" w:fill="auto"/>
            <w:vAlign w:val="center"/>
          </w:tcPr>
          <w:p w14:paraId="7D3272DF">
            <w:pPr>
              <w:pStyle w:val="4"/>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根据《关于进一步改革和优化建设项目主要污染物排放总量核定工作的通知》冀环总[2014]283号文和《建设项目主要污染物排放总量指标审核及管理暂行办法》的通知（环发</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2014</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197号）规定，本次评价建议以污染物标准核算量作为建设项目核定污染物总量控制指标，总量控制因子为SO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eastAsia="宋体" w:cs="Times New Roman"/>
                <w:color w:val="000000" w:themeColor="text1"/>
                <w:sz w:val="24"/>
                <w:szCs w:val="24"/>
                <w:highlight w:val="none"/>
                <w14:textFill>
                  <w14:solidFill>
                    <w14:schemeClr w14:val="tx1"/>
                  </w14:solidFill>
                </w14:textFill>
              </w:rPr>
              <w:t>、COD、氨氮。</w:t>
            </w:r>
          </w:p>
          <w:p w14:paraId="5DB2F032">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废水</w:t>
            </w:r>
          </w:p>
          <w:p w14:paraId="72D2098B">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color w:val="auto"/>
                <w:highlight w:val="none"/>
                <w:lang w:val="en-US" w:eastAsia="zh-CN"/>
              </w:rPr>
              <w:t>本项目</w:t>
            </w:r>
            <w:r>
              <w:rPr>
                <w:rFonts w:hint="eastAsia" w:ascii="Times New Roman" w:hAnsi="Times New Roman" w:cs="Times New Roman"/>
                <w:bCs/>
                <w:color w:val="auto"/>
                <w:szCs w:val="21"/>
                <w:highlight w:val="none"/>
                <w:lang w:eastAsia="zh-CN"/>
              </w:rPr>
              <w:t>不涉及</w:t>
            </w:r>
            <w:r>
              <w:rPr>
                <w:rFonts w:hint="default" w:ascii="Times New Roman" w:hAnsi="Times New Roman" w:eastAsia="宋体" w:cs="Times New Roman"/>
                <w:color w:val="auto"/>
                <w:sz w:val="24"/>
                <w:szCs w:val="24"/>
                <w:highlight w:val="none"/>
              </w:rPr>
              <w:t>COD、氨氮</w:t>
            </w:r>
            <w:r>
              <w:rPr>
                <w:rFonts w:hint="eastAsia" w:ascii="Times New Roman" w:hAnsi="Times New Roman" w:eastAsia="宋体" w:cs="Times New Roman"/>
                <w:color w:val="auto"/>
                <w:sz w:val="24"/>
                <w:szCs w:val="24"/>
                <w:highlight w:val="none"/>
                <w:lang w:eastAsia="zh-CN"/>
              </w:rPr>
              <w:t>的排放</w:t>
            </w:r>
            <w:r>
              <w:rPr>
                <w:rFonts w:hint="eastAsia" w:ascii="Times New Roman" w:hAnsi="Times New Roman" w:cs="Times New Roman"/>
                <w:color w:val="auto"/>
                <w:highlight w:val="none"/>
                <w:lang w:val="en-US" w:eastAsia="zh-CN"/>
              </w:rPr>
              <w:t>。</w:t>
            </w:r>
          </w:p>
          <w:p w14:paraId="575B69E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废气</w:t>
            </w:r>
          </w:p>
          <w:p w14:paraId="6B9D7D4C">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本项目</w:t>
            </w:r>
            <w:r>
              <w:rPr>
                <w:rFonts w:hint="eastAsia" w:ascii="Times New Roman" w:hAnsi="Times New Roman" w:cs="Times New Roman"/>
                <w:bCs/>
                <w:color w:val="auto"/>
                <w:szCs w:val="21"/>
                <w:highlight w:val="none"/>
                <w:lang w:eastAsia="zh-CN"/>
              </w:rPr>
              <w:t>不涉及</w:t>
            </w:r>
            <w:r>
              <w:rPr>
                <w:rFonts w:hint="eastAsia" w:ascii="Times New Roman" w:hAnsi="Times New Roman" w:cs="Times New Roman"/>
                <w:color w:val="auto"/>
                <w:highlight w:val="none"/>
                <w:lang w:val="en-US" w:eastAsia="zh-CN"/>
              </w:rPr>
              <w:t>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、NO</w:t>
            </w:r>
            <w:r>
              <w:rPr>
                <w:rFonts w:hint="eastAsia" w:ascii="Times New Roman" w:hAnsi="Times New Roman" w:cs="Times New Roman"/>
                <w:color w:val="auto"/>
                <w:highlight w:val="none"/>
                <w:vertAlign w:val="subscript"/>
                <w:lang w:val="en-US" w:eastAsia="zh-CN"/>
              </w:rPr>
              <w:t>X</w:t>
            </w:r>
            <w:r>
              <w:rPr>
                <w:rFonts w:hint="eastAsia" w:ascii="Times New Roman" w:hAnsi="Times New Roman" w:eastAsia="宋体" w:cs="Times New Roman"/>
                <w:color w:val="auto"/>
                <w:sz w:val="24"/>
                <w:szCs w:val="24"/>
                <w:highlight w:val="none"/>
                <w:lang w:eastAsia="zh-CN"/>
              </w:rPr>
              <w:t>的排放。</w:t>
            </w:r>
          </w:p>
          <w:p w14:paraId="4F8E1C41">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VOCs总量按实际预测排放量核算为2.16t/a。</w:t>
            </w:r>
          </w:p>
          <w:p w14:paraId="76F38709">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综上，</w:t>
            </w:r>
            <w:r>
              <w:rPr>
                <w:rFonts w:hint="eastAsia" w:ascii="Times New Roman" w:hAnsi="Calibri" w:eastAsia="宋体" w:cs="宋体"/>
                <w:color w:val="auto"/>
                <w:kern w:val="2"/>
                <w:sz w:val="24"/>
                <w:szCs w:val="24"/>
                <w:highlight w:val="none"/>
                <w:lang w:val="en-US" w:eastAsia="zh-CN" w:bidi="ar-SA"/>
              </w:rPr>
              <w:t>建议</w:t>
            </w:r>
            <w:r>
              <w:rPr>
                <w:rFonts w:ascii="Times New Roman" w:hAnsi="Calibri" w:eastAsia="宋体" w:cs="宋体"/>
                <w:color w:val="auto"/>
                <w:kern w:val="2"/>
                <w:sz w:val="24"/>
                <w:szCs w:val="24"/>
                <w:highlight w:val="none"/>
                <w:lang w:val="en-US" w:eastAsia="zh-CN" w:bidi="ar-SA"/>
              </w:rPr>
              <w:t>本项目污染物排放总量控制指标为</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COD 0t/a、氨氮0t/a、</w:t>
            </w:r>
            <w:r>
              <w:rPr>
                <w:rFonts w:ascii="Times New Roman" w:hAnsi="Times New Roman" w:cs="Times New Roman"/>
                <w:color w:val="auto"/>
                <w:highlight w:val="none"/>
              </w:rPr>
              <w:t>SO</w:t>
            </w:r>
            <w:r>
              <w:rPr>
                <w:rFonts w:ascii="Times New Roman" w:hAnsi="Times New Roman" w:cs="Times New Roman"/>
                <w:color w:val="auto"/>
                <w:highlight w:val="none"/>
                <w:vertAlign w:val="subscript"/>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lang w:val="en-US" w:eastAsia="zh-CN"/>
              </w:rPr>
              <w:t>0</w:t>
            </w:r>
            <w:r>
              <w:rPr>
                <w:rFonts w:ascii="Times New Roman" w:hAnsi="Times New Roman" w:cs="Times New Roman"/>
                <w:color w:val="auto"/>
                <w:highlight w:val="none"/>
              </w:rPr>
              <w:t>t/a，NOx</w:t>
            </w:r>
            <w:r>
              <w:rPr>
                <w:rFonts w:hint="eastAsia" w:ascii="Times New Roman" w:hAnsi="Times New Roman" w:cs="Times New Roman"/>
                <w:color w:val="auto"/>
                <w:highlight w:val="none"/>
                <w:lang w:val="en-US" w:eastAsia="zh-CN"/>
              </w:rPr>
              <w:t>0</w:t>
            </w:r>
            <w:r>
              <w:rPr>
                <w:rFonts w:ascii="Times New Roman" w:hAnsi="Times New Roman" w:cs="Times New Roman"/>
                <w:color w:val="auto"/>
                <w:highlight w:val="none"/>
              </w:rPr>
              <w:t>t/a</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VOCs</w:t>
            </w:r>
            <w:r>
              <w:rPr>
                <w:rFonts w:hint="eastAsia" w:ascii="Times New Roman" w:hAnsi="Times New Roman" w:eastAsia="宋体" w:cs="Times New Roman"/>
                <w:color w:val="auto"/>
                <w:szCs w:val="21"/>
                <w:highlight w:val="none"/>
                <w:lang w:val="en-US" w:eastAsia="zh-CN"/>
              </w:rPr>
              <w:t>2.16</w:t>
            </w:r>
            <w:r>
              <w:rPr>
                <w:rFonts w:hint="eastAsia" w:ascii="Times New Roman" w:hAnsi="Times New Roman" w:cs="Times New Roman"/>
                <w:color w:val="auto"/>
                <w:highlight w:val="none"/>
                <w:lang w:val="en-US" w:eastAsia="zh-CN"/>
              </w:rPr>
              <w:t>t/a</w:t>
            </w:r>
            <w:r>
              <w:rPr>
                <w:rFonts w:hint="default" w:ascii="Times New Roman" w:hAnsi="Times New Roman" w:cs="Times New Roman"/>
                <w:color w:val="auto"/>
                <w:highlight w:val="none"/>
              </w:rPr>
              <w:t>。</w:t>
            </w:r>
          </w:p>
          <w:p w14:paraId="6E917057">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20" w:firstLineChars="200"/>
              <w:jc w:val="center"/>
              <w:textAlignment w:val="auto"/>
              <w:rPr>
                <w:rFonts w:hint="eastAsia" w:ascii="宋体" w:hAnsi="宋体" w:cs="宋体" w:eastAsiaTheme="minorEastAsia"/>
                <w:color w:val="auto"/>
                <w:szCs w:val="21"/>
                <w:lang w:eastAsia="zh-CN"/>
              </w:rPr>
            </w:pPr>
          </w:p>
        </w:tc>
      </w:tr>
    </w:tbl>
    <w:p w14:paraId="01ABE6CE">
      <w:pPr>
        <w:pStyle w:val="27"/>
        <w:numPr>
          <w:ilvl w:val="0"/>
          <w:numId w:val="6"/>
        </w:numPr>
        <w:spacing w:before="156" w:beforeLines="50" w:beforeAutospacing="0" w:after="156" w:afterLines="50" w:afterAutospacing="0"/>
        <w:jc w:val="center"/>
        <w:outlineLvl w:val="0"/>
        <w:rPr>
          <w:rFonts w:ascii="黑体" w:eastAsia="黑体" w:cs="黑体"/>
          <w:snapToGrid w:val="0"/>
          <w:color w:val="000000" w:themeColor="text1"/>
          <w:sz w:val="30"/>
          <w:szCs w:val="30"/>
          <w14:textFill>
            <w14:solidFill>
              <w14:schemeClr w14:val="tx1"/>
            </w14:solidFill>
          </w14:textFill>
        </w:rPr>
      </w:pPr>
      <w:r>
        <w:rPr>
          <w:rFonts w:ascii="黑体" w:eastAsia="黑体"/>
          <w:snapToGrid w:val="0"/>
          <w:color w:val="000000" w:themeColor="text1"/>
          <w:sz w:val="36"/>
          <w:szCs w:val="36"/>
          <w:lang w:bidi="ar"/>
          <w14:textFill>
            <w14:solidFill>
              <w14:schemeClr w14:val="tx1"/>
            </w14:solidFill>
          </w14:textFill>
        </w:rPr>
        <w:br w:type="page"/>
      </w:r>
      <w:r>
        <w:rPr>
          <w:rFonts w:ascii="黑体" w:eastAsia="黑体" w:cs="黑体"/>
          <w:snapToGrid w:val="0"/>
          <w:color w:val="000000" w:themeColor="text1"/>
          <w:sz w:val="30"/>
          <w:szCs w:val="30"/>
          <w:highlight w:val="none"/>
          <w14:textFill>
            <w14:solidFill>
              <w14:schemeClr w14:val="tx1"/>
            </w14:solidFill>
          </w14:textFill>
        </w:rPr>
        <w:t>主要环境影响和保护措施</w:t>
      </w: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
        <w:gridCol w:w="8694"/>
      </w:tblGrid>
      <w:tr w14:paraId="778C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295" w:type="dxa"/>
            <w:shd w:val="clear" w:color="auto" w:fill="auto"/>
            <w:tcMar>
              <w:left w:w="28" w:type="dxa"/>
              <w:right w:w="28" w:type="dxa"/>
            </w:tcMar>
            <w:vAlign w:val="center"/>
          </w:tcPr>
          <w:p w14:paraId="106A0F92">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施工</w:t>
            </w:r>
          </w:p>
          <w:p w14:paraId="20908857">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期环</w:t>
            </w:r>
          </w:p>
          <w:p w14:paraId="58157664">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境保</w:t>
            </w:r>
          </w:p>
          <w:p w14:paraId="1B3658FB">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护措</w:t>
            </w:r>
          </w:p>
          <w:p w14:paraId="4B7DF918">
            <w:pPr>
              <w:pStyle w:val="27"/>
              <w:adjustRightInd w:val="0"/>
              <w:snapToGrid w:val="0"/>
              <w:spacing w:beforeAutospacing="0" w:afterAutospacing="0"/>
              <w:jc w:val="center"/>
              <w:rPr>
                <w:rFonts w:hint="default" w:ascii="Times New Roman" w:hAnsi="Times New Roman"/>
                <w:bCs/>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施</w:t>
            </w:r>
          </w:p>
        </w:tc>
        <w:tc>
          <w:tcPr>
            <w:tcW w:w="8694" w:type="dxa"/>
            <w:shd w:val="clear" w:color="auto" w:fill="auto"/>
            <w:vAlign w:val="center"/>
          </w:tcPr>
          <w:p w14:paraId="5407BD60">
            <w:pPr>
              <w:pStyle w:val="83"/>
              <w:ind w:firstLine="480"/>
              <w:jc w:val="left"/>
              <w:rPr>
                <w:rFonts w:ascii="Times New Roman" w:hAnsi="Times New Roman" w:cs="Times New Roman"/>
              </w:rPr>
            </w:pPr>
            <w:r>
              <w:rPr>
                <w:rFonts w:ascii="Times New Roman" w:hAnsi="Times New Roman" w:cs="Times New Roman"/>
              </w:rPr>
              <w:t>本项目</w:t>
            </w:r>
            <w:r>
              <w:rPr>
                <w:rFonts w:hint="eastAsia" w:ascii="Times New Roman" w:hAnsi="Times New Roman" w:eastAsia="宋体" w:cs="Times New Roman"/>
                <w:sz w:val="24"/>
                <w:lang w:eastAsia="zh-CN"/>
              </w:rPr>
              <w:t>利用</w:t>
            </w:r>
            <w:r>
              <w:rPr>
                <w:rFonts w:hint="eastAsia" w:ascii="Times New Roman" w:hAnsi="Times New Roman" w:eastAsia="宋体" w:cs="Times New Roman"/>
                <w:sz w:val="24"/>
                <w:lang w:val="en-US" w:eastAsia="zh-CN"/>
              </w:rPr>
              <w:t>已建成闲置厂房</w:t>
            </w:r>
            <w:r>
              <w:rPr>
                <w:rFonts w:hint="eastAsia" w:ascii="Times New Roman" w:hAnsi="Times New Roman" w:cs="Times New Roman"/>
              </w:rPr>
              <w:t>进行建设，</w:t>
            </w:r>
            <w:r>
              <w:rPr>
                <w:rFonts w:ascii="Times New Roman" w:hAnsi="Times New Roman" w:cs="Times New Roman"/>
              </w:rPr>
              <w:t>无新增建（构）筑物，因此无土建及主体建筑建设阶段，施工期仅为设备安装及调试阶段，施工过程中无扬尘、施工废水及建筑垃圾等产生。</w:t>
            </w:r>
          </w:p>
          <w:p w14:paraId="2A1AAC5D">
            <w:pPr>
              <w:pStyle w:val="83"/>
              <w:ind w:firstLine="480"/>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rPr>
              <w:t>设备安装阶段声源数量少，强噪声源更少。主要噪声源包括电钻、吊车、切割机等。由于大多数声源的声功率级较低，噪声源强在70-90dB(A)，且多数作业均在室内进行。以建筑隔声15dB(A)计，采用点声源距离衰减模式计算其厂界噪声贡献值约为43dB(A)，满足《建筑施工场界环境噪声标准限值》（GB12523－2011）要求。经过距离衰减后，不会对周围声环境及环境保护目标产生明显影响。施工噪声影响为短期影响，施工结束后，区域声环境基本可以恢复至现状水平</w:t>
            </w:r>
            <w:r>
              <w:rPr>
                <w:rFonts w:hint="eastAsia" w:ascii="Times New Roman" w:hAnsi="Times New Roman" w:eastAsia="宋体" w:cs="Times New Roman"/>
                <w:kern w:val="2"/>
                <w:sz w:val="24"/>
                <w:szCs w:val="20"/>
                <w:lang w:val="en-US" w:eastAsia="zh-CN" w:bidi="ar-SA"/>
              </w:rPr>
              <w:t>。</w:t>
            </w:r>
          </w:p>
        </w:tc>
      </w:tr>
      <w:tr w14:paraId="77EB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9" w:hRule="atLeast"/>
          <w:jc w:val="center"/>
        </w:trPr>
        <w:tc>
          <w:tcPr>
            <w:tcW w:w="295" w:type="dxa"/>
            <w:shd w:val="clear" w:color="auto" w:fill="auto"/>
            <w:tcMar>
              <w:left w:w="28" w:type="dxa"/>
              <w:right w:w="28" w:type="dxa"/>
            </w:tcMar>
            <w:vAlign w:val="center"/>
          </w:tcPr>
          <w:p w14:paraId="447C7134">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运营</w:t>
            </w:r>
          </w:p>
          <w:p w14:paraId="057704F7">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期环</w:t>
            </w:r>
          </w:p>
          <w:p w14:paraId="16C26FB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境影</w:t>
            </w:r>
          </w:p>
          <w:p w14:paraId="58AEC83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响和</w:t>
            </w:r>
          </w:p>
          <w:p w14:paraId="6C9710E0">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保护</w:t>
            </w:r>
          </w:p>
          <w:p w14:paraId="5AADBFBA">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措施</w:t>
            </w:r>
          </w:p>
        </w:tc>
        <w:tc>
          <w:tcPr>
            <w:tcW w:w="8694" w:type="dxa"/>
            <w:shd w:val="clear" w:color="auto" w:fill="auto"/>
            <w:vAlign w:val="top"/>
          </w:tcPr>
          <w:p w14:paraId="46DE53CA">
            <w:pPr>
              <w:spacing w:line="360" w:lineRule="auto"/>
              <w:ind w:firstLine="602" w:firstLineChars="250"/>
              <w:jc w:val="both"/>
              <w:textAlignment w:val="baseline"/>
              <w:rPr>
                <w:b/>
                <w:bCs/>
                <w:color w:val="auto"/>
                <w:sz w:val="24"/>
                <w:highlight w:val="none"/>
              </w:rPr>
            </w:pPr>
            <w:r>
              <w:rPr>
                <w:rFonts w:hint="eastAsia"/>
                <w:b/>
                <w:bCs/>
                <w:color w:val="auto"/>
                <w:sz w:val="24"/>
                <w:highlight w:val="none"/>
              </w:rPr>
              <w:t>一</w:t>
            </w:r>
            <w:r>
              <w:rPr>
                <w:b/>
                <w:bCs/>
                <w:color w:val="auto"/>
                <w:sz w:val="24"/>
                <w:highlight w:val="none"/>
              </w:rPr>
              <w:t>、大气污染物影响分析</w:t>
            </w:r>
          </w:p>
          <w:p w14:paraId="45518E9F">
            <w:pPr>
              <w:spacing w:line="480" w:lineRule="exact"/>
              <w:ind w:firstLine="482" w:firstLineChars="200"/>
              <w:rPr>
                <w:rFonts w:ascii="Times New Roman" w:hAnsi="Times New Roman" w:eastAsia="宋体" w:cs="Times New Roman"/>
                <w:b/>
                <w:bCs/>
                <w:color w:val="000000" w:themeColor="text1"/>
                <w:sz w:val="24"/>
                <w:szCs w:val="22"/>
                <w:highlight w:val="none"/>
                <w14:textFill>
                  <w14:solidFill>
                    <w14:schemeClr w14:val="tx1"/>
                  </w14:solidFill>
                </w14:textFill>
              </w:rPr>
            </w:pPr>
            <w:r>
              <w:rPr>
                <w:rFonts w:hint="eastAsia" w:ascii="Times New Roman" w:hAnsi="Times New Roman" w:eastAsia="宋体" w:cs="Times New Roman"/>
                <w:b/>
                <w:bCs/>
                <w:color w:val="000000" w:themeColor="text1"/>
                <w:sz w:val="24"/>
                <w:szCs w:val="22"/>
                <w:highlight w:val="none"/>
                <w:lang w:val="en-US" w:eastAsia="zh-CN"/>
                <w14:textFill>
                  <w14:solidFill>
                    <w14:schemeClr w14:val="tx1"/>
                  </w14:solidFill>
                </w14:textFill>
              </w:rPr>
              <w:t>1、</w:t>
            </w:r>
            <w:r>
              <w:rPr>
                <w:rFonts w:hint="eastAsia" w:ascii="Times New Roman" w:hAnsi="Times New Roman" w:eastAsia="宋体" w:cs="Times New Roman"/>
                <w:b/>
                <w:bCs/>
                <w:color w:val="000000" w:themeColor="text1"/>
                <w:sz w:val="24"/>
                <w:szCs w:val="22"/>
                <w:highlight w:val="none"/>
                <w14:textFill>
                  <w14:solidFill>
                    <w14:schemeClr w14:val="tx1"/>
                  </w14:solidFill>
                </w14:textFill>
              </w:rPr>
              <w:t>废气治理措施</w:t>
            </w:r>
          </w:p>
          <w:p w14:paraId="6A72EB63">
            <w:pPr>
              <w:spacing w:line="480" w:lineRule="exact"/>
              <w:ind w:firstLine="480" w:firstLineChars="200"/>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t>注塑工序废气经集气罩（带软帘）收集后经“活性炭吸附/脱附+催化燃烧装置”（TA001）处理，处理后经15m高排气筒DA001排放；粉碎工序废气经集气罩（带软帘）收集后经布袋除尘器（TA002）处理，处理后经15m高排气筒DA002排放。</w:t>
            </w:r>
          </w:p>
          <w:p w14:paraId="6E8FAE55">
            <w:pPr>
              <w:adjustRightInd w:val="0"/>
              <w:snapToGrid w:val="0"/>
              <w:spacing w:line="360" w:lineRule="auto"/>
              <w:jc w:val="center"/>
              <w:rPr>
                <w:rFonts w:hint="eastAsia" w:ascii="Times New Roman" w:hAnsi="Times New Roman" w:eastAsia="宋体" w:cs="Times New Roman"/>
                <w:b/>
                <w:bCs/>
                <w:color w:val="000000" w:themeColor="text1"/>
                <w:sz w:val="24"/>
                <w:szCs w:val="24"/>
                <w:highlight w:val="yellow"/>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c">
                  <w:drawing>
                    <wp:anchor distT="0" distB="0" distL="114300" distR="114300" simplePos="0" relativeHeight="251666432" behindDoc="0" locked="0" layoutInCell="1" allowOverlap="1">
                      <wp:simplePos x="0" y="0"/>
                      <wp:positionH relativeFrom="column">
                        <wp:posOffset>74295</wp:posOffset>
                      </wp:positionH>
                      <wp:positionV relativeFrom="paragraph">
                        <wp:posOffset>247015</wp:posOffset>
                      </wp:positionV>
                      <wp:extent cx="5145405" cy="1276985"/>
                      <wp:effectExtent l="0" t="0" r="0" b="0"/>
                      <wp:wrapTopAndBottom/>
                      <wp:docPr id="225" name="画布 225"/>
                      <wp:cNvGraphicFramePr/>
                      <a:graphic xmlns:a="http://schemas.openxmlformats.org/drawingml/2006/main">
                        <a:graphicData uri="http://schemas.microsoft.com/office/word/2010/wordprocessingCanvas">
                          <wpc:wpc>
                            <wpc:bg/>
                            <wpc:whole/>
                            <wps:wsp>
                              <wps:cNvPr id="226" name="文本框 216"/>
                              <wps:cNvSpPr txBox="1"/>
                              <wps:spPr>
                                <a:xfrm>
                                  <a:off x="179705" y="1797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98D6B8">
                                    <w:pPr>
                                      <w:rPr>
                                        <w:rFonts w:hint="default" w:eastAsia="宋体"/>
                                        <w:lang w:val="en-US" w:eastAsia="zh-CN"/>
                                      </w:rPr>
                                    </w:pPr>
                                    <w:r>
                                      <w:rPr>
                                        <w:rFonts w:hint="eastAsia"/>
                                        <w:lang w:val="en-US" w:eastAsia="zh-CN"/>
                                      </w:rPr>
                                      <w:t>注塑废气</w:t>
                                    </w:r>
                                  </w:p>
                                </w:txbxContent>
                              </wps:txbx>
                              <wps:bodyPr upright="1"/>
                            </wps:wsp>
                            <wps:wsp>
                              <wps:cNvPr id="227" name="文本框 217"/>
                              <wps:cNvSpPr txBox="1"/>
                              <wps:spPr>
                                <a:xfrm>
                                  <a:off x="189230" y="726440"/>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47AE4B">
                                    <w:pPr>
                                      <w:rPr>
                                        <w:rFonts w:hint="default" w:eastAsia="宋体"/>
                                        <w:lang w:val="en-US" w:eastAsia="zh-CN"/>
                                      </w:rPr>
                                    </w:pPr>
                                    <w:r>
                                      <w:rPr>
                                        <w:rFonts w:hint="eastAsia"/>
                                        <w:lang w:val="en-US" w:eastAsia="zh-CN"/>
                                      </w:rPr>
                                      <w:t>粉碎废气</w:t>
                                    </w:r>
                                  </w:p>
                                </w:txbxContent>
                              </wps:txbx>
                              <wps:bodyPr upright="1"/>
                            </wps:wsp>
                            <wps:wsp>
                              <wps:cNvPr id="228" name="直接连接符 218"/>
                              <wps:cNvCnPr/>
                              <wps:spPr>
                                <a:xfrm>
                                  <a:off x="933450" y="314960"/>
                                  <a:ext cx="435610" cy="5715"/>
                                </a:xfrm>
                                <a:prstGeom prst="line">
                                  <a:avLst/>
                                </a:prstGeom>
                                <a:ln w="9525" cap="flat" cmpd="sng">
                                  <a:solidFill>
                                    <a:srgbClr val="000000"/>
                                  </a:solidFill>
                                  <a:prstDash val="solid"/>
                                  <a:headEnd type="none" w="med" len="med"/>
                                  <a:tailEnd type="triangle" w="med" len="med"/>
                                </a:ln>
                              </wps:spPr>
                              <wps:bodyPr upright="1"/>
                            </wps:wsp>
                            <wps:wsp>
                              <wps:cNvPr id="230" name="文本框 220"/>
                              <wps:cNvSpPr txBox="1"/>
                              <wps:spPr>
                                <a:xfrm>
                                  <a:off x="1378585" y="57150"/>
                                  <a:ext cx="1616075" cy="508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F5833C">
                                    <w:pPr>
                                      <w:rPr>
                                        <w:rFonts w:hint="default" w:ascii="Times New Roman" w:hAnsi="Times New Roman" w:eastAsia="宋体" w:cs="Times New Roman"/>
                                        <w:lang w:val="en-US" w:eastAsia="zh-CN"/>
                                      </w:rPr>
                                    </w:pPr>
                                    <w:r>
                                      <w:rPr>
                                        <w:rFonts w:hint="default" w:ascii="Times New Roman" w:hAnsi="Times New Roman" w:cs="Times New Roman"/>
                                        <w:lang w:val="en-US" w:eastAsia="zh-CN"/>
                                      </w:rPr>
                                      <w:t>活性炭吸附/脱附+催化燃烧装置TA00</w:t>
                                    </w:r>
                                    <w:r>
                                      <w:rPr>
                                        <w:rFonts w:hint="eastAsia" w:ascii="Times New Roman" w:hAnsi="Times New Roman" w:cs="Times New Roman"/>
                                        <w:lang w:val="en-US" w:eastAsia="zh-CN"/>
                                      </w:rPr>
                                      <w:t>1</w:t>
                                    </w:r>
                                  </w:p>
                                </w:txbxContent>
                              </wps:txbx>
                              <wps:bodyPr upright="1"/>
                            </wps:wsp>
                            <wps:wsp>
                              <wps:cNvPr id="233" name="直接连接符 223"/>
                              <wps:cNvCnPr>
                                <a:endCxn id="238" idx="1"/>
                              </wps:cNvCnPr>
                              <wps:spPr>
                                <a:xfrm>
                                  <a:off x="949960" y="878205"/>
                                  <a:ext cx="430530" cy="4445"/>
                                </a:xfrm>
                                <a:prstGeom prst="line">
                                  <a:avLst/>
                                </a:prstGeom>
                                <a:ln w="9525" cap="flat" cmpd="sng">
                                  <a:solidFill>
                                    <a:srgbClr val="000000"/>
                                  </a:solidFill>
                                  <a:prstDash val="solid"/>
                                  <a:headEnd type="none" w="med" len="med"/>
                                  <a:tailEnd type="triangle" w="med" len="med"/>
                                </a:ln>
                              </wps:spPr>
                              <wps:bodyPr upright="1"/>
                            </wps:wsp>
                            <wps:wsp>
                              <wps:cNvPr id="234" name="文本框 224"/>
                              <wps:cNvSpPr txBox="1"/>
                              <wps:spPr>
                                <a:xfrm>
                                  <a:off x="3865880" y="140970"/>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1</w:t>
                                    </w:r>
                                  </w:p>
                                </w:txbxContent>
                              </wps:txbx>
                              <wps:bodyPr upright="1"/>
                            </wps:wsp>
                            <wps:wsp>
                              <wps:cNvPr id="235" name="直接连接符 218"/>
                              <wps:cNvCnPr/>
                              <wps:spPr>
                                <a:xfrm>
                                  <a:off x="2997200" y="314325"/>
                                  <a:ext cx="876300" cy="0"/>
                                </a:xfrm>
                                <a:prstGeom prst="line">
                                  <a:avLst/>
                                </a:prstGeom>
                                <a:ln w="9525" cap="flat" cmpd="sng">
                                  <a:solidFill>
                                    <a:srgbClr val="000000"/>
                                  </a:solidFill>
                                  <a:prstDash val="solid"/>
                                  <a:headEnd type="none" w="med" len="med"/>
                                  <a:tailEnd type="triangle" w="med" len="med"/>
                                </a:ln>
                              </wps:spPr>
                              <wps:bodyPr upright="1"/>
                            </wps:wsp>
                            <wps:wsp>
                              <wps:cNvPr id="238" name="文本框 220"/>
                              <wps:cNvSpPr txBox="1"/>
                              <wps:spPr>
                                <a:xfrm>
                                  <a:off x="1380490" y="727075"/>
                                  <a:ext cx="1276350" cy="3105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2</w:t>
                                    </w:r>
                                  </w:p>
                                </w:txbxContent>
                              </wps:txbx>
                              <wps:bodyPr upright="1"/>
                            </wps:wsp>
                            <wps:wsp>
                              <wps:cNvPr id="239" name="直接连接符 223"/>
                              <wps:cNvCnPr>
                                <a:stCxn id="238" idx="3"/>
                                <a:endCxn id="3" idx="1"/>
                              </wps:cNvCnPr>
                              <wps:spPr>
                                <a:xfrm flipV="1">
                                  <a:off x="2656840" y="880110"/>
                                  <a:ext cx="1221740" cy="2540"/>
                                </a:xfrm>
                                <a:prstGeom prst="line">
                                  <a:avLst/>
                                </a:prstGeom>
                                <a:ln w="9525" cap="flat" cmpd="sng">
                                  <a:solidFill>
                                    <a:srgbClr val="000000"/>
                                  </a:solidFill>
                                  <a:prstDash val="solid"/>
                                  <a:headEnd type="none" w="med" len="med"/>
                                  <a:tailEnd type="triangle" w="med" len="med"/>
                                </a:ln>
                              </wps:spPr>
                              <wps:bodyPr upright="1"/>
                            </wps:wsp>
                            <wps:wsp>
                              <wps:cNvPr id="3" name="文本框 224"/>
                              <wps:cNvSpPr txBox="1"/>
                              <wps:spPr>
                                <a:xfrm>
                                  <a:off x="3878580" y="712470"/>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DD328D">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wps:txbx>
                              <wps:bodyPr upright="1"/>
                            </wps:wsp>
                          </wpc:wpc>
                        </a:graphicData>
                      </a:graphic>
                    </wp:anchor>
                  </w:drawing>
                </mc:Choice>
                <mc:Fallback>
                  <w:pict>
                    <v:group id="_x0000_s1026" o:spid="_x0000_s1026" o:spt="203" style="position:absolute;left:0pt;margin-left:5.85pt;margin-top:19.45pt;height:100.55pt;width:405.15pt;mso-wrap-distance-bottom:0pt;mso-wrap-distance-top:0pt;z-index:251666432;mso-width-relative:page;mso-height-relative:page;" coordsize="5145405,1276985" editas="canvas" o:gfxdata="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">
                      <o:lock v:ext="edit" aspectratio="f"/>
                      <v:shape id="_x0000_s1026" o:spid="_x0000_s1026" style="position:absolute;left:0;top:0;height:1276985;width:5145405;" filled="f" stroked="f" coordsize="21600,21600" o:gfxdata="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">
                        <v:fill on="f" focussize="0,0"/>
                        <v:stroke on="f"/>
                        <v:imagedata o:title=""/>
                        <o:lock v:ext="edit" aspectratio="f"/>
                      </v:shape>
                      <v:shape id="文本框 216" o:spid="_x0000_s1026" o:spt="202" type="#_x0000_t202" style="position:absolute;left:179705;top:179705;height:279400;width:749300;"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nDbw2AAAAAkBAAAPAAAAAAAA&#10;AAEAIAAAACIAAABkcnMvZG93bnJldi54bWxQSwECFAAUAAAACACHTuJAZ1Rv8RICAABDBAAADgAA&#10;AAAAAAABACAAAAAnAQAAZHJzL2Uyb0RvYy54bWxQSwUGAAAAAAYABgBZAQAAqwUAAAAA&#10;">
                        <v:fill on="t" focussize="0,0"/>
                        <v:stroke color="#000000" joinstyle="miter"/>
                        <v:imagedata o:title=""/>
                        <o:lock v:ext="edit" aspectratio="f"/>
                        <v:textbox>
                          <w:txbxContent>
                            <w:p w14:paraId="5C98D6B8">
                              <w:pPr>
                                <w:rPr>
                                  <w:rFonts w:hint="default" w:eastAsia="宋体"/>
                                  <w:lang w:val="en-US" w:eastAsia="zh-CN"/>
                                </w:rPr>
                              </w:pPr>
                              <w:r>
                                <w:rPr>
                                  <w:rFonts w:hint="eastAsia"/>
                                  <w:lang w:val="en-US" w:eastAsia="zh-CN"/>
                                </w:rPr>
                                <w:t>注塑废气</w:t>
                              </w:r>
                            </w:p>
                          </w:txbxContent>
                        </v:textbox>
                      </v:shape>
                      <v:shape id="文本框 217" o:spid="_x0000_s1026" o:spt="202" type="#_x0000_t202" style="position:absolute;left:189230;top:726440;height:279400;width:749300;"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Jw28NgAAAAJAQAADwAA&#10;AAAAAAABACAAAAAiAAAAZHJzL2Rvd25yZXYueG1sUEsBAhQAFAAAAAgAh07iQH/1cm0WAgAAQwQA&#10;AA4AAAAAAAAAAQAgAAAAJwEAAGRycy9lMm9Eb2MueG1sUEsFBgAAAAAGAAYAWQEAAK8FAAAAAA==&#10;">
                        <v:fill on="t" focussize="0,0"/>
                        <v:stroke color="#000000" joinstyle="miter"/>
                        <v:imagedata o:title=""/>
                        <o:lock v:ext="edit" aspectratio="f"/>
                        <v:textbox>
                          <w:txbxContent>
                            <w:p w14:paraId="2347AE4B">
                              <w:pPr>
                                <w:rPr>
                                  <w:rFonts w:hint="default" w:eastAsia="宋体"/>
                                  <w:lang w:val="en-US" w:eastAsia="zh-CN"/>
                                </w:rPr>
                              </w:pPr>
                              <w:r>
                                <w:rPr>
                                  <w:rFonts w:hint="eastAsia"/>
                                  <w:lang w:val="en-US" w:eastAsia="zh-CN"/>
                                </w:rPr>
                                <w:t>粉碎废气</w:t>
                              </w:r>
                            </w:p>
                          </w:txbxContent>
                        </v:textbox>
                      </v:shape>
                      <v:line id="直接连接符 218" o:spid="_x0000_s1026" o:spt="20" style="position:absolute;left:933450;top:314960;height:5715;width:435610;" filled="f" stroked="t" coordsize="21600,21600" o:gfxdata="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unM6dkAAAAJAQAADwAAAAAAAAABACAA&#10;AAAiAAAAZHJzL2Rvd25yZXYueG1sUEsBAhQAFAAAAAgAh07iQHA3FLEMAgAA+AMAAA4AAAAAAAAA&#10;AQAgAAAAKAEAAGRycy9lMm9Eb2MueG1sUEsFBgAAAAAGAAYAWQEAAKYFAAAAAA==&#10;">
                        <v:fill on="f" focussize="0,0"/>
                        <v:stroke color="#000000" joinstyle="round" endarrow="block"/>
                        <v:imagedata o:title=""/>
                        <o:lock v:ext="edit" aspectratio="f"/>
                      </v:line>
                      <v:shape id="文本框 220" o:spid="_x0000_s1026" o:spt="202" type="#_x0000_t202" style="position:absolute;left:1378585;top:57150;height:508000;width:1616075;"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Jw28NgAAAAJAQAADwAA&#10;AAAAAAABACAAAAAiAAAAZHJzL2Rvd25yZXYueG1sUEsBAhQAFAAAAAgAh07iQJkehRsWAgAARAQA&#10;AA4AAAAAAAAAAQAgAAAAJwEAAGRycy9lMm9Eb2MueG1sUEsFBgAAAAAGAAYAWQEAAK8FAAAAAA==&#10;">
                        <v:fill on="t" focussize="0,0"/>
                        <v:stroke color="#000000" joinstyle="miter"/>
                        <v:imagedata o:title=""/>
                        <o:lock v:ext="edit" aspectratio="f"/>
                        <v:textbox>
                          <w:txbxContent>
                            <w:p w14:paraId="21F5833C">
                              <w:pPr>
                                <w:rPr>
                                  <w:rFonts w:hint="default" w:ascii="Times New Roman" w:hAnsi="Times New Roman" w:eastAsia="宋体" w:cs="Times New Roman"/>
                                  <w:lang w:val="en-US" w:eastAsia="zh-CN"/>
                                </w:rPr>
                              </w:pPr>
                              <w:r>
                                <w:rPr>
                                  <w:rFonts w:hint="default" w:ascii="Times New Roman" w:hAnsi="Times New Roman" w:cs="Times New Roman"/>
                                  <w:lang w:val="en-US" w:eastAsia="zh-CN"/>
                                </w:rPr>
                                <w:t>活性炭吸附/脱附+催化燃烧装置TA00</w:t>
                              </w:r>
                              <w:r>
                                <w:rPr>
                                  <w:rFonts w:hint="eastAsia" w:ascii="Times New Roman" w:hAnsi="Times New Roman" w:cs="Times New Roman"/>
                                  <w:lang w:val="en-US" w:eastAsia="zh-CN"/>
                                </w:rPr>
                                <w:t>1</w:t>
                              </w:r>
                            </w:p>
                          </w:txbxContent>
                        </v:textbox>
                      </v:shape>
                      <v:line id="直接连接符 223" o:spid="_x0000_s1026" o:spt="20" style="position:absolute;left:949960;top:878205;height:4445;width:430530;" filled="f" stroked="t" coordsize="21600,21600" o:gfxdata="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rpzOnZAAAA&#10;CQEAAA8AAAAAAAAAAQAgAAAAIgAAAGRycy9kb3ducmV2LnhtbFBLAQIUABQAAAAIAIdO4kCNUsjp&#10;HAIAACEEAAAOAAAAAAAAAAEAIAAAACgBAABkcnMvZTJvRG9jLnhtbFBLBQYAAAAABgAGAFkBAAC2&#10;BQAAAAA=&#10;">
                        <v:fill on="f" focussize="0,0"/>
                        <v:stroke color="#000000" joinstyle="round" endarrow="block"/>
                        <v:imagedata o:title=""/>
                        <o:lock v:ext="edit" aspectratio="f"/>
                      </v:line>
                      <v:shape id="文本框 224" o:spid="_x0000_s1026" o:spt="202" type="#_x0000_t202" style="position:absolute;left:3865880;top:140970;height:335280;width:1042035;"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ScNvDYAAAACQEAAA8A&#10;AAAAAAAAAQAgAAAAIgAAAGRycy9kb3ducmV2LnhtbFBLAQIUABQAAAAIAIdO4kCQJOAUFwIAAEUE&#10;AAAOAAAAAAAAAAEAIAAAACcBAABkcnMvZTJvRG9jLnhtbFBLBQYAAAAABgAGAFkBAACwBQAAAAA=&#10;">
                        <v:fill on="t" focussize="0,0"/>
                        <v:stroke color="#000000" joinstyle="miter"/>
                        <v:imagedata o:title=""/>
                        <o:lock v:ext="edit" aspectratio="f"/>
                        <v:textbo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1</w:t>
                              </w:r>
                            </w:p>
                          </w:txbxContent>
                        </v:textbox>
                      </v:shape>
                      <v:line id="直接连接符 218" o:spid="_x0000_s1026" o:spt="20" style="position:absolute;left:2997200;top:314325;height:0;width:876300;" filled="f" stroked="t" coordsize="21600,21600" o:gfxdata="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unM6dkAAAAJAQAADwAAAAAAAAABACAA&#10;AAAiAAAAZHJzL2Rvd25yZXYueG1sUEsBAhQAFAAAAAgAh07iQEbDe0UMAgAA9gMAAA4AAAAAAAAA&#10;AQAgAAAAKAEAAGRycy9lMm9Eb2MueG1sUEsFBgAAAAAGAAYAWQEAAKYFAAAAAA==&#10;">
                        <v:fill on="f" focussize="0,0"/>
                        <v:stroke color="#000000" joinstyle="round" endarrow="block"/>
                        <v:imagedata o:title=""/>
                        <o:lock v:ext="edit" aspectratio="f"/>
                      </v:line>
                      <v:shape id="文本框 220" o:spid="_x0000_s1026" o:spt="202" type="#_x0000_t202" style="position:absolute;left:1380490;top:727075;height:310515;width:1276350;"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Jw28NgAAAAJAQAA&#10;DwAAAAAAAAABACAAAAAiAAAAZHJzL2Rvd25yZXYueG1sUEsBAhQAFAAAAAgAh07iQPD4tRgZAgAA&#10;RQQAAA4AAAAAAAAAAQAgAAAAJwEAAGRycy9lMm9Eb2MueG1sUEsFBgAAAAAGAAYAWQEAALIFAAAA&#10;AA==&#10;">
                        <v:fill on="t" focussize="0,0"/>
                        <v:stroke color="#000000" joinstyle="miter"/>
                        <v:imagedata o:title=""/>
                        <o:lock v:ext="edit" aspectratio="f"/>
                        <v:textbo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2</w:t>
                              </w:r>
                            </w:p>
                          </w:txbxContent>
                        </v:textbox>
                      </v:shape>
                      <v:line id="直接连接符 223" o:spid="_x0000_s1026" o:spt="20" style="position:absolute;left:2656840;top:880110;flip:y;height:2540;width:1221740;" filled="f" stroked="t" coordsize="21600,21600" o:gfxdata="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rLpeLYAAAACQEAAA8AAAAAAAAAAQAgAAAAIgAAAGRycy9kb3ducmV2LnhtbFBLAQIU&#10;ABQAAAAIAIdO4kBWYCPnLAIAAEYEAAAOAAAAAAAAAAEAIAAAACcBAABkcnMvZTJvRG9jLnhtbFBL&#10;BQYAAAAABgAGAFkBAADFBQAAAAA=&#10;">
                        <v:fill on="f" focussize="0,0"/>
                        <v:stroke color="#000000" joinstyle="round" endarrow="block"/>
                        <v:imagedata o:title=""/>
                        <o:lock v:ext="edit" aspectratio="f"/>
                      </v:line>
                      <v:shape id="文本框 224" o:spid="_x0000_s1026" o:spt="202" type="#_x0000_t202" style="position:absolute;left:3878580;top:712470;height:335280;width:1042035;" fillcolor="#FFFFFF" filled="t" stroked="t" coordsize="21600,21600" o:gfxdata="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Jw28NgAAAAJAQAADwAA&#10;AAAAAAABACAAAAAiAAAAZHJzL2Rvd25yZXYueG1sUEsBAhQAFAAAAAgAh07iQLzK0FEWAgAAQwQA&#10;AA4AAAAAAAAAAQAgAAAAJwEAAGRycy9lMm9Eb2MueG1sUEsFBgAAAAAGAAYAWQEAAK8FAAAAAA==&#10;">
                        <v:fill on="t" focussize="0,0"/>
                        <v:stroke color="#000000" joinstyle="miter"/>
                        <v:imagedata o:title=""/>
                        <o:lock v:ext="edit" aspectratio="f"/>
                        <v:textbox>
                          <w:txbxContent>
                            <w:p w14:paraId="53DD328D">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v:textbox>
                      </v:shape>
                      <w10:wrap type="topAndBottom"/>
                    </v:group>
                  </w:pict>
                </mc:Fallback>
              </mc:AlternateConten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图</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4-1 本项目废气走向图</w:t>
            </w:r>
          </w:p>
          <w:p w14:paraId="35EA978B">
            <w:pPr>
              <w:spacing w:line="480" w:lineRule="exact"/>
              <w:ind w:firstLine="504" w:firstLineChars="200"/>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集气罩的风量根据《排风罩的分类及技术条件》（GB/T16758-2008）中有关公式计算，计算公式如下：</w:t>
            </w:r>
          </w:p>
          <w:p w14:paraId="51F18B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3276" w:firstLineChars="13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Q=F×</w:t>
            </w:r>
            <w:r>
              <w:rPr>
                <w:rFonts w:hint="default" w:ascii="Times New Roman" w:hAnsi="Times New Roman" w:eastAsia="宋体" w:cs="Times New Roman"/>
                <w:b w:val="0"/>
                <w:bCs/>
                <w:color w:val="auto"/>
                <w:spacing w:val="6"/>
                <w:sz w:val="24"/>
                <w:highlight w:val="none"/>
                <w:lang w:val="en-US" w:eastAsia="zh-CN"/>
              </w:rPr>
              <w:object>
                <v:shape id="_x0000_i1025"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p>
          <w:p w14:paraId="03C6760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式中：Q--排风罩的排风量，m³/s</w:t>
            </w:r>
            <w:r>
              <w:rPr>
                <w:rFonts w:hint="eastAsia" w:ascii="Times New Roman" w:hAnsi="Times New Roman" w:eastAsia="宋体" w:cs="Times New Roman"/>
                <w:b w:val="0"/>
                <w:bCs/>
                <w:color w:val="auto"/>
                <w:spacing w:val="6"/>
                <w:sz w:val="24"/>
                <w:highlight w:val="none"/>
                <w:lang w:val="en-US" w:eastAsia="zh-CN"/>
              </w:rPr>
              <w:t>；</w:t>
            </w:r>
            <w:r>
              <w:rPr>
                <w:rFonts w:hint="default" w:ascii="Times New Roman" w:hAnsi="Times New Roman" w:eastAsia="宋体" w:cs="Times New Roman"/>
                <w:b w:val="0"/>
                <w:bCs/>
                <w:color w:val="auto"/>
                <w:spacing w:val="6"/>
                <w:sz w:val="24"/>
                <w:highlight w:val="none"/>
                <w:lang w:val="en-US" w:eastAsia="zh-CN"/>
              </w:rPr>
              <w:t>F--排风罩罩口面积，m</w:t>
            </w:r>
            <w:r>
              <w:rPr>
                <w:rFonts w:hint="default" w:ascii="Times New Roman" w:hAnsi="Times New Roman" w:eastAsia="宋体" w:cs="Times New Roman"/>
                <w:b w:val="0"/>
                <w:bCs/>
                <w:color w:val="auto"/>
                <w:spacing w:val="6"/>
                <w:sz w:val="24"/>
                <w:highlight w:val="none"/>
                <w:vertAlign w:val="superscript"/>
                <w:lang w:val="en-US" w:eastAsia="zh-CN"/>
              </w:rPr>
              <w:t>2</w:t>
            </w:r>
            <w:r>
              <w:rPr>
                <w:rFonts w:hint="eastAsia" w:ascii="Times New Roman" w:hAnsi="Times New Roman" w:eastAsia="宋体" w:cs="Times New Roman"/>
                <w:b w:val="0"/>
                <w:bCs/>
                <w:color w:val="auto"/>
                <w:spacing w:val="6"/>
                <w:sz w:val="24"/>
                <w:highlight w:val="none"/>
                <w:lang w:val="en-US" w:eastAsia="zh-CN"/>
              </w:rPr>
              <w:t>；</w:t>
            </w:r>
          </w:p>
          <w:p w14:paraId="52A436E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object>
                <v:shape id="_x0000_i1026"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6" DrawAspect="Content" ObjectID="_1468075726" r:id="rId10">
                  <o:LockedField>false</o:LockedField>
                </o:OLEObject>
              </w:object>
            </w:r>
            <w:r>
              <w:rPr>
                <w:rFonts w:hint="default" w:ascii="Times New Roman" w:hAnsi="Times New Roman" w:eastAsia="宋体" w:cs="Times New Roman"/>
                <w:b w:val="0"/>
                <w:bCs/>
                <w:color w:val="auto"/>
                <w:spacing w:val="6"/>
                <w:sz w:val="24"/>
                <w:highlight w:val="none"/>
                <w:lang w:val="en-US" w:eastAsia="zh-CN"/>
              </w:rPr>
              <w:t>--排风罩罩口平均风速，m/s，本项目取0.3m/s</w:t>
            </w:r>
            <w:r>
              <w:rPr>
                <w:rFonts w:hint="eastAsia" w:ascii="Times New Roman" w:hAnsi="Times New Roman" w:eastAsia="宋体" w:cs="Times New Roman"/>
                <w:b w:val="0"/>
                <w:bCs/>
                <w:color w:val="auto"/>
                <w:spacing w:val="6"/>
                <w:sz w:val="24"/>
                <w:highlight w:val="none"/>
                <w:lang w:val="en-US" w:eastAsia="zh-CN"/>
              </w:rPr>
              <w:t>。</w:t>
            </w:r>
          </w:p>
          <w:p w14:paraId="09CB713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val="0"/>
                <w:color w:val="auto"/>
                <w:sz w:val="24"/>
                <w:szCs w:val="22"/>
                <w:lang w:val="en-US" w:eastAsia="zh-CN"/>
              </w:rPr>
            </w:pPr>
            <w:r>
              <w:rPr>
                <w:rFonts w:hint="eastAsia" w:ascii="Times New Roman" w:hAnsi="Times New Roman" w:eastAsia="宋体" w:cs="Times New Roman"/>
                <w:b w:val="0"/>
                <w:bCs/>
                <w:color w:val="auto"/>
                <w:spacing w:val="6"/>
                <w:sz w:val="24"/>
                <w:highlight w:val="none"/>
                <w:lang w:val="en-US" w:eastAsia="zh-CN"/>
              </w:rPr>
              <w:t>根据以上原则及建设单位提供的设计资料在考虑风损的基础上确定本项目各工序风机风量如下：</w:t>
            </w:r>
          </w:p>
          <w:p w14:paraId="279725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snapToGrid w:val="0"/>
                <w:color w:val="auto"/>
                <w:sz w:val="24"/>
                <w:szCs w:val="24"/>
                <w:highlight w:val="none"/>
                <w:lang w:val="en-US" w:eastAsia="zh-CN"/>
              </w:rPr>
            </w:pPr>
            <w:r>
              <w:rPr>
                <w:rFonts w:hint="eastAsia" w:ascii="Times New Roman" w:hAnsi="Times New Roman" w:eastAsia="宋体" w:cs="Times New Roman"/>
                <w:b/>
                <w:bCs/>
                <w:snapToGrid w:val="0"/>
                <w:color w:val="auto"/>
                <w:sz w:val="24"/>
                <w:szCs w:val="24"/>
                <w:highlight w:val="none"/>
                <w:lang w:val="en-US" w:eastAsia="zh-CN"/>
              </w:rPr>
              <w:t>表4-1 本项目各工序风机风量一览表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925"/>
              <w:gridCol w:w="1325"/>
              <w:gridCol w:w="1525"/>
              <w:gridCol w:w="1325"/>
              <w:gridCol w:w="1261"/>
              <w:gridCol w:w="824"/>
            </w:tblGrid>
            <w:tr w14:paraId="5A2B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pct"/>
                  <w:tcBorders>
                    <w:tl2br w:val="nil"/>
                    <w:tr2bl w:val="nil"/>
                  </w:tcBorders>
                  <w:noWrap w:val="0"/>
                  <w:vAlign w:val="center"/>
                </w:tcPr>
                <w:p w14:paraId="5EF78C6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产污设备及数量</w:t>
                  </w:r>
                </w:p>
              </w:tc>
              <w:tc>
                <w:tcPr>
                  <w:tcW w:w="546" w:type="pct"/>
                  <w:tcBorders>
                    <w:tl2br w:val="nil"/>
                    <w:tr2bl w:val="nil"/>
                  </w:tcBorders>
                  <w:noWrap w:val="0"/>
                  <w:vAlign w:val="center"/>
                </w:tcPr>
                <w:p w14:paraId="518F4EAA">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对应排气筒</w:t>
                  </w:r>
                </w:p>
              </w:tc>
              <w:tc>
                <w:tcPr>
                  <w:tcW w:w="782" w:type="pct"/>
                  <w:tcBorders>
                    <w:tl2br w:val="nil"/>
                    <w:tr2bl w:val="nil"/>
                  </w:tcBorders>
                  <w:noWrap w:val="0"/>
                  <w:vAlign w:val="center"/>
                </w:tcPr>
                <w:p w14:paraId="0603A6F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集气罩面积</w:t>
                  </w:r>
                </w:p>
              </w:tc>
              <w:tc>
                <w:tcPr>
                  <w:tcW w:w="900" w:type="pct"/>
                  <w:tcBorders>
                    <w:tl2br w:val="nil"/>
                    <w:tr2bl w:val="nil"/>
                  </w:tcBorders>
                  <w:noWrap w:val="0"/>
                  <w:vAlign w:val="center"/>
                </w:tcPr>
                <w:p w14:paraId="07B9218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设计风量</w:t>
                  </w:r>
                </w:p>
              </w:tc>
              <w:tc>
                <w:tcPr>
                  <w:tcW w:w="782" w:type="pct"/>
                  <w:tcBorders>
                    <w:tl2br w:val="nil"/>
                    <w:tr2bl w:val="nil"/>
                  </w:tcBorders>
                  <w:noWrap w:val="0"/>
                  <w:vAlign w:val="center"/>
                </w:tcPr>
                <w:p w14:paraId="24CA0F7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合计风量</w:t>
                  </w:r>
                </w:p>
              </w:tc>
              <w:tc>
                <w:tcPr>
                  <w:tcW w:w="744" w:type="pct"/>
                  <w:tcBorders>
                    <w:tl2br w:val="nil"/>
                    <w:tr2bl w:val="nil"/>
                  </w:tcBorders>
                  <w:noWrap w:val="0"/>
                  <w:vAlign w:val="center"/>
                </w:tcPr>
                <w:p w14:paraId="2D4E85A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本项目风量</w:t>
                  </w:r>
                </w:p>
              </w:tc>
              <w:tc>
                <w:tcPr>
                  <w:tcW w:w="486" w:type="pct"/>
                  <w:tcBorders>
                    <w:tl2br w:val="nil"/>
                    <w:tr2bl w:val="nil"/>
                  </w:tcBorders>
                  <w:noWrap w:val="0"/>
                  <w:vAlign w:val="center"/>
                </w:tcPr>
                <w:p w14:paraId="5183F84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是否满足需求</w:t>
                  </w:r>
                </w:p>
              </w:tc>
            </w:tr>
            <w:tr w14:paraId="0587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pct"/>
                  <w:tcBorders>
                    <w:tl2br w:val="nil"/>
                    <w:tr2bl w:val="nil"/>
                  </w:tcBorders>
                  <w:noWrap w:val="0"/>
                  <w:vAlign w:val="center"/>
                </w:tcPr>
                <w:p w14:paraId="0910648D">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vertAlign w:val="baseline"/>
                      <w:lang w:val="en-US" w:eastAsia="zh-CN"/>
                    </w:rPr>
                    <w:t>注塑机30台</w:t>
                  </w:r>
                </w:p>
              </w:tc>
              <w:tc>
                <w:tcPr>
                  <w:tcW w:w="546" w:type="pct"/>
                  <w:tcBorders>
                    <w:tl2br w:val="nil"/>
                    <w:tr2bl w:val="nil"/>
                  </w:tcBorders>
                  <w:noWrap w:val="0"/>
                  <w:vAlign w:val="center"/>
                </w:tcPr>
                <w:p w14:paraId="23BE4A5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DA001</w:t>
                  </w:r>
                </w:p>
              </w:tc>
              <w:tc>
                <w:tcPr>
                  <w:tcW w:w="782" w:type="pct"/>
                  <w:tcBorders>
                    <w:tl2br w:val="nil"/>
                    <w:tr2bl w:val="nil"/>
                  </w:tcBorders>
                  <w:noWrap w:val="0"/>
                  <w:vAlign w:val="center"/>
                </w:tcPr>
                <w:p w14:paraId="656C6B11">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0.36</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vertAlign w:val="baseline"/>
                      <w:lang w:val="en-US" w:eastAsia="zh-CN" w:bidi="ar-SA"/>
                    </w:rPr>
                    <w:t>×30</w:t>
                  </w:r>
                </w:p>
              </w:tc>
              <w:tc>
                <w:tcPr>
                  <w:tcW w:w="900" w:type="pct"/>
                  <w:tcBorders>
                    <w:tl2br w:val="nil"/>
                    <w:tr2bl w:val="nil"/>
                  </w:tcBorders>
                  <w:noWrap w:val="0"/>
                  <w:vAlign w:val="center"/>
                </w:tcPr>
                <w:p w14:paraId="294EAA9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388.8</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r>
                    <w:rPr>
                      <w:rFonts w:hint="eastAsia" w:ascii="Times New Roman" w:hAnsi="Times New Roman" w:eastAsia="宋体" w:cs="Times New Roman"/>
                      <w:b w:val="0"/>
                      <w:bCs w:val="0"/>
                      <w:color w:val="auto"/>
                      <w:kern w:val="2"/>
                      <w:sz w:val="21"/>
                      <w:szCs w:val="21"/>
                      <w:highlight w:val="none"/>
                      <w:lang w:val="en-US" w:eastAsia="zh-CN" w:bidi="ar-SA"/>
                    </w:rPr>
                    <w:t>×30</w:t>
                  </w:r>
                </w:p>
              </w:tc>
              <w:tc>
                <w:tcPr>
                  <w:tcW w:w="782" w:type="pct"/>
                  <w:tcBorders>
                    <w:tl2br w:val="nil"/>
                    <w:tr2bl w:val="nil"/>
                  </w:tcBorders>
                  <w:noWrap w:val="0"/>
                  <w:vAlign w:val="center"/>
                </w:tcPr>
                <w:p w14:paraId="009121D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11664</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744" w:type="pct"/>
                  <w:tcBorders>
                    <w:tl2br w:val="nil"/>
                    <w:tr2bl w:val="nil"/>
                  </w:tcBorders>
                  <w:noWrap w:val="0"/>
                  <w:vAlign w:val="center"/>
                </w:tcPr>
                <w:p w14:paraId="4F9496A9">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tcBorders>
                    <w:tl2br w:val="nil"/>
                    <w:tr2bl w:val="nil"/>
                  </w:tcBorders>
                  <w:noWrap w:val="0"/>
                  <w:vAlign w:val="center"/>
                </w:tcPr>
                <w:p w14:paraId="55334EA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71AC7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pct"/>
                  <w:tcBorders>
                    <w:tl2br w:val="nil"/>
                    <w:tr2bl w:val="nil"/>
                  </w:tcBorders>
                  <w:noWrap w:val="0"/>
                  <w:vAlign w:val="center"/>
                </w:tcPr>
                <w:p w14:paraId="2BFE0E85">
                  <w:pPr>
                    <w:widowControl w:val="0"/>
                    <w:autoSpaceDE w:val="0"/>
                    <w:autoSpaceDN w:val="0"/>
                    <w:bidi w:val="0"/>
                    <w:spacing w:line="240" w:lineRule="auto"/>
                    <w:ind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粉碎机2台</w:t>
                  </w:r>
                </w:p>
              </w:tc>
              <w:tc>
                <w:tcPr>
                  <w:tcW w:w="546" w:type="pct"/>
                  <w:tcBorders>
                    <w:tl2br w:val="nil"/>
                    <w:tr2bl w:val="nil"/>
                  </w:tcBorders>
                  <w:noWrap w:val="0"/>
                  <w:vAlign w:val="center"/>
                </w:tcPr>
                <w:p w14:paraId="697D5070">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DA002</w:t>
                  </w:r>
                </w:p>
              </w:tc>
              <w:tc>
                <w:tcPr>
                  <w:tcW w:w="782" w:type="pct"/>
                  <w:tcBorders>
                    <w:tl2br w:val="nil"/>
                    <w:tr2bl w:val="nil"/>
                  </w:tcBorders>
                  <w:noWrap w:val="0"/>
                  <w:vAlign w:val="center"/>
                </w:tcPr>
                <w:p w14:paraId="5D5E3AE7">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×2</w:t>
                  </w:r>
                </w:p>
              </w:tc>
              <w:tc>
                <w:tcPr>
                  <w:tcW w:w="900" w:type="pct"/>
                  <w:tcBorders>
                    <w:tl2br w:val="nil"/>
                    <w:tr2bl w:val="nil"/>
                  </w:tcBorders>
                  <w:noWrap w:val="0"/>
                  <w:vAlign w:val="center"/>
                </w:tcPr>
                <w:p w14:paraId="78D58BC5">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1080m</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3</w:t>
                  </w:r>
                  <w:r>
                    <w:rPr>
                      <w:rFonts w:hint="eastAsia" w:ascii="Times New Roman" w:hAnsi="Times New Roman" w:eastAsia="宋体" w:cs="Times New Roman"/>
                      <w:b w:val="0"/>
                      <w:bCs w:val="0"/>
                      <w:color w:val="auto"/>
                      <w:kern w:val="2"/>
                      <w:sz w:val="21"/>
                      <w:szCs w:val="21"/>
                      <w:highlight w:val="none"/>
                      <w:vertAlign w:val="baseline"/>
                      <w:lang w:val="en-US" w:eastAsia="zh-CN" w:bidi="ar-SA"/>
                    </w:rPr>
                    <w:t>/h</w:t>
                  </w:r>
                  <w:r>
                    <w:rPr>
                      <w:rFonts w:hint="eastAsia" w:ascii="Times New Roman" w:hAnsi="Times New Roman" w:eastAsia="宋体" w:cs="Times New Roman"/>
                      <w:b w:val="0"/>
                      <w:bCs w:val="0"/>
                      <w:color w:val="auto"/>
                      <w:kern w:val="2"/>
                      <w:sz w:val="21"/>
                      <w:szCs w:val="21"/>
                      <w:highlight w:val="none"/>
                      <w:lang w:val="en-US" w:eastAsia="zh-CN" w:bidi="ar-SA"/>
                    </w:rPr>
                    <w:t>×2</w:t>
                  </w:r>
                </w:p>
              </w:tc>
              <w:tc>
                <w:tcPr>
                  <w:tcW w:w="782" w:type="pct"/>
                  <w:tcBorders>
                    <w:tl2br w:val="nil"/>
                    <w:tr2bl w:val="nil"/>
                  </w:tcBorders>
                  <w:noWrap w:val="0"/>
                  <w:vAlign w:val="center"/>
                </w:tcPr>
                <w:p w14:paraId="2A225BE1">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2160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744" w:type="pct"/>
                  <w:tcBorders>
                    <w:tl2br w:val="nil"/>
                    <w:tr2bl w:val="nil"/>
                  </w:tcBorders>
                  <w:noWrap w:val="0"/>
                  <w:vAlign w:val="center"/>
                </w:tcPr>
                <w:p w14:paraId="20D121B9">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3000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tcBorders>
                    <w:tl2br w:val="nil"/>
                    <w:tr2bl w:val="nil"/>
                  </w:tcBorders>
                  <w:noWrap w:val="0"/>
                  <w:vAlign w:val="center"/>
                </w:tcPr>
                <w:p w14:paraId="58F1AA75">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bl>
          <w:p w14:paraId="2A2F747B">
            <w:pPr>
              <w:spacing w:line="480" w:lineRule="exact"/>
              <w:ind w:firstLine="482" w:firstLineChars="200"/>
              <w:rPr>
                <w:rFonts w:hint="eastAsia" w:ascii="Times New Roman" w:hAnsi="Times New Roman" w:eastAsia="宋体" w:cs="Times New Roman"/>
                <w:b/>
                <w:bCs/>
                <w:color w:val="auto"/>
                <w:sz w:val="24"/>
                <w:highlight w:val="none"/>
                <w:lang w:eastAsia="zh-CN"/>
              </w:rPr>
            </w:pPr>
            <w:r>
              <w:rPr>
                <w:rFonts w:hint="eastAsia" w:ascii="Times New Roman" w:hAnsi="Times New Roman" w:eastAsia="宋体" w:cs="Times New Roman"/>
                <w:b/>
                <w:bCs/>
                <w:color w:val="auto"/>
                <w:sz w:val="24"/>
                <w:highlight w:val="none"/>
                <w:lang w:val="en-US" w:eastAsia="zh-CN"/>
              </w:rPr>
              <w:t>2、</w:t>
            </w:r>
            <w:r>
              <w:rPr>
                <w:rFonts w:ascii="Times New Roman" w:hAnsi="Times New Roman" w:eastAsia="宋体" w:cs="Times New Roman"/>
                <w:b/>
                <w:bCs/>
                <w:color w:val="auto"/>
                <w:sz w:val="24"/>
                <w:highlight w:val="none"/>
              </w:rPr>
              <w:t>废气源强</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排放情况</w:t>
            </w:r>
          </w:p>
          <w:p w14:paraId="19178224">
            <w:pPr>
              <w:spacing w:line="480" w:lineRule="exact"/>
              <w:ind w:firstLine="482"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（1）注塑</w:t>
            </w:r>
            <w:r>
              <w:rPr>
                <w:rFonts w:hint="eastAsia" w:ascii="Times New Roman" w:hAnsi="Times New Roman" w:eastAsia="宋体" w:cs="Times New Roman"/>
                <w:b/>
                <w:bCs/>
                <w:color w:val="auto"/>
                <w:sz w:val="24"/>
                <w:highlight w:val="none"/>
                <w:lang w:eastAsia="zh-CN"/>
              </w:rPr>
              <w:t>工序废气</w:t>
            </w:r>
          </w:p>
          <w:p w14:paraId="67B01FB7">
            <w:pPr>
              <w:spacing w:line="480" w:lineRule="exact"/>
              <w:ind w:firstLine="482" w:firstLineChars="200"/>
              <w:rPr>
                <w:rFonts w:hint="eastAsia" w:ascii="Times New Roman" w:hAnsi="Times New Roman" w:eastAsia="宋体" w:cs="Times New Roman"/>
                <w:b/>
                <w:kern w:val="2"/>
                <w:sz w:val="24"/>
                <w:szCs w:val="24"/>
                <w:highlight w:val="none"/>
                <w:lang w:eastAsia="zh-CN"/>
              </w:rPr>
            </w:pPr>
            <w:r>
              <w:rPr>
                <w:rFonts w:hint="eastAsia" w:ascii="Times New Roman" w:hAnsi="Times New Roman" w:eastAsia="宋体" w:cs="Times New Roman"/>
                <w:b/>
                <w:kern w:val="2"/>
                <w:sz w:val="24"/>
                <w:szCs w:val="24"/>
                <w:highlight w:val="none"/>
                <w:lang w:eastAsia="zh-CN"/>
              </w:rPr>
              <w:t>①非甲烷总烃</w:t>
            </w:r>
          </w:p>
          <w:p w14:paraId="7A747137">
            <w:pPr>
              <w:spacing w:line="480" w:lineRule="exact"/>
              <w:ind w:firstLine="482" w:firstLineChars="200"/>
              <w:rPr>
                <w:rFonts w:ascii="Times New Roman" w:hAnsi="Times New Roman" w:eastAsia="宋体" w:cs="Times New Roman"/>
                <w:color w:val="auto"/>
                <w:sz w:val="24"/>
              </w:rPr>
            </w:pPr>
            <w:r>
              <w:rPr>
                <w:rFonts w:hint="eastAsia" w:ascii="Times New Roman" w:hAnsi="Times New Roman" w:eastAsia="宋体" w:cs="Times New Roman"/>
                <w:b/>
                <w:kern w:val="2"/>
                <w:sz w:val="24"/>
                <w:szCs w:val="24"/>
                <w:highlight w:val="none"/>
              </w:rPr>
              <w:t>源强：</w:t>
            </w:r>
          </w:p>
          <w:p w14:paraId="56EC8C70">
            <w:pPr>
              <w:spacing w:line="480" w:lineRule="exact"/>
              <w:ind w:firstLine="480" w:firstLineChars="200"/>
              <w:rPr>
                <w:rFonts w:hint="eastAsia" w:ascii="Times New Roman" w:hAnsi="Times New Roman" w:eastAsia="宋体" w:cs="Times New Roman"/>
                <w:color w:val="auto"/>
                <w:kern w:val="2"/>
                <w:sz w:val="24"/>
                <w:szCs w:val="24"/>
                <w:highlight w:val="yellow"/>
                <w:lang w:val="en-US" w:eastAsia="zh-CN" w:bidi="ar-SA"/>
              </w:rPr>
            </w:pPr>
            <w:r>
              <w:rPr>
                <w:rFonts w:ascii="Times New Roman" w:hAnsi="Times New Roman" w:eastAsia="宋体" w:cs="Times New Roman"/>
                <w:color w:val="auto"/>
                <w:sz w:val="24"/>
              </w:rPr>
              <w:t>根据生态环境部2021年6月11日印发《排放源统计调查产排污核算方法和系数手册》中“</w:t>
            </w:r>
            <w:r>
              <w:rPr>
                <w:rFonts w:hint="eastAsia" w:ascii="Times New Roman" w:hAnsi="Times New Roman" w:eastAsia="宋体" w:cs="Times New Roman"/>
                <w:color w:val="auto"/>
                <w:sz w:val="24"/>
                <w:lang w:val="en-US" w:eastAsia="zh-CN"/>
              </w:rPr>
              <w:t>292塑料制品</w:t>
            </w:r>
            <w:r>
              <w:rPr>
                <w:rFonts w:ascii="Times New Roman" w:hAnsi="Times New Roman" w:eastAsia="宋体" w:cs="Times New Roman"/>
                <w:color w:val="auto"/>
                <w:sz w:val="24"/>
              </w:rPr>
              <w:t>行业系数手册”中</w:t>
            </w:r>
            <w:r>
              <w:rPr>
                <w:rFonts w:hint="eastAsia" w:ascii="Times New Roman" w:hAnsi="Times New Roman" w:eastAsia="宋体" w:cs="Times New Roman"/>
                <w:color w:val="auto"/>
                <w:sz w:val="24"/>
                <w:lang w:val="en-US" w:eastAsia="zh-CN"/>
              </w:rPr>
              <w:t>2927日用塑料制品制造行业系数表中日用塑料制品配料-混合-挤出-注塑非甲烷总烃</w:t>
            </w:r>
            <w:r>
              <w:rPr>
                <w:rFonts w:ascii="Times New Roman" w:hAnsi="Times New Roman" w:eastAsia="宋体" w:cs="Times New Roman"/>
                <w:color w:val="auto"/>
                <w:sz w:val="24"/>
              </w:rPr>
              <w:t>产生系数为</w:t>
            </w:r>
            <w:r>
              <w:rPr>
                <w:rFonts w:hint="eastAsia" w:ascii="Times New Roman" w:hAnsi="Times New Roman" w:eastAsia="宋体" w:cs="Times New Roman"/>
                <w:color w:val="auto"/>
                <w:sz w:val="24"/>
                <w:lang w:val="en-US" w:eastAsia="zh-CN"/>
              </w:rPr>
              <w:t>2.7千克/吨-产品，本项目产品产量约为10000t/a，则注塑工序非甲烷总烃总烃的产生量为</w:t>
            </w:r>
            <w:r>
              <w:rPr>
                <w:rFonts w:hint="eastAsia" w:ascii="Times New Roman" w:hAnsi="Times New Roman" w:eastAsia="宋体" w:cs="Times New Roman"/>
                <w:color w:val="auto"/>
                <w:sz w:val="24"/>
                <w:highlight w:val="none"/>
                <w:lang w:val="en-US" w:eastAsia="zh-CN"/>
              </w:rPr>
              <w:t>27t/a。</w:t>
            </w:r>
          </w:p>
          <w:p w14:paraId="2B32860F">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pPr>
            <w:r>
              <w:rPr>
                <w:rFonts w:hint="default" w:ascii="Times New Roman" w:hAnsi="Times New Roman" w:eastAsia="宋体" w:cs="Times New Roman"/>
                <w:b/>
                <w:bCs/>
                <w:sz w:val="24"/>
                <w:highlight w:val="none"/>
              </w:rPr>
              <w:t>收集及治理：</w:t>
            </w:r>
          </w:p>
          <w:p w14:paraId="2A7A1BD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t>注塑工序废气经集气罩（带软帘）收集后经“活性炭吸附/脱附+催化燃烧装置”（TA001）处理，处理后经15m高排气筒DA001排放，</w:t>
            </w:r>
            <w:r>
              <w:rPr>
                <w:rFonts w:hint="eastAsia" w:ascii="Times New Roman" w:hAnsi="Times New Roman" w:eastAsia="宋体" w:cs="Times New Roman"/>
                <w:color w:val="auto"/>
                <w:kern w:val="0"/>
                <w:sz w:val="24"/>
                <w:highlight w:val="none"/>
                <w:lang w:val="en-US" w:eastAsia="zh-CN"/>
              </w:rPr>
              <w:t>废气收集效率取80%，</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风机风量为15000m</w:t>
            </w:r>
            <w:r>
              <w:rPr>
                <w:rFonts w:hint="eastAsia"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/h，</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注塑</w:t>
            </w:r>
            <w:r>
              <w:rPr>
                <w:rFonts w:hint="eastAsia" w:ascii="Times New Roman" w:hAnsi="Times New Roman" w:eastAsia="宋体" w:cs="Times New Roman"/>
                <w:color w:val="auto"/>
                <w:kern w:val="2"/>
                <w:sz w:val="24"/>
                <w:szCs w:val="24"/>
                <w:lang w:eastAsia="zh-CN"/>
              </w:rPr>
              <w:t>工序年工作</w:t>
            </w:r>
            <w:r>
              <w:rPr>
                <w:rFonts w:hint="eastAsia" w:ascii="Times New Roman" w:hAnsi="Times New Roman" w:eastAsia="宋体" w:cs="Times New Roman"/>
                <w:color w:val="auto"/>
                <w:kern w:val="2"/>
                <w:sz w:val="24"/>
                <w:szCs w:val="24"/>
                <w:lang w:val="en-US" w:eastAsia="zh-CN"/>
              </w:rPr>
              <w:t>7200h，</w:t>
            </w:r>
            <w:r>
              <w:rPr>
                <w:rFonts w:hint="eastAsia" w:ascii="Times New Roman" w:hAnsi="Times New Roman" w:eastAsia="宋体" w:cs="Times New Roman"/>
                <w:color w:val="auto"/>
                <w:kern w:val="0"/>
                <w:sz w:val="24"/>
                <w:highlight w:val="none"/>
                <w:lang w:val="en-US" w:eastAsia="zh-CN"/>
              </w:rPr>
              <w:t>则有组织非甲烷总烃产生量为21.6</w:t>
            </w:r>
            <w:r>
              <w:rPr>
                <w:rFonts w:hint="default" w:ascii="Times New Roman" w:hAnsi="Times New Roman" w:eastAsia="宋体" w:cs="Times New Roman"/>
                <w:color w:val="auto"/>
                <w:kern w:val="0"/>
                <w:sz w:val="24"/>
                <w:highlight w:val="none"/>
                <w:lang w:eastAsia="zh-CN"/>
              </w:rPr>
              <w:t>t/a</w:t>
            </w:r>
            <w:r>
              <w:rPr>
                <w:rFonts w:hint="eastAsia" w:ascii="Times New Roman" w:hAnsi="Times New Roman" w:eastAsia="宋体" w:cs="Times New Roman"/>
                <w:color w:val="auto"/>
                <w:kern w:val="2"/>
                <w:sz w:val="24"/>
                <w:szCs w:val="24"/>
                <w:lang w:val="en-US" w:eastAsia="zh-CN"/>
              </w:rPr>
              <w:t>，</w:t>
            </w:r>
            <w:r>
              <w:rPr>
                <w:rFonts w:hint="default"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3</w:t>
            </w:r>
            <w:r>
              <w:rPr>
                <w:rFonts w:hint="default" w:ascii="Times New Roman" w:hAnsi="Times New Roman" w:eastAsia="宋体" w:cs="Times New Roman"/>
                <w:color w:val="auto"/>
                <w:kern w:val="2"/>
                <w:sz w:val="24"/>
                <w:szCs w:val="24"/>
                <w:lang w:val="en-US" w:eastAsia="zh-CN"/>
              </w:rPr>
              <w:t>kg/h</w:t>
            </w:r>
            <w:r>
              <w:rPr>
                <w:rFonts w:hint="eastAsia" w:ascii="Times New Roman" w:hAnsi="Times New Roman" w:eastAsia="宋体" w:cs="Times New Roman"/>
                <w:color w:val="auto"/>
                <w:kern w:val="2"/>
                <w:sz w:val="24"/>
                <w:szCs w:val="24"/>
                <w:lang w:val="en-US" w:eastAsia="zh-CN"/>
              </w:rPr>
              <w:t>，产生浓度为2</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00</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mg/m</w:t>
            </w:r>
            <w:r>
              <w:rPr>
                <w:rFonts w:hint="eastAsia"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eastAsia="宋体"/>
                <w:color w:val="000000" w:themeColor="text1"/>
                <w:kern w:val="2"/>
                <w:sz w:val="24"/>
                <w:szCs w:val="24"/>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t>活性炭吸附/脱附+催化燃烧装置</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对非甲烷总烃的去除效率按照90%计。</w:t>
            </w:r>
          </w:p>
          <w:p w14:paraId="558F0DD3">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bCs/>
                <w:sz w:val="24"/>
                <w:highlight w:val="none"/>
              </w:rPr>
              <w:t>排放</w:t>
            </w:r>
            <w:r>
              <w:rPr>
                <w:rFonts w:hint="eastAsia" w:ascii="Times New Roman" w:hAnsi="Times New Roman" w:eastAsia="宋体" w:cs="Times New Roman"/>
                <w:b/>
                <w:bCs/>
                <w:sz w:val="24"/>
                <w:highlight w:val="none"/>
                <w:lang w:eastAsia="zh-CN"/>
              </w:rPr>
              <w:t>：</w:t>
            </w:r>
          </w:p>
          <w:p w14:paraId="436FE87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FF0000"/>
                <w:sz w:val="24"/>
                <w:highlight w:val="none"/>
                <w:lang w:eastAsia="zh-CN"/>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有组织非甲烷总烃排放量为2.16t/a，排放速率为0.3kg/h，排放浓度为20mg/m</w:t>
            </w:r>
            <w:r>
              <w:rPr>
                <w:rFonts w:hint="eastAsia"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，满足</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auto"/>
                <w:sz w:val="24"/>
                <w:lang w:val="en-US" w:eastAsia="zh-CN"/>
              </w:rPr>
              <w:t>工业企业挥发性有机物排放控制标准》（DB13/2322-2016）表1中“有机化工业”排放限值及《合成树脂工业污染物排放标准》（GB31572-2015，含2024年修改单）中表5大气污染物特别排放限值要</w:t>
            </w:r>
            <w:r>
              <w:rPr>
                <w:rFonts w:hint="eastAsia" w:ascii="Times New Roman" w:hAnsi="Times New Roman" w:eastAsia="宋体" w:cs="Times New Roman"/>
                <w:color w:val="000000" w:themeColor="text1"/>
                <w:sz w:val="24"/>
                <w:lang w:val="en-US" w:eastAsia="zh-CN"/>
                <w14:textFill>
                  <w14:solidFill>
                    <w14:schemeClr w14:val="tx1"/>
                  </w14:solidFill>
                </w14:textFill>
              </w:rPr>
              <w:t>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296635D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kern w:val="2"/>
                <w:sz w:val="24"/>
                <w:szCs w:val="24"/>
                <w:highlight w:val="none"/>
                <w:lang w:val="en-US" w:eastAsia="zh-CN"/>
              </w:rPr>
            </w:pPr>
            <w:r>
              <w:rPr>
                <w:rFonts w:hint="eastAsia" w:ascii="Times New Roman" w:hAnsi="Times New Roman" w:eastAsia="宋体"/>
                <w:kern w:val="2"/>
                <w:sz w:val="24"/>
                <w:szCs w:val="24"/>
                <w:highlight w:val="none"/>
                <w:lang w:eastAsia="zh-CN"/>
              </w:rPr>
              <w:t>未收集的</w:t>
            </w:r>
            <w:r>
              <w:rPr>
                <w:rFonts w:hint="eastAsia" w:ascii="Times New Roman" w:hAnsi="Times New Roman" w:eastAsia="宋体" w:cs="Times New Roman"/>
                <w:color w:val="000000"/>
                <w:sz w:val="24"/>
                <w:highlight w:val="none"/>
                <w:lang w:val="en-US" w:eastAsia="zh-CN"/>
              </w:rPr>
              <w:t>非甲烷总烃</w:t>
            </w:r>
            <w:r>
              <w:rPr>
                <w:rFonts w:hint="eastAsia" w:ascii="Times New Roman" w:hAnsi="Times New Roman" w:eastAsia="宋体"/>
                <w:kern w:val="2"/>
                <w:sz w:val="24"/>
                <w:szCs w:val="24"/>
                <w:highlight w:val="none"/>
                <w:lang w:val="en-US" w:eastAsia="zh-CN"/>
              </w:rPr>
              <w:t>无组织排放，排放量为5.4t/a，排放速率为0.75kg/h，</w:t>
            </w:r>
            <w:r>
              <w:rPr>
                <w:rFonts w:hint="eastAsia" w:ascii="Times New Roman" w:hAnsi="Times New Roman" w:eastAsia="宋体" w:cs="Times New Roman"/>
                <w:color w:val="auto"/>
                <w:sz w:val="24"/>
                <w:highlight w:val="none"/>
                <w:lang w:val="en-GB"/>
              </w:rPr>
              <w:t>满足</w:t>
            </w:r>
            <w:r>
              <w:rPr>
                <w:rFonts w:hint="default" w:ascii="Times New Roman" w:hAnsi="Times New Roman" w:eastAsia="宋体" w:cs="Times New Roman"/>
                <w:color w:val="auto"/>
                <w:sz w:val="24"/>
                <w:highlight w:val="none"/>
              </w:rPr>
              <w:t>《工业企业挥发性有机物排放控制标准》（DB13/2322-2016）表2其他企业边界大气污染物浓度限值要求，同时满足《挥发性有机物无组织排放控制标准》（GB37822-2019）表 A.1 厂区内VOCs无组织特别排放限值要求</w:t>
            </w:r>
            <w:r>
              <w:rPr>
                <w:rFonts w:hint="eastAsia" w:ascii="Times New Roman" w:hAnsi="Times New Roman" w:eastAsia="宋体"/>
                <w:kern w:val="2"/>
                <w:sz w:val="24"/>
                <w:szCs w:val="24"/>
                <w:highlight w:val="none"/>
                <w:lang w:val="en-US" w:eastAsia="zh-CN"/>
              </w:rPr>
              <w:t>。</w:t>
            </w:r>
          </w:p>
          <w:p w14:paraId="4D312141">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②臭气浓度</w:t>
            </w:r>
          </w:p>
          <w:p w14:paraId="13096724">
            <w:pPr>
              <w:spacing w:line="480" w:lineRule="exact"/>
              <w:ind w:firstLine="480" w:firstLineChars="200"/>
              <w:rPr>
                <w:rFonts w:hint="eastAsia" w:ascii="Times New Roman" w:hAnsi="Times New Roman" w:eastAsia="宋体" w:cs="Times New Roman"/>
                <w:color w:val="auto"/>
                <w:kern w:val="2"/>
                <w:sz w:val="24"/>
                <w:szCs w:val="24"/>
                <w:highlight w:val="yellow"/>
                <w:lang w:val="en-US" w:eastAsia="zh-CN" w:bidi="ar-SA"/>
              </w:rPr>
            </w:pPr>
            <w:r>
              <w:rPr>
                <w:rFonts w:hint="eastAsia" w:ascii="Times New Roman" w:hAnsi="Times New Roman" w:eastAsia="宋体" w:cs="Times New Roman"/>
                <w:color w:val="auto"/>
                <w:kern w:val="2"/>
                <w:sz w:val="24"/>
                <w:szCs w:val="24"/>
                <w:highlight w:val="none"/>
                <w:lang w:val="en-US" w:eastAsia="zh-CN" w:bidi="ar-SA"/>
              </w:rPr>
              <w:t>塑料制品行业在塑料加热尤其是高温焚烧生产过程中会产生大量异味，即恶臭污染物。</w:t>
            </w:r>
            <w:r>
              <w:rPr>
                <w:rFonts w:hint="eastAsia" w:ascii="Times New Roman" w:hAnsi="Times New Roman" w:eastAsia="宋体" w:cs="Times New Roman"/>
                <w:color w:val="auto"/>
                <w:kern w:val="2"/>
                <w:sz w:val="24"/>
                <w:szCs w:val="24"/>
                <w:lang w:val="en-US" w:eastAsia="zh-CN" w:bidi="ar-SA"/>
              </w:rPr>
              <w:t>本项目在加热熔融过程中也会不可避免地会产生少量的臭气。</w:t>
            </w:r>
          </w:p>
          <w:p w14:paraId="176E434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类比《河源市华益盛模具有限公司年产模具1000套、注塑产品3000吨、汽车内饰件580万件项目竣工环境保护验收监测报告》，其规模为年生产注塑产品3000吨，种类包括PP、PC、ABS、PS，生产工艺与本项目相同，臭气浓度进口最大浓度为</w:t>
            </w:r>
            <w:r>
              <w:rPr>
                <w:rFonts w:hint="eastAsia" w:ascii="Times New Roman" w:hAnsi="Times New Roman" w:cs="Times New Roman"/>
                <w:color w:val="auto"/>
                <w:sz w:val="24"/>
                <w:szCs w:val="24"/>
                <w:highlight w:val="none"/>
                <w:lang w:val="en-US" w:eastAsia="zh-CN"/>
              </w:rPr>
              <w:t>1318</w:t>
            </w:r>
            <w:r>
              <w:rPr>
                <w:rFonts w:hint="default" w:ascii="Times New Roman" w:hAnsi="Times New Roman" w:cs="Times New Roman"/>
                <w:color w:val="auto"/>
                <w:sz w:val="24"/>
                <w:szCs w:val="24"/>
                <w:highlight w:val="none"/>
                <w:lang w:val="en-US" w:eastAsia="zh-CN"/>
              </w:rPr>
              <w:t>（无量纲），</w:t>
            </w:r>
            <w:r>
              <w:rPr>
                <w:rFonts w:hint="eastAsia" w:ascii="Times New Roman" w:hAnsi="Times New Roman" w:cs="Times New Roman"/>
                <w:color w:val="auto"/>
                <w:sz w:val="24"/>
                <w:szCs w:val="24"/>
                <w:highlight w:val="none"/>
                <w:lang w:val="en-US" w:eastAsia="zh-CN"/>
              </w:rPr>
              <w:t>本项目注塑件年产10000吨塑料制品，原料为</w:t>
            </w:r>
            <w:r>
              <w:rPr>
                <w:rFonts w:hint="default" w:ascii="Times New Roman" w:hAnsi="Times New Roman" w:cs="Times New Roman"/>
                <w:color w:val="auto"/>
                <w:sz w:val="24"/>
                <w:szCs w:val="24"/>
                <w:highlight w:val="none"/>
                <w:lang w:val="en-US" w:eastAsia="zh-CN"/>
              </w:rPr>
              <w:t>PP、PE</w:t>
            </w:r>
            <w:r>
              <w:rPr>
                <w:rFonts w:hint="eastAsia" w:ascii="Times New Roman" w:hAnsi="Times New Roman"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按照最不利环境影响评价原则，</w:t>
            </w:r>
            <w:r>
              <w:rPr>
                <w:rFonts w:hint="default" w:ascii="Times New Roman" w:hAnsi="Times New Roman" w:eastAsia="宋体" w:cs="Times New Roman"/>
                <w:color w:val="auto"/>
                <w:sz w:val="24"/>
                <w:szCs w:val="24"/>
                <w:highlight w:val="none"/>
                <w:lang w:val="en-US" w:eastAsia="zh-CN"/>
              </w:rPr>
              <w:t>本评价按</w:t>
            </w:r>
            <w:r>
              <w:rPr>
                <w:rFonts w:hint="eastAsia" w:ascii="Times New Roman" w:hAnsi="Times New Roman" w:eastAsia="宋体" w:cs="Times New Roman"/>
                <w:color w:val="auto"/>
                <w:sz w:val="24"/>
                <w:szCs w:val="24"/>
                <w:highlight w:val="none"/>
                <w:lang w:val="en-US" w:eastAsia="zh-CN"/>
              </w:rPr>
              <w:t>4400</w:t>
            </w:r>
            <w:r>
              <w:rPr>
                <w:rFonts w:hint="default" w:ascii="Times New Roman" w:hAnsi="Times New Roman" w:eastAsia="宋体" w:cs="Times New Roman"/>
                <w:color w:val="auto"/>
                <w:sz w:val="24"/>
                <w:szCs w:val="24"/>
                <w:highlight w:val="none"/>
                <w:lang w:val="en-US" w:eastAsia="zh-CN"/>
              </w:rPr>
              <w:t>（无量纲）计算。</w:t>
            </w:r>
            <w:r>
              <w:rPr>
                <w:rFonts w:hint="eastAsia" w:ascii="Times New Roman" w:hAnsi="Times New Roman" w:eastAsia="宋体" w:cs="Times New Roman"/>
                <w:b w:val="0"/>
                <w:bCs w:val="0"/>
                <w:color w:val="auto"/>
                <w:sz w:val="24"/>
                <w:szCs w:val="22"/>
                <w:lang w:val="en-US" w:eastAsia="zh-CN"/>
              </w:rPr>
              <w:t>活性炭吸附/脱附+催化燃烧装置</w:t>
            </w:r>
            <w:r>
              <w:rPr>
                <w:rFonts w:hint="eastAsia" w:ascii="Times New Roman" w:hAnsi="Times New Roman" w:eastAsia="宋体" w:cs="Times New Roman"/>
                <w:color w:val="auto"/>
                <w:sz w:val="24"/>
                <w:lang w:val="en-GB" w:eastAsia="zh-CN"/>
              </w:rPr>
              <w:t>对臭气浓度的去除效率</w:t>
            </w:r>
            <w:r>
              <w:rPr>
                <w:rFonts w:hint="eastAsia" w:ascii="Times New Roman" w:hAnsi="Times New Roman" w:eastAsia="宋体" w:cs="Times New Roman"/>
                <w:color w:val="auto"/>
                <w:kern w:val="2"/>
                <w:sz w:val="24"/>
                <w:szCs w:val="24"/>
                <w:highlight w:val="none"/>
                <w:lang w:val="en-US" w:eastAsia="zh-CN" w:bidi="ar-SA"/>
              </w:rPr>
              <w:t>按照</w:t>
            </w:r>
            <w:r>
              <w:rPr>
                <w:rFonts w:hint="eastAsia" w:ascii="Times New Roman" w:hAnsi="Times New Roman" w:eastAsia="宋体" w:cs="Times New Roman"/>
                <w:color w:val="auto"/>
                <w:sz w:val="24"/>
                <w:lang w:val="en-US" w:eastAsia="zh-CN"/>
              </w:rPr>
              <w:t>70%</w:t>
            </w:r>
            <w:r>
              <w:rPr>
                <w:rFonts w:hint="eastAsia" w:ascii="Times New Roman" w:hAnsi="Times New Roman" w:eastAsia="宋体" w:cs="Times New Roman"/>
                <w:color w:val="auto"/>
                <w:kern w:val="2"/>
                <w:sz w:val="24"/>
                <w:szCs w:val="24"/>
                <w:highlight w:val="none"/>
                <w:lang w:val="en-US" w:eastAsia="zh-CN" w:bidi="ar-SA"/>
              </w:rPr>
              <w:t>计，则</w:t>
            </w:r>
            <w:r>
              <w:rPr>
                <w:rFonts w:hint="eastAsia" w:ascii="Times New Roman" w:hAnsi="Times New Roman" w:eastAsia="宋体" w:cs="Times New Roman"/>
                <w:color w:val="auto"/>
                <w:sz w:val="24"/>
                <w:lang w:val="en-US" w:eastAsia="zh-CN"/>
              </w:rPr>
              <w:t>臭气浓度排放为1320（无量纲），满足《恶臭污染物排放标准》（GB 14554-93）表2 恶臭污染物排放标准值。</w:t>
            </w:r>
          </w:p>
          <w:p w14:paraId="4FE6AD7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sz w:val="24"/>
                <w:highlight w:val="none"/>
                <w:lang w:eastAsia="zh-CN"/>
              </w:rPr>
            </w:pPr>
            <w:r>
              <w:rPr>
                <w:rFonts w:hint="eastAsia" w:ascii="Times New Roman" w:hAnsi="Times New Roman" w:eastAsia="宋体"/>
                <w:color w:val="auto"/>
                <w:kern w:val="2"/>
                <w:sz w:val="24"/>
                <w:szCs w:val="24"/>
                <w:highlight w:val="none"/>
                <w:lang w:val="en-US" w:eastAsia="zh-CN"/>
              </w:rPr>
              <w:t>无组织臭气浓度≤15（无量纲），满足</w:t>
            </w:r>
            <w:r>
              <w:rPr>
                <w:rFonts w:hint="eastAsia" w:ascii="Times New Roman" w:hAnsi="Times New Roman"/>
                <w:color w:val="auto"/>
                <w:sz w:val="24"/>
                <w:lang w:val="en-US" w:eastAsia="zh-CN"/>
              </w:rPr>
              <w:t>《恶臭污染物排放标准》（GB14554-93）表1恶臭污染物厂界二级新扩改建标准限值</w:t>
            </w:r>
            <w:r>
              <w:rPr>
                <w:rFonts w:hint="eastAsia" w:ascii="Times New Roman" w:hAnsi="Times New Roman"/>
                <w:color w:val="auto"/>
                <w:sz w:val="24"/>
                <w:lang w:val="en-US" w:eastAsia="zh-CN"/>
              </w:rPr>
              <w:t>。</w:t>
            </w:r>
          </w:p>
          <w:p w14:paraId="3E87E3B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（2）粉碎</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工序废气</w:t>
            </w:r>
          </w:p>
          <w:p w14:paraId="45966163">
            <w:pPr>
              <w:spacing w:line="480" w:lineRule="exact"/>
              <w:ind w:firstLine="482" w:firstLineChars="200"/>
              <w:rPr>
                <w:rFonts w:hint="eastAsia" w:ascii="Times New Roman" w:hAnsi="Times New Roman" w:eastAsia="宋体" w:cs="Times New Roman"/>
                <w:b/>
                <w:bCs/>
                <w:color w:val="000000" w:themeColor="text1"/>
                <w:sz w:val="24"/>
                <w:szCs w:val="22"/>
                <w:highlight w:val="none"/>
                <w:lang w:eastAsia="zh-CN"/>
                <w14:textFill>
                  <w14:solidFill>
                    <w14:schemeClr w14:val="tx1"/>
                  </w14:solidFill>
                </w14:textFill>
              </w:rPr>
            </w:pPr>
            <w:r>
              <w:rPr>
                <w:rFonts w:hint="eastAsia" w:ascii="Times New Roman" w:hAnsi="Times New Roman" w:eastAsia="宋体" w:cs="Times New Roman"/>
                <w:b/>
                <w:bCs/>
                <w:color w:val="000000" w:themeColor="text1"/>
                <w:sz w:val="24"/>
                <w:szCs w:val="22"/>
                <w:highlight w:val="none"/>
                <w:lang w:eastAsia="zh-CN"/>
                <w14:textFill>
                  <w14:solidFill>
                    <w14:schemeClr w14:val="tx1"/>
                  </w14:solidFill>
                </w14:textFill>
              </w:rPr>
              <w:t>源强：</w:t>
            </w:r>
          </w:p>
          <w:p w14:paraId="2315A7E6">
            <w:pPr>
              <w:spacing w:line="480" w:lineRule="exact"/>
              <w:ind w:firstLine="480" w:firstLineChars="200"/>
              <w:rPr>
                <w:rFonts w:hint="default"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本项目生产过程中会产生不合格品及退货订单产品，经粉碎后回用于生产，粉碎过程会产生颗粒物。根据企业提供材料，不合格品约为产品产量的</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2%，退货订单</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约为产品产量</w:t>
            </w:r>
            <w:r>
              <w:rPr>
                <w:rFonts w:hint="eastAsia" w:ascii="Times New Roman" w:hAnsi="Times New Roman" w:eastAsia="宋体" w:cs="Times New Roman"/>
                <w:b w:val="0"/>
                <w:bCs w:val="0"/>
                <w:color w:val="auto"/>
                <w:sz w:val="24"/>
                <w:szCs w:val="22"/>
                <w:highlight w:val="none"/>
                <w:lang w:eastAsia="zh-CN"/>
              </w:rPr>
              <w:t>的</w:t>
            </w:r>
            <w:r>
              <w:rPr>
                <w:rFonts w:hint="eastAsia" w:ascii="Times New Roman" w:hAnsi="Times New Roman" w:eastAsia="宋体" w:cs="Times New Roman"/>
                <w:b w:val="0"/>
                <w:bCs w:val="0"/>
                <w:color w:val="auto"/>
                <w:sz w:val="24"/>
                <w:szCs w:val="22"/>
                <w:highlight w:val="none"/>
                <w:lang w:val="en-US" w:eastAsia="zh-CN"/>
              </w:rPr>
              <w:t>3%，则</w:t>
            </w:r>
            <w:r>
              <w:rPr>
                <w:rFonts w:hint="eastAsia" w:ascii="Times New Roman" w:hAnsi="Times New Roman" w:eastAsia="宋体" w:cs="Times New Roman"/>
                <w:b w:val="0"/>
                <w:bCs w:val="0"/>
                <w:color w:val="auto"/>
                <w:sz w:val="24"/>
                <w:szCs w:val="22"/>
                <w:highlight w:val="none"/>
                <w:lang w:eastAsia="zh-CN"/>
              </w:rPr>
              <w:t>不合格品及退货订单产品的产生量为</w:t>
            </w:r>
            <w:r>
              <w:rPr>
                <w:rFonts w:hint="eastAsia" w:ascii="Times New Roman" w:hAnsi="Times New Roman" w:eastAsia="宋体" w:cs="Times New Roman"/>
                <w:b w:val="0"/>
                <w:bCs w:val="0"/>
                <w:color w:val="auto"/>
                <w:sz w:val="24"/>
                <w:szCs w:val="22"/>
                <w:highlight w:val="none"/>
                <w:lang w:val="en-US" w:eastAsia="zh-CN"/>
              </w:rPr>
              <w:t>500t，</w:t>
            </w:r>
            <w:r>
              <w:rPr>
                <w:rFonts w:hint="eastAsia" w:ascii="Times New Roman" w:hAnsi="Times New Roman" w:eastAsia="宋体" w:cs="Times New Roman"/>
                <w:b w:val="0"/>
                <w:bCs w:val="0"/>
                <w:color w:val="auto"/>
                <w:sz w:val="24"/>
                <w:szCs w:val="22"/>
                <w:highlight w:val="none"/>
                <w:lang w:eastAsia="zh-CN"/>
              </w:rPr>
              <w:t>根据《排放源统计调查产排污核算方法和系数手册--4200废弃资源综合利用行业系数手册），干法破碎颗粒物产污系数为</w:t>
            </w:r>
            <w:r>
              <w:rPr>
                <w:rFonts w:hint="eastAsia" w:ascii="Times New Roman" w:hAnsi="Times New Roman" w:eastAsia="宋体" w:cs="Times New Roman"/>
                <w:b w:val="0"/>
                <w:bCs w:val="0"/>
                <w:color w:val="auto"/>
                <w:sz w:val="24"/>
                <w:szCs w:val="22"/>
                <w:highlight w:val="none"/>
                <w:lang w:val="en-US" w:eastAsia="zh-CN"/>
              </w:rPr>
              <w:t>375</w:t>
            </w:r>
            <w:r>
              <w:rPr>
                <w:rFonts w:hint="eastAsia" w:ascii="Times New Roman" w:hAnsi="Times New Roman" w:eastAsia="宋体" w:cs="Times New Roman"/>
                <w:b w:val="0"/>
                <w:bCs w:val="0"/>
                <w:color w:val="auto"/>
                <w:sz w:val="24"/>
                <w:szCs w:val="22"/>
                <w:highlight w:val="none"/>
                <w:lang w:eastAsia="zh-CN"/>
              </w:rPr>
              <w:t>克/吨-原料，则粉碎工序粉尘产生量约为</w:t>
            </w:r>
            <w:r>
              <w:rPr>
                <w:rFonts w:hint="eastAsia" w:ascii="Times New Roman" w:hAnsi="Times New Roman" w:eastAsia="宋体" w:cs="Times New Roman"/>
                <w:b w:val="0"/>
                <w:bCs w:val="0"/>
                <w:color w:val="auto"/>
                <w:sz w:val="24"/>
                <w:szCs w:val="22"/>
                <w:highlight w:val="none"/>
                <w:lang w:val="en-US" w:eastAsia="zh-CN"/>
              </w:rPr>
              <w:t>0.1875</w:t>
            </w:r>
            <w:r>
              <w:rPr>
                <w:rFonts w:hint="eastAsia" w:ascii="Times New Roman" w:hAnsi="Times New Roman" w:eastAsia="宋体" w:cs="Times New Roman"/>
                <w:b w:val="0"/>
                <w:bCs w:val="0"/>
                <w:color w:val="auto"/>
                <w:sz w:val="24"/>
                <w:szCs w:val="22"/>
                <w:highlight w:val="none"/>
                <w:lang w:eastAsia="zh-CN"/>
              </w:rPr>
              <w:t>t/a。</w:t>
            </w:r>
          </w:p>
          <w:p w14:paraId="6FD64AC7">
            <w:pPr>
              <w:spacing w:line="480" w:lineRule="exact"/>
              <w:ind w:firstLine="482" w:firstLineChars="200"/>
              <w:rPr>
                <w:rFonts w:hint="eastAsia" w:ascii="Times New Roman" w:hAnsi="Times New Roman" w:eastAsia="宋体" w:cs="Times New Roman"/>
                <w:b/>
                <w:bCs/>
                <w:color w:val="auto"/>
                <w:sz w:val="24"/>
                <w:szCs w:val="22"/>
                <w:highlight w:val="none"/>
                <w:lang w:eastAsia="zh-CN"/>
              </w:rPr>
            </w:pPr>
            <w:r>
              <w:rPr>
                <w:rFonts w:hint="eastAsia" w:ascii="Times New Roman" w:hAnsi="Times New Roman" w:eastAsia="宋体" w:cs="Times New Roman"/>
                <w:b/>
                <w:bCs/>
                <w:color w:val="auto"/>
                <w:sz w:val="24"/>
                <w:szCs w:val="22"/>
                <w:highlight w:val="none"/>
                <w:lang w:eastAsia="zh-CN"/>
              </w:rPr>
              <w:t>收集及治理：</w:t>
            </w:r>
          </w:p>
          <w:p w14:paraId="07CCB504">
            <w:pPr>
              <w:spacing w:line="480" w:lineRule="exact"/>
              <w:ind w:firstLine="480" w:firstLineChars="200"/>
              <w:rPr>
                <w:rFonts w:hint="eastAsia" w:ascii="Times New Roman" w:hAnsi="Times New Roman" w:eastAsia="宋体" w:cs="Times New Roman"/>
                <w:b w:val="0"/>
                <w:bCs w:val="0"/>
                <w:color w:val="auto"/>
                <w:sz w:val="24"/>
                <w:szCs w:val="22"/>
                <w:highlight w:val="none"/>
                <w:lang w:eastAsia="zh-CN"/>
              </w:rPr>
            </w:pPr>
            <w:r>
              <w:rPr>
                <w:rFonts w:hint="eastAsia" w:ascii="Times New Roman" w:hAnsi="Times New Roman" w:eastAsia="宋体" w:cs="Times New Roman"/>
                <w:b w:val="0"/>
                <w:bCs w:val="0"/>
                <w:color w:val="auto"/>
                <w:sz w:val="24"/>
                <w:szCs w:val="22"/>
                <w:lang w:val="en-US" w:eastAsia="zh-CN"/>
              </w:rPr>
              <w:t>粉碎工序废气经集气罩（带软帘）收集后经布袋除尘器（TA002）处理，处理后经15m高排气筒DA002排放</w:t>
            </w:r>
            <w:r>
              <w:rPr>
                <w:rFonts w:hint="eastAsia" w:ascii="Times New Roman" w:hAnsi="Times New Roman" w:eastAsia="宋体" w:cs="Times New Roman"/>
                <w:b w:val="0"/>
                <w:bCs w:val="0"/>
                <w:color w:val="auto"/>
                <w:sz w:val="24"/>
                <w:szCs w:val="22"/>
                <w:highlight w:val="none"/>
                <w:lang w:eastAsia="zh-CN"/>
              </w:rPr>
              <w:t>，</w:t>
            </w:r>
            <w:r>
              <w:rPr>
                <w:rFonts w:hint="eastAsia" w:ascii="Times New Roman" w:hAnsi="Times New Roman" w:eastAsia="宋体" w:cs="Times New Roman"/>
                <w:color w:val="auto"/>
                <w:kern w:val="0"/>
                <w:sz w:val="24"/>
                <w:highlight w:val="none"/>
                <w:lang w:val="en-US" w:eastAsia="zh-CN"/>
              </w:rPr>
              <w:t>废</w:t>
            </w:r>
            <w:r>
              <w:rPr>
                <w:rFonts w:hint="eastAsia" w:ascii="Times New Roman" w:hAnsi="Times New Roman" w:eastAsia="宋体" w:cs="Times New Roman"/>
                <w:color w:val="auto"/>
                <w:kern w:val="0"/>
                <w:sz w:val="24"/>
                <w:highlight w:val="none"/>
                <w:lang w:val="en-US" w:eastAsia="zh-CN"/>
              </w:rPr>
              <w:t>气收集效率取80%，</w:t>
            </w:r>
            <w:r>
              <w:rPr>
                <w:rFonts w:hint="eastAsia" w:ascii="Times New Roman" w:hAnsi="Times New Roman" w:eastAsia="宋体" w:cs="Times New Roman"/>
                <w:color w:val="auto"/>
                <w:kern w:val="2"/>
                <w:sz w:val="24"/>
                <w:szCs w:val="24"/>
                <w:highlight w:val="none"/>
                <w:lang w:val="en-US" w:eastAsia="zh-CN" w:bidi="ar-SA"/>
              </w:rPr>
              <w:t>风机风量为3000m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/h，粉碎</w:t>
            </w:r>
            <w:r>
              <w:rPr>
                <w:rFonts w:hint="eastAsia" w:ascii="Times New Roman" w:hAnsi="Times New Roman" w:eastAsia="宋体" w:cs="Times New Roman"/>
                <w:color w:val="auto"/>
                <w:kern w:val="2"/>
                <w:sz w:val="24"/>
                <w:szCs w:val="24"/>
                <w:lang w:eastAsia="zh-CN"/>
              </w:rPr>
              <w:t>工序年工作</w:t>
            </w:r>
            <w:r>
              <w:rPr>
                <w:rFonts w:hint="eastAsia" w:ascii="Times New Roman" w:hAnsi="Times New Roman" w:eastAsia="宋体" w:cs="Times New Roman"/>
                <w:color w:val="auto"/>
                <w:kern w:val="2"/>
                <w:sz w:val="24"/>
                <w:szCs w:val="24"/>
                <w:lang w:val="en-US" w:eastAsia="zh-CN"/>
              </w:rPr>
              <w:t>1200h，</w:t>
            </w:r>
            <w:r>
              <w:rPr>
                <w:rFonts w:hint="eastAsia" w:ascii="Times New Roman" w:hAnsi="Times New Roman" w:eastAsia="宋体" w:cs="Times New Roman"/>
                <w:color w:val="auto"/>
                <w:kern w:val="0"/>
                <w:sz w:val="24"/>
                <w:highlight w:val="none"/>
                <w:lang w:val="en-US" w:eastAsia="zh-CN"/>
              </w:rPr>
              <w:t>则有组织颗粒物产生量为0.15</w:t>
            </w:r>
            <w:r>
              <w:rPr>
                <w:rFonts w:hint="default" w:ascii="Times New Roman" w:hAnsi="Times New Roman" w:eastAsia="宋体" w:cs="Times New Roman"/>
                <w:color w:val="auto"/>
                <w:kern w:val="0"/>
                <w:sz w:val="24"/>
                <w:highlight w:val="none"/>
                <w:lang w:eastAsia="zh-CN"/>
              </w:rPr>
              <w:t>t/a</w:t>
            </w:r>
            <w:r>
              <w:rPr>
                <w:rFonts w:hint="eastAsia" w:ascii="Times New Roman" w:hAnsi="Times New Roman" w:eastAsia="宋体" w:cs="Times New Roman"/>
                <w:color w:val="auto"/>
                <w:kern w:val="2"/>
                <w:sz w:val="24"/>
                <w:szCs w:val="24"/>
                <w:lang w:val="en-US" w:eastAsia="zh-CN"/>
              </w:rPr>
              <w:t>，</w:t>
            </w:r>
            <w:r>
              <w:rPr>
                <w:rFonts w:hint="default"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0.125</w:t>
            </w:r>
            <w:r>
              <w:rPr>
                <w:rFonts w:hint="default" w:ascii="Times New Roman" w:hAnsi="Times New Roman" w:eastAsia="宋体" w:cs="Times New Roman"/>
                <w:color w:val="auto"/>
                <w:kern w:val="2"/>
                <w:sz w:val="24"/>
                <w:szCs w:val="24"/>
                <w:lang w:val="en-US" w:eastAsia="zh-CN"/>
              </w:rPr>
              <w:t>kg/h</w:t>
            </w:r>
            <w:r>
              <w:rPr>
                <w:rFonts w:hint="eastAsia" w:ascii="Times New Roman" w:hAnsi="Times New Roman" w:eastAsia="宋体" w:cs="Times New Roman"/>
                <w:color w:val="auto"/>
                <w:kern w:val="2"/>
                <w:sz w:val="24"/>
                <w:szCs w:val="24"/>
                <w:lang w:val="en-US" w:eastAsia="zh-CN"/>
              </w:rPr>
              <w:t>，产生浓度为41.67</w:t>
            </w:r>
            <w:r>
              <w:rPr>
                <w:rFonts w:hint="eastAsia" w:ascii="Times New Roman" w:hAnsi="Times New Roman" w:eastAsia="宋体" w:cs="Times New Roman"/>
                <w:color w:val="auto"/>
                <w:kern w:val="2"/>
                <w:sz w:val="24"/>
                <w:szCs w:val="24"/>
                <w:highlight w:val="none"/>
                <w:lang w:val="en-US" w:eastAsia="zh-CN" w:bidi="ar-SA"/>
              </w:rPr>
              <w:t>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b w:val="0"/>
                <w:bCs w:val="0"/>
                <w:color w:val="auto"/>
                <w:sz w:val="24"/>
                <w:szCs w:val="22"/>
                <w:highlight w:val="none"/>
                <w:lang w:val="en-US" w:eastAsia="zh-CN"/>
              </w:rPr>
              <w:t>布袋除尘器</w:t>
            </w:r>
            <w:r>
              <w:rPr>
                <w:rFonts w:hint="eastAsia" w:ascii="Times New Roman" w:hAnsi="Times New Roman" w:eastAsia="宋体" w:cs="Times New Roman"/>
                <w:color w:val="auto"/>
                <w:kern w:val="2"/>
                <w:sz w:val="24"/>
                <w:szCs w:val="24"/>
                <w:highlight w:val="none"/>
                <w:lang w:val="en-US" w:eastAsia="zh-CN" w:bidi="ar-SA"/>
              </w:rPr>
              <w:t>对颗粒物的去除效率按照95%计</w:t>
            </w:r>
            <w:r>
              <w:rPr>
                <w:rFonts w:hint="eastAsia" w:ascii="Times New Roman" w:hAnsi="Times New Roman" w:eastAsia="宋体" w:cs="Times New Roman"/>
                <w:b w:val="0"/>
                <w:bCs w:val="0"/>
                <w:color w:val="auto"/>
                <w:sz w:val="24"/>
                <w:szCs w:val="22"/>
                <w:highlight w:val="none"/>
                <w:lang w:eastAsia="zh-CN"/>
              </w:rPr>
              <w:t>。</w:t>
            </w:r>
          </w:p>
          <w:p w14:paraId="20CB72D3">
            <w:pPr>
              <w:spacing w:line="480" w:lineRule="exact"/>
              <w:ind w:firstLine="482" w:firstLineChars="200"/>
              <w:rPr>
                <w:rFonts w:hint="eastAsia" w:ascii="Times New Roman" w:hAnsi="Times New Roman" w:eastAsia="宋体" w:cs="Times New Roman"/>
                <w:b/>
                <w:bCs/>
                <w:color w:val="auto"/>
                <w:sz w:val="24"/>
                <w:szCs w:val="22"/>
                <w:highlight w:val="none"/>
                <w:lang w:eastAsia="zh-CN"/>
              </w:rPr>
            </w:pPr>
            <w:r>
              <w:rPr>
                <w:rFonts w:hint="eastAsia" w:ascii="Times New Roman" w:hAnsi="Times New Roman" w:eastAsia="宋体" w:cs="Times New Roman"/>
                <w:b/>
                <w:bCs/>
                <w:color w:val="auto"/>
                <w:sz w:val="24"/>
                <w:szCs w:val="22"/>
                <w:highlight w:val="none"/>
                <w:lang w:eastAsia="zh-CN"/>
              </w:rPr>
              <w:t>排放：</w:t>
            </w:r>
          </w:p>
          <w:p w14:paraId="325AF3CB">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eastAsia="zh-CN"/>
              </w:rPr>
              <w:t>有组织颗粒物</w:t>
            </w:r>
            <w:r>
              <w:rPr>
                <w:rFonts w:hint="eastAsia" w:ascii="Times New Roman" w:hAnsi="Times New Roman" w:eastAsia="宋体" w:cs="Times New Roman"/>
                <w:b w:val="0"/>
                <w:bCs w:val="0"/>
                <w:color w:val="auto"/>
                <w:sz w:val="24"/>
                <w:szCs w:val="22"/>
                <w:highlight w:val="none"/>
                <w:lang w:val="en-GB" w:eastAsia="zh-CN"/>
              </w:rPr>
              <w:t>排放量为</w:t>
            </w:r>
            <w:r>
              <w:rPr>
                <w:rFonts w:hint="eastAsia" w:ascii="Times New Roman" w:hAnsi="Times New Roman" w:eastAsia="宋体" w:cs="Times New Roman"/>
                <w:b w:val="0"/>
                <w:bCs w:val="0"/>
                <w:color w:val="auto"/>
                <w:sz w:val="24"/>
                <w:szCs w:val="22"/>
                <w:highlight w:val="none"/>
                <w:lang w:val="en-US" w:eastAsia="zh-CN"/>
              </w:rPr>
              <w:t>0.0075</w:t>
            </w:r>
            <w:r>
              <w:rPr>
                <w:rFonts w:hint="eastAsia" w:ascii="Times New Roman" w:hAnsi="Times New Roman" w:eastAsia="宋体" w:cs="Times New Roman"/>
                <w:b w:val="0"/>
                <w:bCs w:val="0"/>
                <w:color w:val="auto"/>
                <w:sz w:val="24"/>
                <w:szCs w:val="22"/>
                <w:highlight w:val="none"/>
                <w:lang w:eastAsia="zh-CN"/>
              </w:rPr>
              <w:t>t/a</w:t>
            </w:r>
            <w:r>
              <w:rPr>
                <w:rFonts w:hint="eastAsia" w:ascii="Times New Roman" w:hAnsi="Times New Roman" w:eastAsia="宋体" w:cs="Times New Roman"/>
                <w:b w:val="0"/>
                <w:bCs w:val="0"/>
                <w:color w:val="auto"/>
                <w:sz w:val="24"/>
                <w:szCs w:val="22"/>
                <w:highlight w:val="none"/>
                <w:lang w:val="en-GB" w:eastAsia="zh-CN"/>
              </w:rPr>
              <w:t>，排放速率为</w:t>
            </w:r>
            <w:r>
              <w:rPr>
                <w:rFonts w:hint="eastAsia" w:ascii="Times New Roman" w:hAnsi="Times New Roman" w:eastAsia="宋体" w:cs="Times New Roman"/>
                <w:b w:val="0"/>
                <w:bCs w:val="0"/>
                <w:color w:val="auto"/>
                <w:sz w:val="24"/>
                <w:szCs w:val="22"/>
                <w:highlight w:val="none"/>
                <w:lang w:val="en-US" w:eastAsia="zh-CN"/>
              </w:rPr>
              <w:t>0.0063</w:t>
            </w:r>
            <w:r>
              <w:rPr>
                <w:rFonts w:hint="eastAsia" w:ascii="Times New Roman" w:hAnsi="Times New Roman" w:eastAsia="宋体" w:cs="Times New Roman"/>
                <w:b w:val="0"/>
                <w:bCs w:val="0"/>
                <w:color w:val="auto"/>
                <w:sz w:val="24"/>
                <w:szCs w:val="22"/>
                <w:highlight w:val="none"/>
                <w:lang w:val="en-GB" w:eastAsia="zh-CN"/>
              </w:rPr>
              <w:t>kg/h，</w:t>
            </w:r>
            <w:r>
              <w:rPr>
                <w:rFonts w:hint="eastAsia" w:ascii="Times New Roman" w:hAnsi="Times New Roman" w:eastAsia="宋体" w:cs="Times New Roman"/>
                <w:b w:val="0"/>
                <w:bCs w:val="0"/>
                <w:color w:val="auto"/>
                <w:sz w:val="24"/>
                <w:szCs w:val="22"/>
                <w:highlight w:val="none"/>
                <w:lang w:val="en-US" w:eastAsia="zh-CN"/>
              </w:rPr>
              <w:t>排放浓度为2.1mg/m</w:t>
            </w:r>
            <w:r>
              <w:rPr>
                <w:rFonts w:hint="eastAsia" w:ascii="Times New Roman" w:hAnsi="Times New Roman" w:eastAsia="宋体" w:cs="Times New Roman"/>
                <w:b w:val="0"/>
                <w:bCs w:val="0"/>
                <w:color w:val="auto"/>
                <w:sz w:val="24"/>
                <w:szCs w:val="22"/>
                <w:highlight w:val="none"/>
                <w:vertAlign w:val="superscript"/>
                <w:lang w:val="en-US" w:eastAsia="zh-CN"/>
              </w:rPr>
              <w:t>3</w:t>
            </w:r>
            <w:r>
              <w:rPr>
                <w:rFonts w:hint="eastAsia" w:ascii="Times New Roman" w:hAnsi="Times New Roman" w:eastAsia="宋体" w:cs="Times New Roman"/>
                <w:b w:val="0"/>
                <w:bCs w:val="0"/>
                <w:color w:val="auto"/>
                <w:sz w:val="24"/>
                <w:szCs w:val="22"/>
                <w:highlight w:val="none"/>
                <w:lang w:val="en-US" w:eastAsia="zh-CN"/>
              </w:rPr>
              <w:t>。满足《合成树脂工业污染物排放标准》（GB31572-2015，含2024年修改单）中表5大气污染物特别排放标准限值。</w:t>
            </w:r>
          </w:p>
          <w:p w14:paraId="5BB20B56">
            <w:pPr>
              <w:spacing w:line="480" w:lineRule="exact"/>
              <w:ind w:firstLine="480" w:firstLineChars="200"/>
              <w:rPr>
                <w:rFonts w:hint="eastAsia" w:ascii="Times New Roman" w:hAnsi="Times New Roman" w:eastAsia="宋体" w:cs="Times New Roman"/>
                <w:b w:val="0"/>
                <w:bCs w:val="0"/>
                <w:color w:val="auto"/>
                <w:sz w:val="24"/>
                <w:szCs w:val="22"/>
                <w:highlight w:val="none"/>
                <w:lang w:eastAsia="zh-CN"/>
              </w:rPr>
            </w:pPr>
            <w:r>
              <w:rPr>
                <w:rFonts w:hint="eastAsia" w:ascii="Times New Roman" w:hAnsi="Times New Roman" w:eastAsia="宋体" w:cs="Times New Roman"/>
                <w:b w:val="0"/>
                <w:bCs w:val="0"/>
                <w:color w:val="auto"/>
                <w:sz w:val="24"/>
                <w:szCs w:val="22"/>
                <w:highlight w:val="none"/>
                <w:lang w:eastAsia="zh-CN"/>
              </w:rPr>
              <w:t>未收集的颗粒物无组织排放，</w:t>
            </w:r>
            <w:r>
              <w:rPr>
                <w:rFonts w:hint="eastAsia" w:ascii="Times New Roman" w:hAnsi="Times New Roman" w:eastAsia="宋体" w:cs="Times New Roman"/>
                <w:b w:val="0"/>
                <w:bCs w:val="0"/>
                <w:color w:val="auto"/>
                <w:sz w:val="24"/>
                <w:szCs w:val="22"/>
                <w:highlight w:val="none"/>
                <w:lang w:val="en-US" w:eastAsia="zh-CN"/>
              </w:rPr>
              <w:t>排放量为0.0375t/a，排放速率为0.0313kg/h，满足</w:t>
            </w:r>
            <w:r>
              <w:rPr>
                <w:rFonts w:hint="eastAsia" w:ascii="Times New Roman" w:hAnsi="Times New Roman"/>
                <w:color w:val="auto"/>
                <w:sz w:val="24"/>
                <w:lang w:val="en-US" w:eastAsia="zh-CN"/>
              </w:rPr>
              <w:t>《合成树脂工业污染物排放标准》（GB31572-2015，含2024年修改单）中</w:t>
            </w:r>
            <w:r>
              <w:rPr>
                <w:rFonts w:hint="eastAsia" w:ascii="Times New Roman" w:hAnsi="Times New Roman"/>
                <w:color w:val="auto"/>
                <w:sz w:val="24"/>
              </w:rPr>
              <w:t>表9企业边界大气污染物浓度限值</w:t>
            </w:r>
            <w:r>
              <w:rPr>
                <w:rFonts w:hint="eastAsia" w:ascii="Times New Roman" w:hAnsi="Times New Roman"/>
                <w:color w:val="auto"/>
                <w:sz w:val="24"/>
                <w:lang w:eastAsia="zh-CN"/>
              </w:rPr>
              <w:t>。</w:t>
            </w:r>
          </w:p>
          <w:p w14:paraId="24C5C0EB">
            <w:pPr>
              <w:pStyle w:val="83"/>
              <w:ind w:firstLine="480"/>
              <w:rPr>
                <w:rFonts w:hint="eastAsia" w:ascii="Times New Roman" w:hAnsi="Times New Roman" w:eastAsia="宋体" w:cs="Times New Roman"/>
                <w:color w:val="auto"/>
                <w:kern w:val="2"/>
                <w:szCs w:val="24"/>
                <w:highlight w:val="none"/>
                <w:lang w:eastAsia="zh-CN"/>
              </w:rPr>
            </w:pPr>
            <w:r>
              <w:rPr>
                <w:rFonts w:ascii="Times New Roman" w:hAnsi="Times New Roman" w:eastAsia="宋体" w:cs="Times New Roman"/>
                <w:color w:val="auto"/>
                <w:kern w:val="2"/>
                <w:szCs w:val="24"/>
                <w:highlight w:val="none"/>
              </w:rPr>
              <w:t>综上分析，项目产生的废气可做到达标排放，不会对当地大气环境质量造成明显的不利影响</w:t>
            </w:r>
            <w:r>
              <w:rPr>
                <w:rFonts w:hint="eastAsia" w:ascii="Times New Roman" w:hAnsi="Times New Roman" w:eastAsia="宋体" w:cs="Times New Roman"/>
                <w:color w:val="auto"/>
                <w:kern w:val="2"/>
                <w:szCs w:val="24"/>
                <w:highlight w:val="none"/>
                <w:lang w:eastAsia="zh-CN"/>
              </w:rPr>
              <w:t>。</w:t>
            </w:r>
          </w:p>
          <w:p w14:paraId="1F5D8F1F">
            <w:pPr>
              <w:pStyle w:val="83"/>
              <w:ind w:firstLine="480"/>
              <w:rPr>
                <w:rFonts w:hint="eastAsia"/>
                <w:color w:val="auto"/>
                <w:sz w:val="24"/>
                <w:lang w:val="en-US" w:eastAsia="zh-CN"/>
              </w:rPr>
            </w:pPr>
            <w:r>
              <w:rPr>
                <w:rFonts w:hint="eastAsia" w:ascii="Times New Roman" w:hAnsi="Times New Roman"/>
                <w:color w:val="auto"/>
                <w:sz w:val="24"/>
                <w:lang w:val="en-US" w:eastAsia="zh-CN"/>
              </w:rPr>
              <w:t>污染物产排情况见下表：</w:t>
            </w:r>
          </w:p>
        </w:tc>
      </w:tr>
    </w:tbl>
    <w:p w14:paraId="226EF0E9">
      <w:pPr>
        <w:rPr>
          <w:rFonts w:hint="default"/>
          <w:color w:val="auto"/>
        </w:rPr>
        <w:sectPr>
          <w:pgSz w:w="11915" w:h="16840"/>
          <w:pgMar w:top="1702" w:right="1531" w:bottom="2127" w:left="1531" w:header="851" w:footer="851" w:gutter="0"/>
          <w:cols w:space="425" w:num="1"/>
          <w:docGrid w:type="lines" w:linePitch="312" w:charSpace="0"/>
        </w:sectPr>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795"/>
      </w:tblGrid>
      <w:tr w14:paraId="7B80A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9"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40326C7A">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运营</w:t>
            </w:r>
          </w:p>
          <w:p w14:paraId="07F6814F">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期环</w:t>
            </w:r>
          </w:p>
          <w:p w14:paraId="004606AE">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境影</w:t>
            </w:r>
          </w:p>
          <w:p w14:paraId="1C4CC097">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响和</w:t>
            </w:r>
          </w:p>
          <w:p w14:paraId="22A6FD60">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保护</w:t>
            </w:r>
          </w:p>
          <w:p w14:paraId="18A83343">
            <w:pPr>
              <w:pStyle w:val="27"/>
              <w:adjustRightInd w:val="0"/>
              <w:snapToGrid w:val="0"/>
              <w:spacing w:beforeAutospacing="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bCs/>
                <w:color w:val="auto"/>
                <w:sz w:val="24"/>
                <w:szCs w:val="24"/>
                <w:lang w:bidi="ar"/>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18D6F3C5">
            <w:pPr>
              <w:spacing w:line="500" w:lineRule="exact"/>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4-2</w:t>
            </w:r>
            <w:r>
              <w:rPr>
                <w:rFonts w:ascii="Times New Roman" w:hAnsi="Times New Roman" w:eastAsia="宋体" w:cs="Times New Roman"/>
                <w:b/>
                <w:bCs/>
                <w:color w:val="auto"/>
                <w:sz w:val="24"/>
                <w:szCs w:val="24"/>
                <w:highlight w:val="none"/>
              </w:rPr>
              <w:t xml:space="preserve">  项目废气污染源产生排放情况一览表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
              <w:gridCol w:w="711"/>
              <w:gridCol w:w="379"/>
              <w:gridCol w:w="614"/>
              <w:gridCol w:w="465"/>
              <w:gridCol w:w="1059"/>
              <w:gridCol w:w="875"/>
              <w:gridCol w:w="722"/>
              <w:gridCol w:w="1335"/>
              <w:gridCol w:w="410"/>
              <w:gridCol w:w="405"/>
              <w:gridCol w:w="517"/>
              <w:gridCol w:w="939"/>
              <w:gridCol w:w="880"/>
              <w:gridCol w:w="729"/>
              <w:gridCol w:w="2238"/>
            </w:tblGrid>
            <w:tr w14:paraId="2BBA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restart"/>
                  <w:noWrap w:val="0"/>
                  <w:tcMar>
                    <w:left w:w="28" w:type="dxa"/>
                    <w:right w:w="28" w:type="dxa"/>
                  </w:tcMar>
                  <w:vAlign w:val="center"/>
                </w:tcPr>
                <w:p w14:paraId="35EC05D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序号</w:t>
                  </w:r>
                </w:p>
              </w:tc>
              <w:tc>
                <w:tcPr>
                  <w:tcW w:w="283" w:type="pct"/>
                  <w:vMerge w:val="restart"/>
                  <w:noWrap w:val="0"/>
                  <w:tcMar>
                    <w:left w:w="28" w:type="dxa"/>
                    <w:right w:w="28" w:type="dxa"/>
                  </w:tcMar>
                  <w:vAlign w:val="center"/>
                </w:tcPr>
                <w:p w14:paraId="1536CBF6">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产排污环节</w:t>
                  </w:r>
                </w:p>
              </w:tc>
              <w:tc>
                <w:tcPr>
                  <w:tcW w:w="150" w:type="pct"/>
                  <w:vMerge w:val="restart"/>
                  <w:noWrap w:val="0"/>
                  <w:tcMar>
                    <w:left w:w="28" w:type="dxa"/>
                    <w:right w:w="28" w:type="dxa"/>
                  </w:tcMar>
                  <w:vAlign w:val="center"/>
                </w:tcPr>
                <w:p w14:paraId="1A116DA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w:t>
                  </w:r>
                </w:p>
                <w:p w14:paraId="60CDA8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形式</w:t>
                  </w:r>
                </w:p>
              </w:tc>
              <w:tc>
                <w:tcPr>
                  <w:tcW w:w="244" w:type="pct"/>
                  <w:vMerge w:val="restart"/>
                  <w:noWrap w:val="0"/>
                  <w:tcMar>
                    <w:left w:w="28" w:type="dxa"/>
                    <w:right w:w="28" w:type="dxa"/>
                  </w:tcMar>
                  <w:vAlign w:val="center"/>
                </w:tcPr>
                <w:p w14:paraId="2B7D946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排气量</w:t>
                  </w:r>
                </w:p>
                <w:p w14:paraId="4C8661FD">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/h)</w:t>
                  </w:r>
                </w:p>
              </w:tc>
              <w:tc>
                <w:tcPr>
                  <w:tcW w:w="185" w:type="pct"/>
                  <w:vMerge w:val="restart"/>
                  <w:noWrap w:val="0"/>
                  <w:tcMar>
                    <w:left w:w="28" w:type="dxa"/>
                    <w:right w:w="28" w:type="dxa"/>
                  </w:tcMar>
                  <w:vAlign w:val="center"/>
                </w:tcPr>
                <w:p w14:paraId="5769BE6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污染物</w:t>
                  </w:r>
                </w:p>
              </w:tc>
              <w:tc>
                <w:tcPr>
                  <w:tcW w:w="1057" w:type="pct"/>
                  <w:gridSpan w:val="3"/>
                  <w:noWrap w:val="0"/>
                  <w:tcMar>
                    <w:left w:w="28" w:type="dxa"/>
                    <w:right w:w="28" w:type="dxa"/>
                  </w:tcMar>
                  <w:vAlign w:val="center"/>
                </w:tcPr>
                <w:p w14:paraId="2C959E71">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产生情况</w:t>
                  </w:r>
                </w:p>
              </w:tc>
              <w:tc>
                <w:tcPr>
                  <w:tcW w:w="531" w:type="pct"/>
                  <w:vMerge w:val="restart"/>
                  <w:noWrap w:val="0"/>
                  <w:tcMar>
                    <w:left w:w="28" w:type="dxa"/>
                    <w:right w:w="28" w:type="dxa"/>
                  </w:tcMar>
                  <w:vAlign w:val="center"/>
                </w:tcPr>
                <w:p w14:paraId="10ADBC99">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治理措施</w:t>
                  </w:r>
                </w:p>
              </w:tc>
              <w:tc>
                <w:tcPr>
                  <w:tcW w:w="163" w:type="pct"/>
                  <w:vMerge w:val="restart"/>
                  <w:noWrap w:val="0"/>
                  <w:tcMar>
                    <w:left w:w="28" w:type="dxa"/>
                    <w:right w:w="28" w:type="dxa"/>
                  </w:tcMar>
                  <w:vAlign w:val="center"/>
                </w:tcPr>
                <w:p w14:paraId="2FD9DAD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收集效率(%)</w:t>
                  </w:r>
                </w:p>
              </w:tc>
              <w:tc>
                <w:tcPr>
                  <w:tcW w:w="161" w:type="pct"/>
                  <w:vMerge w:val="restart"/>
                  <w:noWrap w:val="0"/>
                  <w:tcMar>
                    <w:left w:w="28" w:type="dxa"/>
                    <w:right w:w="28" w:type="dxa"/>
                  </w:tcMar>
                  <w:vAlign w:val="center"/>
                </w:tcPr>
                <w:p w14:paraId="27062E1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去除率(%)</w:t>
                  </w:r>
                </w:p>
              </w:tc>
              <w:tc>
                <w:tcPr>
                  <w:tcW w:w="205" w:type="pct"/>
                  <w:vMerge w:val="restart"/>
                  <w:noWrap w:val="0"/>
                  <w:tcMar>
                    <w:left w:w="28" w:type="dxa"/>
                    <w:right w:w="28" w:type="dxa"/>
                  </w:tcMar>
                  <w:vAlign w:val="center"/>
                </w:tcPr>
                <w:p w14:paraId="20A5447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是否为可行技术</w:t>
                  </w:r>
                </w:p>
              </w:tc>
              <w:tc>
                <w:tcPr>
                  <w:tcW w:w="1014" w:type="pct"/>
                  <w:gridSpan w:val="3"/>
                  <w:noWrap w:val="0"/>
                  <w:tcMar>
                    <w:left w:w="28" w:type="dxa"/>
                    <w:right w:w="28" w:type="dxa"/>
                  </w:tcMar>
                  <w:vAlign w:val="center"/>
                </w:tcPr>
                <w:p w14:paraId="08A9A09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排放情况</w:t>
                  </w:r>
                </w:p>
              </w:tc>
              <w:tc>
                <w:tcPr>
                  <w:tcW w:w="890" w:type="pct"/>
                  <w:vMerge w:val="restart"/>
                  <w:noWrap w:val="0"/>
                  <w:tcMar>
                    <w:left w:w="28" w:type="dxa"/>
                    <w:right w:w="28" w:type="dxa"/>
                  </w:tcMar>
                  <w:vAlign w:val="center"/>
                </w:tcPr>
                <w:p w14:paraId="6AA160A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排放标准</w:t>
                  </w:r>
                </w:p>
              </w:tc>
            </w:tr>
            <w:tr w14:paraId="39C6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continue"/>
                  <w:noWrap w:val="0"/>
                  <w:tcMar>
                    <w:left w:w="28" w:type="dxa"/>
                    <w:right w:w="28" w:type="dxa"/>
                  </w:tcMar>
                  <w:vAlign w:val="center"/>
                </w:tcPr>
                <w:p w14:paraId="7F82EEFB">
                  <w:pPr>
                    <w:rPr>
                      <w:rFonts w:ascii="Calibri" w:hAnsi="Calibri" w:eastAsia="宋体" w:cs="Times New Roman"/>
                      <w:color w:val="auto"/>
                      <w:highlight w:val="none"/>
                    </w:rPr>
                  </w:pPr>
                </w:p>
              </w:tc>
              <w:tc>
                <w:tcPr>
                  <w:tcW w:w="283" w:type="pct"/>
                  <w:vMerge w:val="continue"/>
                  <w:noWrap w:val="0"/>
                  <w:tcMar>
                    <w:left w:w="28" w:type="dxa"/>
                    <w:right w:w="28" w:type="dxa"/>
                  </w:tcMar>
                  <w:vAlign w:val="center"/>
                </w:tcPr>
                <w:p w14:paraId="714A34B7">
                  <w:pPr>
                    <w:rPr>
                      <w:rFonts w:ascii="Calibri" w:hAnsi="Calibri" w:eastAsia="宋体" w:cs="Times New Roman"/>
                      <w:color w:val="auto"/>
                      <w:highlight w:val="none"/>
                    </w:rPr>
                  </w:pPr>
                </w:p>
              </w:tc>
              <w:tc>
                <w:tcPr>
                  <w:tcW w:w="150" w:type="pct"/>
                  <w:vMerge w:val="continue"/>
                  <w:noWrap w:val="0"/>
                  <w:tcMar>
                    <w:left w:w="28" w:type="dxa"/>
                    <w:right w:w="28" w:type="dxa"/>
                  </w:tcMar>
                  <w:vAlign w:val="center"/>
                </w:tcPr>
                <w:p w14:paraId="661D0A7B">
                  <w:pPr>
                    <w:rPr>
                      <w:rFonts w:ascii="Calibri" w:hAnsi="Calibri" w:eastAsia="宋体" w:cs="Times New Roman"/>
                      <w:color w:val="auto"/>
                      <w:highlight w:val="none"/>
                    </w:rPr>
                  </w:pPr>
                </w:p>
              </w:tc>
              <w:tc>
                <w:tcPr>
                  <w:tcW w:w="244" w:type="pct"/>
                  <w:vMerge w:val="continue"/>
                  <w:noWrap w:val="0"/>
                  <w:tcMar>
                    <w:left w:w="28" w:type="dxa"/>
                    <w:right w:w="28" w:type="dxa"/>
                  </w:tcMar>
                  <w:vAlign w:val="center"/>
                </w:tcPr>
                <w:p w14:paraId="03DA85EB">
                  <w:pPr>
                    <w:rPr>
                      <w:rFonts w:ascii="Calibri" w:hAnsi="Calibri" w:eastAsia="宋体" w:cs="Times New Roman"/>
                      <w:color w:val="auto"/>
                      <w:highlight w:val="none"/>
                    </w:rPr>
                  </w:pPr>
                </w:p>
              </w:tc>
              <w:tc>
                <w:tcPr>
                  <w:tcW w:w="185" w:type="pct"/>
                  <w:vMerge w:val="continue"/>
                  <w:noWrap w:val="0"/>
                  <w:tcMar>
                    <w:left w:w="28" w:type="dxa"/>
                    <w:right w:w="28" w:type="dxa"/>
                  </w:tcMar>
                  <w:vAlign w:val="center"/>
                </w:tcPr>
                <w:p w14:paraId="0A65A35E">
                  <w:pPr>
                    <w:rPr>
                      <w:rFonts w:ascii="Calibri" w:hAnsi="Calibri" w:eastAsia="宋体" w:cs="Times New Roman"/>
                      <w:color w:val="auto"/>
                      <w:highlight w:val="none"/>
                    </w:rPr>
                  </w:pPr>
                </w:p>
              </w:tc>
              <w:tc>
                <w:tcPr>
                  <w:tcW w:w="421" w:type="pct"/>
                  <w:noWrap w:val="0"/>
                  <w:tcMar>
                    <w:left w:w="28" w:type="dxa"/>
                    <w:right w:w="28" w:type="dxa"/>
                  </w:tcMar>
                  <w:vAlign w:val="center"/>
                </w:tcPr>
                <w:p w14:paraId="1B323B9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产生浓度</w:t>
                  </w:r>
                </w:p>
                <w:p w14:paraId="2E4E4E6B">
                  <w:pPr>
                    <w:widowControl w:val="0"/>
                    <w:ind w:firstLine="0" w:firstLineChars="0"/>
                    <w:jc w:val="center"/>
                    <w:rPr>
                      <w:rFonts w:ascii="Times New Roman" w:hAnsi="Times New Roman" w:eastAsia="宋体" w:cs="Times New Roman"/>
                      <w:b/>
                      <w:color w:val="auto"/>
                      <w:spacing w:val="0"/>
                      <w:kern w:val="2"/>
                      <w:sz w:val="21"/>
                      <w:szCs w:val="21"/>
                      <w:highlight w:val="none"/>
                      <w:lang w:val="en-US" w:eastAsia="zh-CN" w:bidi="ar-SA"/>
                    </w:rPr>
                  </w:pPr>
                  <w:r>
                    <w:rPr>
                      <w:rFonts w:ascii="Times New Roman" w:hAnsi="Times New Roman" w:eastAsia="宋体" w:cs="Times New Roman"/>
                      <w:b/>
                      <w:color w:val="auto"/>
                      <w:spacing w:val="0"/>
                      <w:kern w:val="2"/>
                      <w:sz w:val="21"/>
                      <w:szCs w:val="21"/>
                      <w:highlight w:val="none"/>
                      <w:lang w:val="en-US" w:eastAsia="zh-CN" w:bidi="ar-SA"/>
                    </w:rPr>
                    <w:t>（mg/m</w:t>
                  </w:r>
                  <w:r>
                    <w:rPr>
                      <w:rFonts w:ascii="Times New Roman" w:hAnsi="Times New Roman" w:eastAsia="宋体" w:cs="Times New Roman"/>
                      <w:b/>
                      <w:color w:val="auto"/>
                      <w:spacing w:val="0"/>
                      <w:kern w:val="2"/>
                      <w:sz w:val="21"/>
                      <w:szCs w:val="21"/>
                      <w:highlight w:val="none"/>
                      <w:vertAlign w:val="superscript"/>
                      <w:lang w:val="en-US" w:eastAsia="zh-CN" w:bidi="ar-SA"/>
                    </w:rPr>
                    <w:t>3</w:t>
                  </w:r>
                  <w:r>
                    <w:rPr>
                      <w:rFonts w:ascii="Times New Roman" w:hAnsi="Times New Roman" w:eastAsia="宋体" w:cs="Times New Roman"/>
                      <w:b/>
                      <w:color w:val="auto"/>
                      <w:spacing w:val="0"/>
                      <w:kern w:val="2"/>
                      <w:sz w:val="21"/>
                      <w:szCs w:val="21"/>
                      <w:highlight w:val="none"/>
                      <w:lang w:val="en-US" w:eastAsia="zh-CN" w:bidi="ar-SA"/>
                    </w:rPr>
                    <w:t>）</w:t>
                  </w:r>
                </w:p>
              </w:tc>
              <w:tc>
                <w:tcPr>
                  <w:tcW w:w="348" w:type="pct"/>
                  <w:noWrap w:val="0"/>
                  <w:tcMar>
                    <w:left w:w="28" w:type="dxa"/>
                    <w:right w:w="28" w:type="dxa"/>
                  </w:tcMar>
                  <w:vAlign w:val="center"/>
                </w:tcPr>
                <w:p w14:paraId="6A7BCF5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产生速率（kg/h）</w:t>
                  </w:r>
                </w:p>
              </w:tc>
              <w:tc>
                <w:tcPr>
                  <w:tcW w:w="287" w:type="pct"/>
                  <w:noWrap w:val="0"/>
                  <w:tcMar>
                    <w:left w:w="28" w:type="dxa"/>
                    <w:right w:w="28" w:type="dxa"/>
                  </w:tcMar>
                  <w:vAlign w:val="center"/>
                </w:tcPr>
                <w:p w14:paraId="5463235C">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产生量</w:t>
                  </w:r>
                </w:p>
                <w:p w14:paraId="73A6C2FA">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（t/a）</w:t>
                  </w:r>
                </w:p>
              </w:tc>
              <w:tc>
                <w:tcPr>
                  <w:tcW w:w="531" w:type="pct"/>
                  <w:vMerge w:val="continue"/>
                  <w:noWrap w:val="0"/>
                  <w:tcMar>
                    <w:left w:w="28" w:type="dxa"/>
                    <w:right w:w="28" w:type="dxa"/>
                  </w:tcMar>
                  <w:vAlign w:val="center"/>
                </w:tcPr>
                <w:p w14:paraId="55D98373">
                  <w:pPr>
                    <w:rPr>
                      <w:rFonts w:ascii="Calibri" w:hAnsi="Calibri" w:eastAsia="宋体" w:cs="Times New Roman"/>
                      <w:color w:val="auto"/>
                      <w:highlight w:val="none"/>
                    </w:rPr>
                  </w:pPr>
                </w:p>
              </w:tc>
              <w:tc>
                <w:tcPr>
                  <w:tcW w:w="163" w:type="pct"/>
                  <w:vMerge w:val="continue"/>
                  <w:noWrap w:val="0"/>
                  <w:tcMar>
                    <w:left w:w="28" w:type="dxa"/>
                    <w:right w:w="28" w:type="dxa"/>
                  </w:tcMar>
                  <w:vAlign w:val="center"/>
                </w:tcPr>
                <w:p w14:paraId="2198F2DA">
                  <w:pPr>
                    <w:rPr>
                      <w:rFonts w:ascii="Calibri" w:hAnsi="Calibri" w:eastAsia="宋体" w:cs="Times New Roman"/>
                      <w:color w:val="auto"/>
                      <w:highlight w:val="none"/>
                    </w:rPr>
                  </w:pPr>
                </w:p>
              </w:tc>
              <w:tc>
                <w:tcPr>
                  <w:tcW w:w="161" w:type="pct"/>
                  <w:vMerge w:val="continue"/>
                  <w:noWrap w:val="0"/>
                  <w:tcMar>
                    <w:left w:w="28" w:type="dxa"/>
                    <w:right w:w="28" w:type="dxa"/>
                  </w:tcMar>
                  <w:vAlign w:val="center"/>
                </w:tcPr>
                <w:p w14:paraId="37D510E0">
                  <w:pPr>
                    <w:rPr>
                      <w:rFonts w:ascii="Calibri" w:hAnsi="Calibri" w:eastAsia="宋体" w:cs="Times New Roman"/>
                      <w:color w:val="auto"/>
                      <w:highlight w:val="none"/>
                    </w:rPr>
                  </w:pPr>
                </w:p>
              </w:tc>
              <w:tc>
                <w:tcPr>
                  <w:tcW w:w="205" w:type="pct"/>
                  <w:vMerge w:val="continue"/>
                  <w:noWrap w:val="0"/>
                  <w:tcMar>
                    <w:left w:w="28" w:type="dxa"/>
                    <w:right w:w="28" w:type="dxa"/>
                  </w:tcMar>
                  <w:vAlign w:val="center"/>
                </w:tcPr>
                <w:p w14:paraId="6BA7C72E">
                  <w:pPr>
                    <w:rPr>
                      <w:rFonts w:ascii="Calibri" w:hAnsi="Calibri" w:eastAsia="宋体" w:cs="Times New Roman"/>
                      <w:color w:val="auto"/>
                      <w:highlight w:val="none"/>
                    </w:rPr>
                  </w:pPr>
                </w:p>
              </w:tc>
              <w:tc>
                <w:tcPr>
                  <w:tcW w:w="373" w:type="pct"/>
                  <w:noWrap w:val="0"/>
                  <w:tcMar>
                    <w:left w:w="28" w:type="dxa"/>
                    <w:right w:w="28" w:type="dxa"/>
                  </w:tcMar>
                  <w:vAlign w:val="center"/>
                </w:tcPr>
                <w:p w14:paraId="124EBA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排放浓度（mg/m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w:t>
                  </w:r>
                </w:p>
              </w:tc>
              <w:tc>
                <w:tcPr>
                  <w:tcW w:w="350" w:type="pct"/>
                  <w:noWrap w:val="0"/>
                  <w:tcMar>
                    <w:left w:w="28" w:type="dxa"/>
                    <w:right w:w="28" w:type="dxa"/>
                  </w:tcMar>
                  <w:vAlign w:val="center"/>
                </w:tcPr>
                <w:p w14:paraId="7BF5D56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排放速率</w:t>
                  </w:r>
                </w:p>
                <w:p w14:paraId="2246831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（kg/h）</w:t>
                  </w:r>
                </w:p>
              </w:tc>
              <w:tc>
                <w:tcPr>
                  <w:tcW w:w="290" w:type="pct"/>
                  <w:noWrap w:val="0"/>
                  <w:tcMar>
                    <w:left w:w="28" w:type="dxa"/>
                    <w:right w:w="28" w:type="dxa"/>
                  </w:tcMar>
                  <w:vAlign w:val="center"/>
                </w:tcPr>
                <w:p w14:paraId="201BA97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排放量（t/a）</w:t>
                  </w:r>
                </w:p>
              </w:tc>
              <w:tc>
                <w:tcPr>
                  <w:tcW w:w="890" w:type="pct"/>
                  <w:vMerge w:val="continue"/>
                  <w:noWrap w:val="0"/>
                  <w:tcMar>
                    <w:left w:w="28" w:type="dxa"/>
                    <w:right w:w="28" w:type="dxa"/>
                  </w:tcMar>
                  <w:vAlign w:val="center"/>
                </w:tcPr>
                <w:p w14:paraId="149DEBB0">
                  <w:pPr>
                    <w:rPr>
                      <w:rFonts w:ascii="Calibri" w:hAnsi="Calibri" w:eastAsia="宋体" w:cs="Times New Roman"/>
                      <w:color w:val="auto"/>
                      <w:highlight w:val="none"/>
                    </w:rPr>
                  </w:pPr>
                </w:p>
              </w:tc>
            </w:tr>
            <w:tr w14:paraId="27E40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2DBEB90E">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1</w:t>
                  </w:r>
                </w:p>
              </w:tc>
              <w:tc>
                <w:tcPr>
                  <w:tcW w:w="283" w:type="pct"/>
                  <w:vMerge w:val="restart"/>
                  <w:noWrap w:val="0"/>
                  <w:tcMar>
                    <w:left w:w="28" w:type="dxa"/>
                    <w:right w:w="28" w:type="dxa"/>
                  </w:tcMar>
                  <w:vAlign w:val="center"/>
                </w:tcPr>
                <w:p w14:paraId="7626426E">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注塑工序</w:t>
                  </w:r>
                </w:p>
              </w:tc>
              <w:tc>
                <w:tcPr>
                  <w:tcW w:w="150" w:type="pct"/>
                  <w:vMerge w:val="restart"/>
                  <w:noWrap w:val="0"/>
                  <w:tcMar>
                    <w:left w:w="28" w:type="dxa"/>
                    <w:right w:w="28" w:type="dxa"/>
                  </w:tcMar>
                  <w:vAlign w:val="center"/>
                </w:tcPr>
                <w:p w14:paraId="49492E36">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vMerge w:val="restart"/>
                  <w:noWrap w:val="0"/>
                  <w:tcMar>
                    <w:left w:w="28" w:type="dxa"/>
                    <w:right w:w="28" w:type="dxa"/>
                  </w:tcMar>
                  <w:vAlign w:val="center"/>
                </w:tcPr>
                <w:p w14:paraId="3359E3B3">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15</w:t>
                  </w:r>
                  <w:r>
                    <w:rPr>
                      <w:rFonts w:hint="eastAsia" w:ascii="Times New Roman" w:hAnsi="Times New Roman" w:eastAsia="宋体" w:cs="Times New Roman"/>
                      <w:bCs/>
                      <w:color w:val="auto"/>
                      <w:szCs w:val="21"/>
                    </w:rPr>
                    <w:t>000</w:t>
                  </w:r>
                </w:p>
              </w:tc>
              <w:tc>
                <w:tcPr>
                  <w:tcW w:w="185" w:type="pct"/>
                  <w:noWrap w:val="0"/>
                  <w:tcMar>
                    <w:left w:w="28" w:type="dxa"/>
                    <w:right w:w="28" w:type="dxa"/>
                  </w:tcMar>
                  <w:vAlign w:val="center"/>
                </w:tcPr>
                <w:p w14:paraId="64F3CB38">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35B33A4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200</w:t>
                  </w:r>
                </w:p>
              </w:tc>
              <w:tc>
                <w:tcPr>
                  <w:tcW w:w="348" w:type="pct"/>
                  <w:noWrap w:val="0"/>
                  <w:tcMar>
                    <w:left w:w="28" w:type="dxa"/>
                    <w:right w:w="28" w:type="dxa"/>
                  </w:tcMar>
                  <w:vAlign w:val="center"/>
                </w:tcPr>
                <w:p w14:paraId="0994829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w:t>
                  </w:r>
                </w:p>
              </w:tc>
              <w:tc>
                <w:tcPr>
                  <w:tcW w:w="287" w:type="pct"/>
                  <w:noWrap w:val="0"/>
                  <w:tcMar>
                    <w:left w:w="28" w:type="dxa"/>
                    <w:right w:w="28" w:type="dxa"/>
                  </w:tcMar>
                  <w:vAlign w:val="center"/>
                </w:tcPr>
                <w:p w14:paraId="225B9FF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21.6</w:t>
                  </w:r>
                </w:p>
              </w:tc>
              <w:tc>
                <w:tcPr>
                  <w:tcW w:w="531" w:type="pct"/>
                  <w:vMerge w:val="restart"/>
                  <w:noWrap w:val="0"/>
                  <w:tcMar>
                    <w:left w:w="28" w:type="dxa"/>
                    <w:right w:w="28" w:type="dxa"/>
                  </w:tcMar>
                  <w:vAlign w:val="center"/>
                </w:tcPr>
                <w:p w14:paraId="6D72F665">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经集气罩（带软帘）收集后经“活性炭吸附/脱附+催化燃烧装置”（TA001）处理，处理后经15m高排气筒DA001排放</w:t>
                  </w:r>
                </w:p>
              </w:tc>
              <w:tc>
                <w:tcPr>
                  <w:tcW w:w="163" w:type="pct"/>
                  <w:vMerge w:val="restart"/>
                  <w:noWrap w:val="0"/>
                  <w:tcMar>
                    <w:left w:w="28" w:type="dxa"/>
                    <w:right w:w="28" w:type="dxa"/>
                  </w:tcMar>
                  <w:vAlign w:val="center"/>
                </w:tcPr>
                <w:p w14:paraId="1B345716">
                  <w:pPr>
                    <w:jc w:val="center"/>
                    <w:rPr>
                      <w:rFonts w:hint="default" w:ascii="Times New Roman" w:hAnsi="Times New Roman" w:eastAsia="宋体" w:cs="Times New Roman"/>
                      <w:bCs/>
                      <w:color w:val="auto"/>
                      <w:szCs w:val="21"/>
                      <w:lang w:val="en-US"/>
                    </w:rPr>
                  </w:pPr>
                  <w:r>
                    <w:rPr>
                      <w:rFonts w:hint="eastAsia" w:ascii="Times New Roman" w:hAnsi="Times New Roman" w:eastAsia="宋体" w:cs="Times New Roman"/>
                      <w:bCs/>
                      <w:color w:val="auto"/>
                      <w:szCs w:val="21"/>
                      <w:lang w:val="en-US" w:eastAsia="zh-CN"/>
                    </w:rPr>
                    <w:t>80</w:t>
                  </w:r>
                </w:p>
              </w:tc>
              <w:tc>
                <w:tcPr>
                  <w:tcW w:w="161" w:type="pct"/>
                  <w:noWrap w:val="0"/>
                  <w:tcMar>
                    <w:left w:w="28" w:type="dxa"/>
                    <w:right w:w="28" w:type="dxa"/>
                  </w:tcMar>
                  <w:vAlign w:val="center"/>
                </w:tcPr>
                <w:p w14:paraId="1F094727">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90</w:t>
                  </w:r>
                </w:p>
              </w:tc>
              <w:tc>
                <w:tcPr>
                  <w:tcW w:w="205" w:type="pct"/>
                  <w:noWrap w:val="0"/>
                  <w:tcMar>
                    <w:left w:w="28" w:type="dxa"/>
                    <w:right w:w="28" w:type="dxa"/>
                  </w:tcMar>
                  <w:vAlign w:val="center"/>
                </w:tcPr>
                <w:p w14:paraId="79B1781B">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2ABB806D">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w:t>
                  </w:r>
                </w:p>
              </w:tc>
              <w:tc>
                <w:tcPr>
                  <w:tcW w:w="350" w:type="pct"/>
                  <w:noWrap w:val="0"/>
                  <w:tcMar>
                    <w:left w:w="28" w:type="dxa"/>
                    <w:right w:w="28" w:type="dxa"/>
                  </w:tcMar>
                  <w:vAlign w:val="center"/>
                </w:tcPr>
                <w:p w14:paraId="2254F38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0.3</w:t>
                  </w:r>
                </w:p>
              </w:tc>
              <w:tc>
                <w:tcPr>
                  <w:tcW w:w="290" w:type="pct"/>
                  <w:noWrap w:val="0"/>
                  <w:tcMar>
                    <w:left w:w="28" w:type="dxa"/>
                    <w:right w:w="28" w:type="dxa"/>
                  </w:tcMar>
                  <w:vAlign w:val="center"/>
                </w:tcPr>
                <w:p w14:paraId="0F9025E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2.16</w:t>
                  </w:r>
                </w:p>
              </w:tc>
              <w:tc>
                <w:tcPr>
                  <w:tcW w:w="890" w:type="pct"/>
                  <w:noWrap w:val="0"/>
                  <w:tcMar>
                    <w:left w:w="28" w:type="dxa"/>
                    <w:right w:w="28" w:type="dxa"/>
                  </w:tcMar>
                  <w:vAlign w:val="center"/>
                </w:tcPr>
                <w:p w14:paraId="25435E17">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《工业企业挥发性有机物排放控制标准》（DB13/2322-2016）表1中“有机化工业”排放限值及《合成树脂工业污染物排放标准》（GB31572-2015，含2024年修改单）中表5大气污染物特别排放限值要求</w:t>
                  </w:r>
                </w:p>
              </w:tc>
            </w:tr>
            <w:tr w14:paraId="1C64C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119A9519">
                  <w:pPr>
                    <w:jc w:val="center"/>
                    <w:rPr>
                      <w:rFonts w:hint="eastAsia" w:ascii="Times New Roman" w:hAnsi="Times New Roman" w:eastAsia="宋体" w:cs="Times New Roman"/>
                      <w:color w:val="auto"/>
                      <w:szCs w:val="21"/>
                    </w:rPr>
                  </w:pPr>
                </w:p>
              </w:tc>
              <w:tc>
                <w:tcPr>
                  <w:tcW w:w="283" w:type="pct"/>
                  <w:vMerge w:val="continue"/>
                  <w:noWrap w:val="0"/>
                  <w:tcMar>
                    <w:left w:w="28" w:type="dxa"/>
                    <w:right w:w="28" w:type="dxa"/>
                  </w:tcMar>
                  <w:vAlign w:val="center"/>
                </w:tcPr>
                <w:p w14:paraId="0439D760">
                  <w:pPr>
                    <w:jc w:val="center"/>
                    <w:rPr>
                      <w:rFonts w:hint="eastAsia" w:ascii="Times New Roman" w:hAnsi="Times New Roman" w:eastAsia="宋体" w:cs="Times New Roman"/>
                      <w:bCs/>
                      <w:color w:val="auto"/>
                      <w:szCs w:val="21"/>
                      <w:lang w:val="en-US" w:eastAsia="zh-CN"/>
                    </w:rPr>
                  </w:pPr>
                </w:p>
              </w:tc>
              <w:tc>
                <w:tcPr>
                  <w:tcW w:w="150" w:type="pct"/>
                  <w:vMerge w:val="continue"/>
                  <w:noWrap w:val="0"/>
                  <w:tcMar>
                    <w:left w:w="28" w:type="dxa"/>
                    <w:right w:w="28" w:type="dxa"/>
                  </w:tcMar>
                  <w:vAlign w:val="center"/>
                </w:tcPr>
                <w:p w14:paraId="4D281ED8">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35147559">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3D08BE70">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臭气浓度</w:t>
                  </w:r>
                </w:p>
              </w:tc>
              <w:tc>
                <w:tcPr>
                  <w:tcW w:w="1057" w:type="pct"/>
                  <w:gridSpan w:val="3"/>
                  <w:noWrap w:val="0"/>
                  <w:tcMar>
                    <w:left w:w="28" w:type="dxa"/>
                    <w:right w:w="28" w:type="dxa"/>
                  </w:tcMar>
                  <w:vAlign w:val="center"/>
                </w:tcPr>
                <w:p w14:paraId="13FAFD39">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4400（无量纲）</w:t>
                  </w:r>
                </w:p>
              </w:tc>
              <w:tc>
                <w:tcPr>
                  <w:tcW w:w="531" w:type="pct"/>
                  <w:vMerge w:val="continue"/>
                  <w:noWrap w:val="0"/>
                  <w:tcMar>
                    <w:left w:w="28" w:type="dxa"/>
                    <w:right w:w="28" w:type="dxa"/>
                  </w:tcMar>
                  <w:vAlign w:val="center"/>
                </w:tcPr>
                <w:p w14:paraId="1FC00E12">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67C9A18D">
                  <w:pPr>
                    <w:jc w:val="center"/>
                    <w:rPr>
                      <w:rFonts w:hint="eastAsia" w:ascii="Times New Roman" w:hAnsi="Times New Roman" w:eastAsia="宋体" w:cs="Times New Roman"/>
                      <w:bCs/>
                      <w:color w:val="auto"/>
                      <w:szCs w:val="21"/>
                      <w:lang w:val="en-US" w:eastAsia="zh-CN"/>
                    </w:rPr>
                  </w:pPr>
                </w:p>
              </w:tc>
              <w:tc>
                <w:tcPr>
                  <w:tcW w:w="161" w:type="pct"/>
                  <w:noWrap w:val="0"/>
                  <w:tcMar>
                    <w:left w:w="28" w:type="dxa"/>
                    <w:right w:w="28" w:type="dxa"/>
                  </w:tcMar>
                  <w:vAlign w:val="center"/>
                </w:tcPr>
                <w:p w14:paraId="14CB4828">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70</w:t>
                  </w:r>
                </w:p>
              </w:tc>
              <w:tc>
                <w:tcPr>
                  <w:tcW w:w="205" w:type="pct"/>
                  <w:noWrap w:val="0"/>
                  <w:tcMar>
                    <w:left w:w="28" w:type="dxa"/>
                    <w:right w:w="28" w:type="dxa"/>
                  </w:tcMar>
                  <w:vAlign w:val="center"/>
                </w:tcPr>
                <w:p w14:paraId="14404BE1">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1014" w:type="pct"/>
                  <w:gridSpan w:val="3"/>
                  <w:noWrap w:val="0"/>
                  <w:tcMar>
                    <w:left w:w="28" w:type="dxa"/>
                    <w:right w:w="28" w:type="dxa"/>
                  </w:tcMar>
                  <w:vAlign w:val="center"/>
                </w:tcPr>
                <w:p w14:paraId="2A390A9C">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1320（无量纲）</w:t>
                  </w:r>
                </w:p>
              </w:tc>
              <w:tc>
                <w:tcPr>
                  <w:tcW w:w="890" w:type="pct"/>
                  <w:noWrap w:val="0"/>
                  <w:tcMar>
                    <w:left w:w="28" w:type="dxa"/>
                    <w:right w:w="28" w:type="dxa"/>
                  </w:tcMar>
                  <w:vAlign w:val="center"/>
                </w:tcPr>
                <w:p w14:paraId="6F01D63D">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《恶臭污染物排放标准》（GB 14554-93）表2 恶臭污染物排放标准值</w:t>
                  </w:r>
                </w:p>
              </w:tc>
            </w:tr>
            <w:tr w14:paraId="047A8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6D71071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283" w:type="pct"/>
                  <w:noWrap w:val="0"/>
                  <w:tcMar>
                    <w:left w:w="28" w:type="dxa"/>
                    <w:right w:w="28" w:type="dxa"/>
                  </w:tcMar>
                  <w:vAlign w:val="center"/>
                </w:tcPr>
                <w:p w14:paraId="2BD054CC">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粉碎工序</w:t>
                  </w:r>
                </w:p>
              </w:tc>
              <w:tc>
                <w:tcPr>
                  <w:tcW w:w="150" w:type="pct"/>
                  <w:noWrap w:val="0"/>
                  <w:tcMar>
                    <w:left w:w="28" w:type="dxa"/>
                    <w:right w:w="28" w:type="dxa"/>
                  </w:tcMar>
                  <w:vAlign w:val="center"/>
                </w:tcPr>
                <w:p w14:paraId="7A4D0375">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00564F1B">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3000</w:t>
                  </w:r>
                </w:p>
              </w:tc>
              <w:tc>
                <w:tcPr>
                  <w:tcW w:w="185" w:type="pct"/>
                  <w:noWrap w:val="0"/>
                  <w:tcMar>
                    <w:left w:w="28" w:type="dxa"/>
                    <w:right w:w="28" w:type="dxa"/>
                  </w:tcMar>
                  <w:vAlign w:val="center"/>
                </w:tcPr>
                <w:p w14:paraId="44F159A4">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2A5D2B8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41.67</w:t>
                  </w:r>
                </w:p>
              </w:tc>
              <w:tc>
                <w:tcPr>
                  <w:tcW w:w="348" w:type="pct"/>
                  <w:noWrap w:val="0"/>
                  <w:tcMar>
                    <w:left w:w="28" w:type="dxa"/>
                    <w:right w:w="28" w:type="dxa"/>
                  </w:tcMar>
                  <w:vAlign w:val="center"/>
                </w:tcPr>
                <w:p w14:paraId="765B986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0.125</w:t>
                  </w:r>
                </w:p>
              </w:tc>
              <w:tc>
                <w:tcPr>
                  <w:tcW w:w="287" w:type="pct"/>
                  <w:noWrap w:val="0"/>
                  <w:tcMar>
                    <w:left w:w="28" w:type="dxa"/>
                    <w:right w:w="28" w:type="dxa"/>
                  </w:tcMar>
                  <w:vAlign w:val="center"/>
                </w:tcPr>
                <w:p w14:paraId="5788977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0.15</w:t>
                  </w:r>
                </w:p>
              </w:tc>
              <w:tc>
                <w:tcPr>
                  <w:tcW w:w="531" w:type="pct"/>
                  <w:noWrap w:val="0"/>
                  <w:tcMar>
                    <w:left w:w="28" w:type="dxa"/>
                    <w:right w:w="28" w:type="dxa"/>
                  </w:tcMar>
                  <w:vAlign w:val="center"/>
                </w:tcPr>
                <w:p w14:paraId="3FA66FC5">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经集气罩（带软帘）收集后经布袋除尘器（TA002）处理，处理后经15m高排气筒DA002排放</w:t>
                  </w:r>
                </w:p>
              </w:tc>
              <w:tc>
                <w:tcPr>
                  <w:tcW w:w="163" w:type="pct"/>
                  <w:noWrap w:val="0"/>
                  <w:tcMar>
                    <w:left w:w="28" w:type="dxa"/>
                    <w:right w:w="28" w:type="dxa"/>
                  </w:tcMar>
                  <w:vAlign w:val="center"/>
                </w:tcPr>
                <w:p w14:paraId="690235DE">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80</w:t>
                  </w:r>
                </w:p>
              </w:tc>
              <w:tc>
                <w:tcPr>
                  <w:tcW w:w="161" w:type="pct"/>
                  <w:noWrap w:val="0"/>
                  <w:tcMar>
                    <w:left w:w="28" w:type="dxa"/>
                    <w:right w:w="28" w:type="dxa"/>
                  </w:tcMar>
                  <w:vAlign w:val="center"/>
                </w:tcPr>
                <w:p w14:paraId="31BAB04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95</w:t>
                  </w:r>
                </w:p>
              </w:tc>
              <w:tc>
                <w:tcPr>
                  <w:tcW w:w="205" w:type="pct"/>
                  <w:noWrap w:val="0"/>
                  <w:tcMar>
                    <w:left w:w="28" w:type="dxa"/>
                    <w:right w:w="28" w:type="dxa"/>
                  </w:tcMar>
                  <w:vAlign w:val="center"/>
                </w:tcPr>
                <w:p w14:paraId="67813ABB">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6D4D62D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2.1</w:t>
                  </w:r>
                </w:p>
              </w:tc>
              <w:tc>
                <w:tcPr>
                  <w:tcW w:w="350" w:type="pct"/>
                  <w:noWrap w:val="0"/>
                  <w:tcMar>
                    <w:left w:w="28" w:type="dxa"/>
                    <w:right w:w="28" w:type="dxa"/>
                  </w:tcMar>
                  <w:vAlign w:val="center"/>
                </w:tcPr>
                <w:p w14:paraId="634CC53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0.0063</w:t>
                  </w:r>
                </w:p>
              </w:tc>
              <w:tc>
                <w:tcPr>
                  <w:tcW w:w="290" w:type="pct"/>
                  <w:noWrap w:val="0"/>
                  <w:tcMar>
                    <w:left w:w="28" w:type="dxa"/>
                    <w:right w:w="28" w:type="dxa"/>
                  </w:tcMar>
                  <w:vAlign w:val="center"/>
                </w:tcPr>
                <w:p w14:paraId="02BAB63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0.0075</w:t>
                  </w:r>
                </w:p>
              </w:tc>
              <w:tc>
                <w:tcPr>
                  <w:tcW w:w="890" w:type="pct"/>
                  <w:noWrap w:val="0"/>
                  <w:tcMar>
                    <w:left w:w="28" w:type="dxa"/>
                    <w:right w:w="28" w:type="dxa"/>
                  </w:tcMar>
                  <w:vAlign w:val="center"/>
                </w:tcPr>
                <w:p w14:paraId="740197CB">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《合成树脂工业污染物排放标准》（GB31572-2015，含2024年修改单）中表5大气污染物特别排放标准限值</w:t>
                  </w:r>
                </w:p>
              </w:tc>
            </w:tr>
            <w:tr w14:paraId="1CFB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7B0523A9">
                  <w:pPr>
                    <w:tabs>
                      <w:tab w:val="left" w:pos="281"/>
                    </w:tabs>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83" w:type="pct"/>
                  <w:vMerge w:val="restart"/>
                  <w:noWrap w:val="0"/>
                  <w:tcMar>
                    <w:left w:w="28" w:type="dxa"/>
                    <w:right w:w="28" w:type="dxa"/>
                  </w:tcMar>
                  <w:vAlign w:val="center"/>
                </w:tcPr>
                <w:p w14:paraId="01CE6630">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厂界</w:t>
                  </w:r>
                </w:p>
              </w:tc>
              <w:tc>
                <w:tcPr>
                  <w:tcW w:w="150" w:type="pct"/>
                  <w:vMerge w:val="restart"/>
                  <w:noWrap w:val="0"/>
                  <w:tcMar>
                    <w:left w:w="28" w:type="dxa"/>
                    <w:right w:w="28" w:type="dxa"/>
                  </w:tcMar>
                  <w:vAlign w:val="center"/>
                </w:tcPr>
                <w:p w14:paraId="4184A043">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无组织</w:t>
                  </w:r>
                </w:p>
              </w:tc>
              <w:tc>
                <w:tcPr>
                  <w:tcW w:w="244" w:type="pct"/>
                  <w:vMerge w:val="restart"/>
                  <w:noWrap w:val="0"/>
                  <w:tcMar>
                    <w:left w:w="28" w:type="dxa"/>
                    <w:right w:w="28" w:type="dxa"/>
                  </w:tcMar>
                  <w:vAlign w:val="center"/>
                </w:tcPr>
                <w:p w14:paraId="6016441B">
                  <w:pPr>
                    <w:widowControl w:val="0"/>
                    <w:spacing w:line="240" w:lineRule="auto"/>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w:t>
                  </w:r>
                </w:p>
              </w:tc>
              <w:tc>
                <w:tcPr>
                  <w:tcW w:w="185" w:type="pct"/>
                  <w:noWrap w:val="0"/>
                  <w:tcMar>
                    <w:left w:w="28" w:type="dxa"/>
                    <w:right w:w="28" w:type="dxa"/>
                  </w:tcMar>
                  <w:vAlign w:val="center"/>
                </w:tcPr>
                <w:p w14:paraId="70A3601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22D4ED7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4283E5B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0.75</w:t>
                  </w:r>
                </w:p>
              </w:tc>
              <w:tc>
                <w:tcPr>
                  <w:tcW w:w="287" w:type="pct"/>
                  <w:noWrap w:val="0"/>
                  <w:tcMar>
                    <w:left w:w="28" w:type="dxa"/>
                    <w:right w:w="28" w:type="dxa"/>
                  </w:tcMar>
                  <w:vAlign w:val="center"/>
                </w:tcPr>
                <w:p w14:paraId="75944BD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w:t>
                  </w:r>
                </w:p>
              </w:tc>
              <w:tc>
                <w:tcPr>
                  <w:tcW w:w="531" w:type="pct"/>
                  <w:noWrap w:val="0"/>
                  <w:tcMar>
                    <w:left w:w="28" w:type="dxa"/>
                    <w:right w:w="28" w:type="dxa"/>
                  </w:tcMar>
                  <w:vAlign w:val="center"/>
                </w:tcPr>
                <w:p w14:paraId="70729A0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2F65508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61DF4BBA">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659412A0">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040A5D9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w:t>
                  </w:r>
                </w:p>
              </w:tc>
              <w:tc>
                <w:tcPr>
                  <w:tcW w:w="350" w:type="pct"/>
                  <w:noWrap w:val="0"/>
                  <w:tcMar>
                    <w:left w:w="28" w:type="dxa"/>
                    <w:right w:w="28" w:type="dxa"/>
                  </w:tcMar>
                  <w:vAlign w:val="center"/>
                </w:tcPr>
                <w:p w14:paraId="2CB715DC">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0.75</w:t>
                  </w:r>
                </w:p>
              </w:tc>
              <w:tc>
                <w:tcPr>
                  <w:tcW w:w="290" w:type="pct"/>
                  <w:noWrap w:val="0"/>
                  <w:tcMar>
                    <w:left w:w="28" w:type="dxa"/>
                    <w:right w:w="28" w:type="dxa"/>
                  </w:tcMar>
                  <w:vAlign w:val="center"/>
                </w:tcPr>
                <w:p w14:paraId="19EEBB8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w:t>
                  </w:r>
                </w:p>
              </w:tc>
              <w:tc>
                <w:tcPr>
                  <w:tcW w:w="890" w:type="pct"/>
                  <w:noWrap w:val="0"/>
                  <w:tcMar>
                    <w:left w:w="28" w:type="dxa"/>
                    <w:right w:w="28" w:type="dxa"/>
                  </w:tcMar>
                  <w:vAlign w:val="center"/>
                </w:tcPr>
                <w:p w14:paraId="4C6A6F36">
                  <w:pPr>
                    <w:tabs>
                      <w:tab w:val="left" w:pos="281"/>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rPr>
                    <w:t>《工业企业挥发性有机物排放控制标准》（DB13/2322-2016）表2其他企业边界大气污染物浓度限值要求，同时满足《挥发性有机物无组织排放控制标准》（GB37822-2019）表 A.1 厂区内VOCs无组织特别排放限值要求</w:t>
                  </w:r>
                </w:p>
              </w:tc>
            </w:tr>
            <w:tr w14:paraId="6C39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5D2E47B0">
                  <w:pPr>
                    <w:tabs>
                      <w:tab w:val="left" w:pos="281"/>
                    </w:tabs>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61A1922D">
                  <w:pPr>
                    <w:tabs>
                      <w:tab w:val="left" w:pos="281"/>
                    </w:tabs>
                    <w:jc w:val="center"/>
                    <w:rPr>
                      <w:rFonts w:ascii="Times New Roman" w:hAnsi="Times New Roman" w:eastAsia="宋体" w:cs="Times New Roman"/>
                      <w:color w:val="auto"/>
                      <w:szCs w:val="21"/>
                    </w:rPr>
                  </w:pPr>
                </w:p>
              </w:tc>
              <w:tc>
                <w:tcPr>
                  <w:tcW w:w="150" w:type="pct"/>
                  <w:vMerge w:val="continue"/>
                  <w:noWrap w:val="0"/>
                  <w:tcMar>
                    <w:left w:w="28" w:type="dxa"/>
                    <w:right w:w="28" w:type="dxa"/>
                  </w:tcMar>
                  <w:vAlign w:val="center"/>
                </w:tcPr>
                <w:p w14:paraId="58DF4DCA">
                  <w:pPr>
                    <w:tabs>
                      <w:tab w:val="left" w:pos="281"/>
                    </w:tabs>
                    <w:jc w:val="center"/>
                    <w:rPr>
                      <w:rFonts w:ascii="Times New Roman" w:hAnsi="Times New Roman" w:eastAsia="宋体" w:cs="Times New Roman"/>
                      <w:color w:val="auto"/>
                      <w:szCs w:val="21"/>
                    </w:rPr>
                  </w:pPr>
                </w:p>
              </w:tc>
              <w:tc>
                <w:tcPr>
                  <w:tcW w:w="244" w:type="pct"/>
                  <w:vMerge w:val="continue"/>
                  <w:noWrap w:val="0"/>
                  <w:tcMar>
                    <w:left w:w="28" w:type="dxa"/>
                    <w:right w:w="28" w:type="dxa"/>
                  </w:tcMar>
                  <w:vAlign w:val="center"/>
                </w:tcPr>
                <w:p w14:paraId="379FA8C1">
                  <w:pPr>
                    <w:widowControl w:val="0"/>
                    <w:spacing w:line="240" w:lineRule="auto"/>
                    <w:jc w:val="center"/>
                    <w:rPr>
                      <w:rFonts w:ascii="Times New Roman" w:hAnsi="Times New Roman" w:eastAsia="宋体" w:cs="Times New Roman"/>
                      <w:color w:val="auto"/>
                      <w:kern w:val="2"/>
                      <w:sz w:val="21"/>
                      <w:szCs w:val="21"/>
                      <w:lang w:val="en-US" w:eastAsia="zh-CN" w:bidi="ar-SA"/>
                    </w:rPr>
                  </w:pPr>
                </w:p>
              </w:tc>
              <w:tc>
                <w:tcPr>
                  <w:tcW w:w="185" w:type="pct"/>
                  <w:noWrap w:val="0"/>
                  <w:tcMar>
                    <w:left w:w="28" w:type="dxa"/>
                    <w:right w:w="28" w:type="dxa"/>
                  </w:tcMar>
                  <w:vAlign w:val="center"/>
                </w:tcPr>
                <w:p w14:paraId="7B6EF98A">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臭气浓度</w:t>
                  </w:r>
                </w:p>
              </w:tc>
              <w:tc>
                <w:tcPr>
                  <w:tcW w:w="1057" w:type="pct"/>
                  <w:gridSpan w:val="3"/>
                  <w:noWrap w:val="0"/>
                  <w:tcMar>
                    <w:left w:w="28" w:type="dxa"/>
                    <w:right w:w="28" w:type="dxa"/>
                  </w:tcMar>
                  <w:vAlign w:val="center"/>
                </w:tcPr>
                <w:p w14:paraId="28484F80">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15（无量纲）</w:t>
                  </w:r>
                </w:p>
              </w:tc>
              <w:tc>
                <w:tcPr>
                  <w:tcW w:w="531" w:type="pct"/>
                  <w:noWrap w:val="0"/>
                  <w:tcMar>
                    <w:left w:w="28" w:type="dxa"/>
                    <w:right w:w="28" w:type="dxa"/>
                  </w:tcMar>
                  <w:vAlign w:val="center"/>
                </w:tcPr>
                <w:p w14:paraId="004215F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170A5052">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51707B21">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339886B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014" w:type="pct"/>
                  <w:gridSpan w:val="3"/>
                  <w:noWrap w:val="0"/>
                  <w:tcMar>
                    <w:left w:w="28" w:type="dxa"/>
                    <w:right w:w="28" w:type="dxa"/>
                  </w:tcMar>
                  <w:vAlign w:val="center"/>
                </w:tcPr>
                <w:p w14:paraId="6773E9E4">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15（无量纲）</w:t>
                  </w:r>
                </w:p>
              </w:tc>
              <w:tc>
                <w:tcPr>
                  <w:tcW w:w="890" w:type="pct"/>
                  <w:noWrap w:val="0"/>
                  <w:tcMar>
                    <w:left w:w="28" w:type="dxa"/>
                    <w:right w:w="28" w:type="dxa"/>
                  </w:tcMar>
                  <w:vAlign w:val="center"/>
                </w:tcPr>
                <w:p w14:paraId="0FD23447">
                  <w:pPr>
                    <w:tabs>
                      <w:tab w:val="left" w:pos="28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《恶臭污染物排放标准》（GB14554-93）表1恶臭污染物厂界二级新扩改建标准限值</w:t>
                  </w:r>
                </w:p>
              </w:tc>
            </w:tr>
            <w:tr w14:paraId="14FBB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3E617E3C">
                  <w:pPr>
                    <w:rPr>
                      <w:rFonts w:ascii="Calibri" w:hAnsi="Calibri" w:eastAsia="宋体" w:cs="Times New Roman"/>
                      <w:color w:val="auto"/>
                    </w:rPr>
                  </w:pPr>
                </w:p>
              </w:tc>
              <w:tc>
                <w:tcPr>
                  <w:tcW w:w="283" w:type="pct"/>
                  <w:vMerge w:val="continue"/>
                  <w:noWrap w:val="0"/>
                  <w:tcMar>
                    <w:left w:w="28" w:type="dxa"/>
                    <w:right w:w="28" w:type="dxa"/>
                  </w:tcMar>
                  <w:vAlign w:val="center"/>
                </w:tcPr>
                <w:p w14:paraId="5E72E26C">
                  <w:pPr>
                    <w:rPr>
                      <w:rFonts w:ascii="Calibri" w:hAnsi="Calibri" w:eastAsia="宋体" w:cs="Times New Roman"/>
                      <w:color w:val="auto"/>
                    </w:rPr>
                  </w:pPr>
                </w:p>
              </w:tc>
              <w:tc>
                <w:tcPr>
                  <w:tcW w:w="150" w:type="pct"/>
                  <w:vMerge w:val="continue"/>
                  <w:noWrap w:val="0"/>
                  <w:tcMar>
                    <w:left w:w="28" w:type="dxa"/>
                    <w:right w:w="28" w:type="dxa"/>
                  </w:tcMar>
                  <w:vAlign w:val="center"/>
                </w:tcPr>
                <w:p w14:paraId="0194E202">
                  <w:pPr>
                    <w:rPr>
                      <w:rFonts w:ascii="Calibri" w:hAnsi="Calibri" w:eastAsia="宋体" w:cs="Times New Roman"/>
                      <w:color w:val="auto"/>
                    </w:rPr>
                  </w:pPr>
                </w:p>
              </w:tc>
              <w:tc>
                <w:tcPr>
                  <w:tcW w:w="244" w:type="pct"/>
                  <w:vMerge w:val="continue"/>
                  <w:noWrap w:val="0"/>
                  <w:tcMar>
                    <w:left w:w="28" w:type="dxa"/>
                    <w:right w:w="28" w:type="dxa"/>
                  </w:tcMar>
                  <w:vAlign w:val="center"/>
                </w:tcPr>
                <w:p w14:paraId="14BDAB00">
                  <w:pPr>
                    <w:rPr>
                      <w:rFonts w:ascii="Calibri" w:hAnsi="Calibri" w:eastAsia="宋体" w:cs="Times New Roman"/>
                      <w:color w:val="auto"/>
                    </w:rPr>
                  </w:pPr>
                </w:p>
              </w:tc>
              <w:tc>
                <w:tcPr>
                  <w:tcW w:w="185" w:type="pct"/>
                  <w:noWrap w:val="0"/>
                  <w:tcMar>
                    <w:left w:w="28" w:type="dxa"/>
                    <w:right w:w="28" w:type="dxa"/>
                  </w:tcMar>
                  <w:vAlign w:val="center"/>
                </w:tcPr>
                <w:p w14:paraId="36EF74C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421" w:type="pct"/>
                  <w:noWrap w:val="0"/>
                  <w:tcMar>
                    <w:left w:w="28" w:type="dxa"/>
                    <w:right w:w="28" w:type="dxa"/>
                  </w:tcMar>
                  <w:vAlign w:val="center"/>
                </w:tcPr>
                <w:p w14:paraId="3638D90C">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6E26C768">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0.0313</w:t>
                  </w:r>
                </w:p>
              </w:tc>
              <w:tc>
                <w:tcPr>
                  <w:tcW w:w="287" w:type="pct"/>
                  <w:noWrap w:val="0"/>
                  <w:tcMar>
                    <w:left w:w="28" w:type="dxa"/>
                    <w:right w:w="28" w:type="dxa"/>
                  </w:tcMar>
                  <w:vAlign w:val="center"/>
                </w:tcPr>
                <w:p w14:paraId="223BCFC1">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0.0375</w:t>
                  </w:r>
                </w:p>
              </w:tc>
              <w:tc>
                <w:tcPr>
                  <w:tcW w:w="531" w:type="pct"/>
                  <w:noWrap w:val="0"/>
                  <w:tcMar>
                    <w:left w:w="28" w:type="dxa"/>
                    <w:right w:w="28" w:type="dxa"/>
                  </w:tcMar>
                  <w:vAlign w:val="center"/>
                </w:tcPr>
                <w:p w14:paraId="6C966C0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692C01C8">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78A5A3B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54CA466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2657C6E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＜1.0</w:t>
                  </w:r>
                </w:p>
              </w:tc>
              <w:tc>
                <w:tcPr>
                  <w:tcW w:w="880" w:type="dxa"/>
                  <w:noWrap w:val="0"/>
                  <w:tcMar>
                    <w:left w:w="28" w:type="dxa"/>
                    <w:right w:w="28" w:type="dxa"/>
                  </w:tcMar>
                  <w:vAlign w:val="center"/>
                </w:tcPr>
                <w:p w14:paraId="06895585">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0.0313</w:t>
                  </w:r>
                </w:p>
              </w:tc>
              <w:tc>
                <w:tcPr>
                  <w:tcW w:w="729" w:type="dxa"/>
                  <w:noWrap w:val="0"/>
                  <w:tcMar>
                    <w:left w:w="28" w:type="dxa"/>
                    <w:right w:w="28" w:type="dxa"/>
                  </w:tcMar>
                  <w:vAlign w:val="center"/>
                </w:tcPr>
                <w:p w14:paraId="5591CD9A">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0.0375</w:t>
                  </w:r>
                </w:p>
              </w:tc>
              <w:tc>
                <w:tcPr>
                  <w:tcW w:w="890" w:type="pct"/>
                  <w:noWrap w:val="0"/>
                  <w:tcMar>
                    <w:left w:w="28" w:type="dxa"/>
                    <w:right w:w="28" w:type="dxa"/>
                  </w:tcMar>
                  <w:vAlign w:val="center"/>
                </w:tcPr>
                <w:p w14:paraId="4B129A59">
                  <w:pPr>
                    <w:tabs>
                      <w:tab w:val="left" w:pos="281"/>
                    </w:tabs>
                    <w:jc w:val="center"/>
                    <w:rPr>
                      <w:rFonts w:ascii="Times New Roman" w:hAnsi="Times New Roman" w:eastAsia="宋体" w:cs="Times New Roman"/>
                      <w:color w:val="auto"/>
                      <w:szCs w:val="21"/>
                    </w:rPr>
                  </w:pPr>
                  <w:r>
                    <w:rPr>
                      <w:rFonts w:hint="eastAsia" w:ascii="Times New Roman" w:hAnsi="Times New Roman"/>
                      <w:color w:val="auto"/>
                      <w:sz w:val="21"/>
                      <w:szCs w:val="21"/>
                      <w:lang w:val="en-US" w:eastAsia="zh-CN"/>
                    </w:rPr>
                    <w:t>《合成树脂工业污染物排放标准》（GB31572-2015，含2024年修改单）中</w:t>
                  </w:r>
                  <w:r>
                    <w:rPr>
                      <w:rFonts w:hint="eastAsia" w:ascii="Times New Roman" w:hAnsi="Times New Roman"/>
                      <w:color w:val="auto"/>
                      <w:sz w:val="21"/>
                      <w:szCs w:val="21"/>
                    </w:rPr>
                    <w:t>表9企业边界大气污染物浓度限值</w:t>
                  </w:r>
                </w:p>
              </w:tc>
            </w:tr>
          </w:tbl>
          <w:p w14:paraId="39D0341C">
            <w:pPr>
              <w:spacing w:line="500" w:lineRule="exact"/>
              <w:jc w:val="center"/>
              <w:rPr>
                <w:rFonts w:ascii="Times New Roman" w:hAnsi="Times New Roman" w:eastAsia="宋体" w:cs="Times New Roman"/>
                <w:b/>
                <w:bCs/>
                <w:color w:val="auto"/>
                <w:sz w:val="24"/>
                <w:szCs w:val="24"/>
                <w:highlight w:val="yellow"/>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4-3</w:t>
            </w:r>
            <w:r>
              <w:rPr>
                <w:rFonts w:ascii="Times New Roman" w:hAnsi="Times New Roman" w:eastAsia="宋体" w:cs="Times New Roman"/>
                <w:b/>
                <w:bCs/>
                <w:color w:val="auto"/>
                <w:sz w:val="24"/>
                <w:szCs w:val="24"/>
                <w:highlight w:val="none"/>
              </w:rPr>
              <w:t xml:space="preserve">  大气排放口基本情况一览表</w:t>
            </w:r>
          </w:p>
          <w:tbl>
            <w:tblPr>
              <w:tblStyle w:val="3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3013"/>
              <w:gridCol w:w="2357"/>
              <w:gridCol w:w="1184"/>
              <w:gridCol w:w="1121"/>
              <w:gridCol w:w="995"/>
              <w:gridCol w:w="1033"/>
              <w:gridCol w:w="774"/>
              <w:gridCol w:w="1350"/>
            </w:tblGrid>
            <w:tr w14:paraId="72A0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restart"/>
                  <w:noWrap w:val="0"/>
                  <w:vAlign w:val="center"/>
                </w:tcPr>
                <w:p w14:paraId="738D949D">
                  <w:pPr>
                    <w:jc w:val="center"/>
                    <w:rPr>
                      <w:rFonts w:ascii="Times New Roman" w:hAnsi="Times New Roman" w:eastAsia="宋体" w:cs="Times New Roman"/>
                      <w:b/>
                      <w:bCs/>
                      <w:color w:val="auto"/>
                    </w:rPr>
                  </w:pPr>
                  <w:r>
                    <w:rPr>
                      <w:rFonts w:ascii="Times New Roman" w:hAnsi="Times New Roman" w:eastAsia="宋体" w:cs="Times New Roman"/>
                      <w:b/>
                      <w:bCs/>
                      <w:color w:val="auto"/>
                    </w:rPr>
                    <w:t>排放口编号</w:t>
                  </w:r>
                </w:p>
              </w:tc>
              <w:tc>
                <w:tcPr>
                  <w:tcW w:w="1199" w:type="pct"/>
                  <w:vMerge w:val="restart"/>
                  <w:noWrap w:val="0"/>
                  <w:vAlign w:val="center"/>
                </w:tcPr>
                <w:p w14:paraId="3AE9CCB2">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排放口名称</w:t>
                  </w:r>
                </w:p>
              </w:tc>
              <w:tc>
                <w:tcPr>
                  <w:tcW w:w="938" w:type="pct"/>
                  <w:vMerge w:val="restart"/>
                  <w:noWrap w:val="0"/>
                  <w:vAlign w:val="center"/>
                </w:tcPr>
                <w:p w14:paraId="798C4A2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污染物种类</w:t>
                  </w:r>
                </w:p>
              </w:tc>
              <w:tc>
                <w:tcPr>
                  <w:tcW w:w="917" w:type="pct"/>
                  <w:gridSpan w:val="2"/>
                  <w:noWrap w:val="0"/>
                  <w:vAlign w:val="center"/>
                </w:tcPr>
                <w:p w14:paraId="7DDADB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排放口地理坐标(</w:t>
                  </w:r>
                  <w:r>
                    <w:rPr>
                      <w:rFonts w:ascii="Times New Roman" w:hAnsi="Times New Roman" w:eastAsia="宋体" w:cs="Times New Roman"/>
                      <w:b/>
                      <w:bCs/>
                      <w:color w:val="auto"/>
                      <w:vertAlign w:val="superscript"/>
                    </w:rPr>
                    <w:t>o</w:t>
                  </w:r>
                  <w:r>
                    <w:rPr>
                      <w:rFonts w:ascii="Times New Roman" w:hAnsi="Times New Roman" w:eastAsia="宋体" w:cs="Times New Roman"/>
                      <w:b/>
                      <w:bCs/>
                      <w:color w:val="auto"/>
                    </w:rPr>
                    <w:t>)</w:t>
                  </w:r>
                </w:p>
              </w:tc>
              <w:tc>
                <w:tcPr>
                  <w:tcW w:w="1115" w:type="pct"/>
                  <w:gridSpan w:val="3"/>
                  <w:noWrap w:val="0"/>
                  <w:vAlign w:val="center"/>
                </w:tcPr>
                <w:p w14:paraId="45B8F6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排气筒参数</w:t>
                  </w:r>
                </w:p>
              </w:tc>
              <w:tc>
                <w:tcPr>
                  <w:tcW w:w="537" w:type="pct"/>
                  <w:vMerge w:val="restart"/>
                  <w:noWrap w:val="0"/>
                  <w:vAlign w:val="center"/>
                </w:tcPr>
                <w:p w14:paraId="5CDCD057">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排放口类型</w:t>
                  </w:r>
                </w:p>
              </w:tc>
            </w:tr>
            <w:tr w14:paraId="0B6E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continue"/>
                  <w:noWrap w:val="0"/>
                  <w:vAlign w:val="center"/>
                </w:tcPr>
                <w:p w14:paraId="02C702A7">
                  <w:pPr>
                    <w:rPr>
                      <w:rFonts w:ascii="Calibri" w:hAnsi="Calibri" w:eastAsia="宋体" w:cs="Times New Roman"/>
                      <w:color w:val="auto"/>
                    </w:rPr>
                  </w:pPr>
                </w:p>
              </w:tc>
              <w:tc>
                <w:tcPr>
                  <w:tcW w:w="1199" w:type="pct"/>
                  <w:vMerge w:val="continue"/>
                  <w:noWrap w:val="0"/>
                  <w:vAlign w:val="center"/>
                </w:tcPr>
                <w:p w14:paraId="06FE8135">
                  <w:pPr>
                    <w:rPr>
                      <w:rFonts w:ascii="Calibri" w:hAnsi="Calibri" w:eastAsia="宋体" w:cs="Times New Roman"/>
                      <w:color w:val="auto"/>
                    </w:rPr>
                  </w:pPr>
                </w:p>
              </w:tc>
              <w:tc>
                <w:tcPr>
                  <w:tcW w:w="938" w:type="pct"/>
                  <w:vMerge w:val="continue"/>
                  <w:noWrap w:val="0"/>
                  <w:vAlign w:val="center"/>
                </w:tcPr>
                <w:p w14:paraId="233B4333">
                  <w:pPr>
                    <w:rPr>
                      <w:rFonts w:ascii="Calibri" w:hAnsi="Calibri" w:eastAsia="宋体" w:cs="Times New Roman"/>
                      <w:color w:val="auto"/>
                    </w:rPr>
                  </w:pPr>
                </w:p>
              </w:tc>
              <w:tc>
                <w:tcPr>
                  <w:tcW w:w="471" w:type="pct"/>
                  <w:noWrap w:val="0"/>
                  <w:vAlign w:val="center"/>
                </w:tcPr>
                <w:p w14:paraId="7DDC4E81">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经度</w:t>
                  </w:r>
                </w:p>
              </w:tc>
              <w:tc>
                <w:tcPr>
                  <w:tcW w:w="446" w:type="pct"/>
                  <w:noWrap w:val="0"/>
                  <w:vAlign w:val="center"/>
                </w:tcPr>
                <w:p w14:paraId="3D12E6A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纬度</w:t>
                  </w:r>
                </w:p>
              </w:tc>
              <w:tc>
                <w:tcPr>
                  <w:tcW w:w="396" w:type="pct"/>
                  <w:noWrap w:val="0"/>
                  <w:vAlign w:val="center"/>
                </w:tcPr>
                <w:p w14:paraId="1189C15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排气筒高度(m)</w:t>
                  </w:r>
                </w:p>
              </w:tc>
              <w:tc>
                <w:tcPr>
                  <w:tcW w:w="411" w:type="pct"/>
                  <w:noWrap w:val="0"/>
                  <w:vAlign w:val="center"/>
                </w:tcPr>
                <w:p w14:paraId="7E883A64">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排气筒出口内径(m)</w:t>
                  </w:r>
                </w:p>
              </w:tc>
              <w:tc>
                <w:tcPr>
                  <w:tcW w:w="308" w:type="pct"/>
                  <w:noWrap w:val="0"/>
                  <w:vAlign w:val="center"/>
                </w:tcPr>
                <w:p w14:paraId="6AFCDB78">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温度(℃)</w:t>
                  </w:r>
                </w:p>
              </w:tc>
              <w:tc>
                <w:tcPr>
                  <w:tcW w:w="537" w:type="pct"/>
                  <w:vMerge w:val="continue"/>
                  <w:noWrap w:val="0"/>
                  <w:vAlign w:val="center"/>
                </w:tcPr>
                <w:p w14:paraId="509B12DA">
                  <w:pPr>
                    <w:rPr>
                      <w:rFonts w:ascii="Calibri" w:hAnsi="Calibri" w:eastAsia="宋体" w:cs="Times New Roman"/>
                      <w:color w:val="auto"/>
                    </w:rPr>
                  </w:pPr>
                </w:p>
              </w:tc>
            </w:tr>
            <w:tr w14:paraId="1016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0D0399DE">
                  <w:pPr>
                    <w:jc w:val="center"/>
                    <w:rPr>
                      <w:rFonts w:ascii="Times New Roman" w:hAnsi="Times New Roman" w:eastAsia="宋体" w:cs="Times New Roman"/>
                      <w:color w:val="auto"/>
                    </w:rPr>
                  </w:pPr>
                  <w:r>
                    <w:rPr>
                      <w:rFonts w:ascii="Times New Roman" w:hAnsi="Times New Roman" w:eastAsia="宋体" w:cs="Times New Roman"/>
                      <w:color w:val="auto"/>
                    </w:rPr>
                    <w:t>DA001</w:t>
                  </w:r>
                </w:p>
              </w:tc>
              <w:tc>
                <w:tcPr>
                  <w:tcW w:w="1199" w:type="pct"/>
                  <w:noWrap w:val="0"/>
                  <w:vAlign w:val="center"/>
                </w:tcPr>
                <w:p w14:paraId="17A1C19B">
                  <w:pPr>
                    <w:widowControl/>
                    <w:jc w:val="center"/>
                    <w:textAlignment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kern w:val="0"/>
                      <w:szCs w:val="21"/>
                      <w:lang w:val="en-US" w:eastAsia="zh-CN" w:bidi="ar"/>
                    </w:rPr>
                    <w:t>注塑工序废气</w:t>
                  </w:r>
                  <w:r>
                    <w:rPr>
                      <w:rFonts w:ascii="Times New Roman" w:hAnsi="Times New Roman" w:eastAsia="宋体" w:cs="Times New Roman"/>
                      <w:color w:val="auto"/>
                      <w:kern w:val="0"/>
                      <w:szCs w:val="21"/>
                      <w:lang w:bidi="ar"/>
                    </w:rPr>
                    <w:t>排气筒</w:t>
                  </w:r>
                </w:p>
              </w:tc>
              <w:tc>
                <w:tcPr>
                  <w:tcW w:w="938" w:type="pct"/>
                  <w:noWrap w:val="0"/>
                  <w:vAlign w:val="center"/>
                </w:tcPr>
                <w:p w14:paraId="5DC7A026">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非甲烷总烃、臭气浓度</w:t>
                  </w:r>
                </w:p>
              </w:tc>
              <w:tc>
                <w:tcPr>
                  <w:tcW w:w="471" w:type="pct"/>
                  <w:noWrap w:val="0"/>
                  <w:vAlign w:val="center"/>
                </w:tcPr>
                <w:p w14:paraId="0CE3E8B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116.660516 </w:t>
                  </w:r>
                </w:p>
              </w:tc>
              <w:tc>
                <w:tcPr>
                  <w:tcW w:w="446" w:type="pct"/>
                  <w:noWrap w:val="0"/>
                  <w:vAlign w:val="center"/>
                </w:tcPr>
                <w:p w14:paraId="04DE718E">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39.351648</w:t>
                  </w:r>
                </w:p>
              </w:tc>
              <w:tc>
                <w:tcPr>
                  <w:tcW w:w="396" w:type="pct"/>
                  <w:noWrap w:val="0"/>
                  <w:vAlign w:val="center"/>
                </w:tcPr>
                <w:p w14:paraId="150C434E">
                  <w:pPr>
                    <w:jc w:val="center"/>
                    <w:rPr>
                      <w:rFonts w:ascii="Times New Roman" w:hAnsi="Times New Roman" w:eastAsia="宋体" w:cs="Times New Roman"/>
                      <w:color w:val="auto"/>
                    </w:rPr>
                  </w:pPr>
                  <w:r>
                    <w:rPr>
                      <w:rFonts w:ascii="Times New Roman" w:hAnsi="Times New Roman" w:eastAsia="宋体" w:cs="Times New Roman"/>
                      <w:color w:val="auto"/>
                    </w:rPr>
                    <w:t>15</w:t>
                  </w:r>
                </w:p>
              </w:tc>
              <w:tc>
                <w:tcPr>
                  <w:tcW w:w="411" w:type="pct"/>
                  <w:noWrap w:val="0"/>
                  <w:vAlign w:val="center"/>
                </w:tcPr>
                <w:p w14:paraId="2E001098">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0.6</w:t>
                  </w:r>
                </w:p>
              </w:tc>
              <w:tc>
                <w:tcPr>
                  <w:tcW w:w="308" w:type="pct"/>
                  <w:noWrap w:val="0"/>
                  <w:vAlign w:val="center"/>
                </w:tcPr>
                <w:p w14:paraId="6CA2D204">
                  <w:pPr>
                    <w:jc w:val="center"/>
                    <w:rPr>
                      <w:rFonts w:ascii="Times New Roman" w:hAnsi="Times New Roman" w:eastAsia="宋体" w:cs="Times New Roman"/>
                      <w:color w:val="auto"/>
                    </w:rPr>
                  </w:pPr>
                  <w:r>
                    <w:rPr>
                      <w:rFonts w:hint="eastAsia" w:ascii="Times New Roman" w:hAnsi="Times New Roman" w:eastAsia="宋体" w:cs="Times New Roman"/>
                      <w:color w:val="FF0000"/>
                      <w:lang w:val="en-US" w:eastAsia="zh-CN"/>
                    </w:rPr>
                    <w:t>8</w:t>
                  </w:r>
                  <w:r>
                    <w:rPr>
                      <w:rFonts w:ascii="Times New Roman" w:hAnsi="Times New Roman" w:eastAsia="宋体" w:cs="Times New Roman"/>
                      <w:color w:val="FF0000"/>
                    </w:rPr>
                    <w:t>0</w:t>
                  </w:r>
                </w:p>
              </w:tc>
              <w:tc>
                <w:tcPr>
                  <w:tcW w:w="537" w:type="pct"/>
                  <w:noWrap w:val="0"/>
                  <w:vAlign w:val="center"/>
                </w:tcPr>
                <w:p w14:paraId="022B4798">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4AA7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46BF5480">
                  <w:pPr>
                    <w:jc w:val="center"/>
                    <w:rPr>
                      <w:rFonts w:ascii="Times New Roman" w:hAnsi="Times New Roman" w:eastAsia="宋体" w:cs="Times New Roman"/>
                      <w:color w:val="auto"/>
                    </w:rPr>
                  </w:pPr>
                  <w:r>
                    <w:rPr>
                      <w:rFonts w:hint="eastAsia" w:ascii="Times New Roman" w:hAnsi="Times New Roman" w:eastAsia="宋体" w:cs="Times New Roman"/>
                      <w:color w:val="auto"/>
                    </w:rPr>
                    <w:t>DA002</w:t>
                  </w:r>
                </w:p>
              </w:tc>
              <w:tc>
                <w:tcPr>
                  <w:tcW w:w="1199" w:type="pct"/>
                  <w:noWrap w:val="0"/>
                  <w:vAlign w:val="center"/>
                </w:tcPr>
                <w:p w14:paraId="03071DF8">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粉碎工序废气</w:t>
                  </w:r>
                  <w:r>
                    <w:rPr>
                      <w:rFonts w:ascii="Times New Roman" w:hAnsi="Times New Roman" w:eastAsia="宋体" w:cs="Times New Roman"/>
                      <w:color w:val="auto"/>
                      <w:kern w:val="0"/>
                      <w:szCs w:val="21"/>
                      <w:lang w:bidi="ar"/>
                    </w:rPr>
                    <w:t>排气筒</w:t>
                  </w:r>
                </w:p>
              </w:tc>
              <w:tc>
                <w:tcPr>
                  <w:tcW w:w="938" w:type="pct"/>
                  <w:noWrap w:val="0"/>
                  <w:vAlign w:val="center"/>
                </w:tcPr>
                <w:p w14:paraId="3FA457E7">
                  <w:pPr>
                    <w:jc w:val="center"/>
                    <w:rPr>
                      <w:rFonts w:hint="eastAsia" w:ascii="Times New Roman" w:hAnsi="Times New Roman" w:eastAsia="宋体" w:cs="Times New Roman"/>
                      <w:color w:val="auto"/>
                      <w:lang w:eastAsia="zh-CN"/>
                    </w:rPr>
                  </w:pPr>
                  <w:r>
                    <w:rPr>
                      <w:rFonts w:ascii="Times New Roman" w:hAnsi="Times New Roman" w:eastAsia="宋体" w:cs="Times New Roman"/>
                      <w:color w:val="auto"/>
                    </w:rPr>
                    <w:t>颗粒物</w:t>
                  </w:r>
                </w:p>
              </w:tc>
              <w:tc>
                <w:tcPr>
                  <w:tcW w:w="471" w:type="pct"/>
                  <w:noWrap w:val="0"/>
                  <w:vAlign w:val="center"/>
                </w:tcPr>
                <w:p w14:paraId="26AD72B0">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116.660567 </w:t>
                  </w:r>
                </w:p>
              </w:tc>
              <w:tc>
                <w:tcPr>
                  <w:tcW w:w="446" w:type="pct"/>
                  <w:noWrap w:val="0"/>
                  <w:vAlign w:val="center"/>
                </w:tcPr>
                <w:p w14:paraId="191570FF">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39.351235</w:t>
                  </w:r>
                </w:p>
              </w:tc>
              <w:tc>
                <w:tcPr>
                  <w:tcW w:w="396" w:type="pct"/>
                  <w:noWrap w:val="0"/>
                  <w:vAlign w:val="center"/>
                </w:tcPr>
                <w:p w14:paraId="21BCA5F2">
                  <w:pPr>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15</w:t>
                  </w:r>
                </w:p>
              </w:tc>
              <w:tc>
                <w:tcPr>
                  <w:tcW w:w="411" w:type="pct"/>
                  <w:noWrap w:val="0"/>
                  <w:vAlign w:val="center"/>
                </w:tcPr>
                <w:p w14:paraId="1695ABBE">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0.3</w:t>
                  </w:r>
                </w:p>
              </w:tc>
              <w:tc>
                <w:tcPr>
                  <w:tcW w:w="308" w:type="pct"/>
                  <w:noWrap w:val="0"/>
                  <w:vAlign w:val="center"/>
                </w:tcPr>
                <w:p w14:paraId="1723226A">
                  <w:pPr>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20</w:t>
                  </w:r>
                </w:p>
              </w:tc>
              <w:tc>
                <w:tcPr>
                  <w:tcW w:w="537" w:type="pct"/>
                  <w:noWrap w:val="0"/>
                  <w:vAlign w:val="center"/>
                </w:tcPr>
                <w:p w14:paraId="26892D59">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bl>
          <w:p w14:paraId="0ACB6DD8">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4-4</w:t>
            </w:r>
            <w:r>
              <w:rPr>
                <w:rFonts w:ascii="Times New Roman" w:hAnsi="Times New Roman" w:eastAsia="宋体" w:cs="Times New Roman"/>
                <w:b/>
                <w:bCs/>
                <w:color w:val="auto"/>
                <w:sz w:val="24"/>
                <w:szCs w:val="24"/>
              </w:rPr>
              <w:t xml:space="preserve">  废气监测计划一览表</w:t>
            </w:r>
          </w:p>
          <w:tbl>
            <w:tblPr>
              <w:tblStyle w:val="37"/>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76"/>
              <w:gridCol w:w="1041"/>
              <w:gridCol w:w="7616"/>
            </w:tblGrid>
            <w:tr w14:paraId="0FA1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10940E42">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监测点位</w:t>
                  </w:r>
                </w:p>
              </w:tc>
              <w:tc>
                <w:tcPr>
                  <w:tcW w:w="1476" w:type="dxa"/>
                  <w:noWrap w:val="0"/>
                  <w:vAlign w:val="center"/>
                </w:tcPr>
                <w:p w14:paraId="54617204">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监测因子</w:t>
                  </w:r>
                </w:p>
              </w:tc>
              <w:tc>
                <w:tcPr>
                  <w:tcW w:w="1041" w:type="dxa"/>
                  <w:noWrap w:val="0"/>
                  <w:vAlign w:val="center"/>
                </w:tcPr>
                <w:p w14:paraId="2BDA431E">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监测频次</w:t>
                  </w:r>
                </w:p>
              </w:tc>
              <w:tc>
                <w:tcPr>
                  <w:tcW w:w="7616" w:type="dxa"/>
                  <w:noWrap w:val="0"/>
                  <w:vAlign w:val="center"/>
                </w:tcPr>
                <w:p w14:paraId="0326150B">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执行排放标准</w:t>
                  </w:r>
                </w:p>
              </w:tc>
            </w:tr>
            <w:tr w14:paraId="1BC2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4E0660E0">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rPr>
                    <w:t>1</w:t>
                  </w:r>
                </w:p>
              </w:tc>
              <w:tc>
                <w:tcPr>
                  <w:tcW w:w="1476" w:type="dxa"/>
                  <w:noWrap w:val="0"/>
                  <w:vAlign w:val="center"/>
                </w:tcPr>
                <w:p w14:paraId="06605C2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543FA42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w:t>
                  </w:r>
                  <w:r>
                    <w:rPr>
                      <w:rFonts w:hint="eastAsia" w:ascii="Times New Roman" w:hAnsi="Times New Roman" w:eastAsia="宋体" w:cs="Times New Roman"/>
                      <w:color w:val="auto"/>
                      <w:lang w:eastAsia="zh-CN"/>
                    </w:rPr>
                    <w:t>半</w:t>
                  </w:r>
                  <w:r>
                    <w:rPr>
                      <w:rFonts w:ascii="Times New Roman" w:hAnsi="Times New Roman" w:eastAsia="宋体" w:cs="Times New Roman"/>
                      <w:color w:val="auto"/>
                    </w:rPr>
                    <w:t>年</w:t>
                  </w:r>
                </w:p>
              </w:tc>
              <w:tc>
                <w:tcPr>
                  <w:tcW w:w="7616" w:type="dxa"/>
                  <w:noWrap w:val="0"/>
                  <w:vAlign w:val="center"/>
                </w:tcPr>
                <w:p w14:paraId="7592E080">
                  <w:pPr>
                    <w:adjustRightInd w:val="0"/>
                    <w:snapToGrid w:val="0"/>
                    <w:jc w:val="center"/>
                    <w:rPr>
                      <w:rFonts w:hint="eastAsia" w:ascii="Times New Roman" w:hAnsi="Times New Roman" w:eastAsia="宋体" w:cs="Times New Roman"/>
                      <w:color w:val="auto"/>
                    </w:rPr>
                  </w:pPr>
                  <w:r>
                    <w:rPr>
                      <w:rFonts w:hint="eastAsia" w:ascii="Times New Roman" w:hAnsi="Times New Roman"/>
                      <w:color w:val="auto"/>
                      <w:spacing w:val="-6"/>
                      <w:szCs w:val="21"/>
                      <w:highlight w:val="none"/>
                      <w:lang w:val="en-US" w:eastAsia="zh-CN"/>
                    </w:rPr>
                    <w:t>河北省地方标准《工业企业挥发性有机物排放控制标准》（DB13/2322-2016）表1中“有机化工业”排放限值及《合成树脂工业污染物排放标准》（GB31572-2015，含2024年修改单）中表5大气污染物特别排放限值要求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60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bCs/>
                      <w:color w:val="auto"/>
                      <w:szCs w:val="21"/>
                      <w:lang w:eastAsia="zh-CN"/>
                    </w:rPr>
                    <w:t>最低去除率为</w:t>
                  </w:r>
                  <w:r>
                    <w:rPr>
                      <w:rFonts w:hint="eastAsia" w:ascii="Times New Roman" w:hAnsi="Times New Roman" w:cs="Times New Roman"/>
                      <w:bCs/>
                      <w:color w:val="auto"/>
                      <w:szCs w:val="21"/>
                      <w:lang w:val="en-US" w:eastAsia="zh-CN"/>
                    </w:rPr>
                    <w:t>9</w:t>
                  </w:r>
                  <w:r>
                    <w:rPr>
                      <w:rFonts w:hint="default" w:ascii="Times New Roman" w:hAnsi="Times New Roman" w:cs="Times New Roman"/>
                      <w:bCs/>
                      <w:color w:val="auto"/>
                      <w:szCs w:val="21"/>
                    </w:rPr>
                    <w:t>0%</w:t>
                  </w:r>
                  <w:r>
                    <w:rPr>
                      <w:rFonts w:hint="eastAsia" w:ascii="Times New Roman" w:hAnsi="Times New Roman" w:eastAsia="宋体" w:cs="Times New Roman"/>
                      <w:b w:val="0"/>
                      <w:bCs/>
                      <w:color w:val="auto"/>
                      <w:szCs w:val="21"/>
                      <w:lang w:val="en-US" w:eastAsia="zh-CN"/>
                    </w:rPr>
                    <w:t>）</w:t>
                  </w:r>
                </w:p>
              </w:tc>
            </w:tr>
            <w:tr w14:paraId="546BA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3868C904">
                  <w:pPr>
                    <w:adjustRightInd w:val="0"/>
                    <w:snapToGrid w:val="0"/>
                    <w:jc w:val="center"/>
                    <w:rPr>
                      <w:rFonts w:ascii="Times New Roman" w:hAnsi="Times New Roman" w:eastAsia="宋体" w:cs="Times New Roman"/>
                      <w:color w:val="auto"/>
                    </w:rPr>
                  </w:pPr>
                </w:p>
              </w:tc>
              <w:tc>
                <w:tcPr>
                  <w:tcW w:w="1476" w:type="dxa"/>
                  <w:noWrap w:val="0"/>
                  <w:vAlign w:val="center"/>
                </w:tcPr>
                <w:p w14:paraId="508F271B">
                  <w:pPr>
                    <w:adjustRightInd w:val="0"/>
                    <w:snapToGrid w:val="0"/>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臭气浓度</w:t>
                  </w:r>
                </w:p>
              </w:tc>
              <w:tc>
                <w:tcPr>
                  <w:tcW w:w="1041" w:type="dxa"/>
                  <w:noWrap w:val="0"/>
                  <w:vAlign w:val="center"/>
                </w:tcPr>
                <w:p w14:paraId="53702049">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200E7149">
                  <w:pPr>
                    <w:adjustRightInd w:val="0"/>
                    <w:snapToGrid w:val="0"/>
                    <w:jc w:val="center"/>
                    <w:rPr>
                      <w:rFonts w:hint="eastAsia" w:ascii="Times New Roman" w:hAnsi="Times New Roman" w:eastAsia="宋体" w:cs="Times New Roman"/>
                      <w:b w:val="0"/>
                      <w:bCs/>
                      <w:color w:val="auto"/>
                      <w:szCs w:val="21"/>
                      <w:lang w:val="en-US" w:eastAsia="zh-CN"/>
                    </w:rPr>
                  </w:pPr>
                  <w:r>
                    <w:rPr>
                      <w:rFonts w:hint="default" w:ascii="Times New Roman" w:hAnsi="Times New Roman" w:cs="Times New Roman"/>
                      <w:b w:val="0"/>
                      <w:bCs/>
                      <w:color w:val="auto"/>
                      <w:lang w:val="en-US" w:eastAsia="zh-CN"/>
                    </w:rPr>
                    <w:t>《恶臭污染物排放标准》（GB14554-93）表2恶臭污染物排放标准值</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2000无量纲</w:t>
                  </w:r>
                  <w:r>
                    <w:rPr>
                      <w:rFonts w:hint="eastAsia" w:ascii="Times New Roman" w:hAnsi="Times New Roman" w:eastAsia="宋体" w:cs="Times New Roman"/>
                      <w:b w:val="0"/>
                      <w:bCs/>
                      <w:color w:val="auto"/>
                      <w:szCs w:val="21"/>
                      <w:lang w:val="en-US" w:eastAsia="zh-CN"/>
                    </w:rPr>
                    <w:t>）</w:t>
                  </w:r>
                </w:p>
              </w:tc>
            </w:tr>
            <w:tr w14:paraId="2F0FD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33ABD6C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2</w:t>
                  </w:r>
                </w:p>
              </w:tc>
              <w:tc>
                <w:tcPr>
                  <w:tcW w:w="1476" w:type="dxa"/>
                  <w:noWrap w:val="0"/>
                  <w:vAlign w:val="center"/>
                </w:tcPr>
                <w:p w14:paraId="63B50E04">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17915059">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2B33E57B">
                  <w:pPr>
                    <w:adjustRightInd w:val="0"/>
                    <w:snapToGrid w:val="0"/>
                    <w:jc w:val="center"/>
                    <w:rPr>
                      <w:rFonts w:hint="eastAsia" w:ascii="Times New Roman" w:hAnsi="Times New Roman" w:eastAsia="宋体" w:cs="Times New Roman"/>
                      <w:b w:val="0"/>
                      <w:bCs/>
                      <w:color w:val="auto"/>
                      <w:szCs w:val="21"/>
                      <w:lang w:val="en-US" w:eastAsia="zh-CN"/>
                    </w:rPr>
                  </w:pPr>
                  <w:r>
                    <w:rPr>
                      <w:rFonts w:hint="default" w:ascii="Times New Roman" w:hAnsi="Times New Roman" w:cs="Times New Roman"/>
                      <w:b w:val="0"/>
                      <w:bCs/>
                      <w:color w:val="auto"/>
                      <w:lang w:val="en-US" w:eastAsia="zh-CN"/>
                    </w:rPr>
                    <w:t>《合成树脂工业污染物排放标准》（GB31572-2015，含2024年修改单）中表5大气污染物特别排放标准限值</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29D9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263" w:type="dxa"/>
                  <w:vMerge w:val="restart"/>
                  <w:noWrap w:val="0"/>
                  <w:vAlign w:val="center"/>
                </w:tcPr>
                <w:p w14:paraId="775A03D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厂界无组织排放，</w:t>
                  </w:r>
                  <w:r>
                    <w:rPr>
                      <w:rFonts w:hint="eastAsia" w:ascii="Times New Roman" w:hAnsi="Times New Roman" w:eastAsia="宋体" w:cs="Times New Roman"/>
                      <w:color w:val="auto"/>
                      <w:lang w:eastAsia="zh-CN"/>
                    </w:rPr>
                    <w:t>上风向设置</w:t>
                  </w:r>
                  <w:r>
                    <w:rPr>
                      <w:rFonts w:hint="eastAsia" w:ascii="Times New Roman" w:hAnsi="Times New Roman" w:eastAsia="宋体" w:cs="Times New Roman"/>
                      <w:color w:val="auto"/>
                      <w:lang w:val="en-US" w:eastAsia="zh-CN"/>
                    </w:rPr>
                    <w:t>1个监测点，</w:t>
                  </w:r>
                  <w:r>
                    <w:rPr>
                      <w:rFonts w:ascii="Times New Roman" w:hAnsi="Times New Roman" w:eastAsia="宋体" w:cs="Times New Roman"/>
                      <w:color w:val="auto"/>
                    </w:rPr>
                    <w:t>下风向设置3个监测点</w:t>
                  </w:r>
                </w:p>
              </w:tc>
              <w:tc>
                <w:tcPr>
                  <w:tcW w:w="1476" w:type="dxa"/>
                  <w:noWrap w:val="0"/>
                  <w:vAlign w:val="center"/>
                </w:tcPr>
                <w:p w14:paraId="1FA5FEB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177F03D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130769E2">
                  <w:pPr>
                    <w:adjustRightInd w:val="0"/>
                    <w:snapToGrid w:val="0"/>
                    <w:jc w:val="center"/>
                    <w:rPr>
                      <w:rFonts w:hint="eastAsia" w:ascii="Times New Roman" w:hAnsi="Times New Roman" w:eastAsia="宋体" w:cs="Times New Roman"/>
                      <w:color w:val="auto"/>
                    </w:rPr>
                  </w:pPr>
                  <w:r>
                    <w:rPr>
                      <w:rFonts w:hint="eastAsia" w:ascii="Times New Roman" w:hAnsi="Times New Roman"/>
                      <w:color w:val="auto"/>
                      <w:sz w:val="21"/>
                      <w:szCs w:val="21"/>
                      <w:lang w:val="en-US" w:eastAsia="zh-CN"/>
                    </w:rPr>
                    <w:t>《合成树脂工业污染物排放标准》（GB31572-2015，含2024年修改单）中</w:t>
                  </w:r>
                  <w:r>
                    <w:rPr>
                      <w:rFonts w:hint="eastAsia" w:ascii="Times New Roman" w:hAnsi="Times New Roman"/>
                      <w:color w:val="auto"/>
                      <w:sz w:val="21"/>
                      <w:szCs w:val="21"/>
                    </w:rPr>
                    <w:t>表9企业边界大气污染物浓度限值</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1</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DC8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6E6F53DA">
                  <w:pPr>
                    <w:rPr>
                      <w:rFonts w:ascii="Calibri" w:hAnsi="Calibri" w:eastAsia="宋体" w:cs="Times New Roman"/>
                      <w:color w:val="auto"/>
                    </w:rPr>
                  </w:pPr>
                </w:p>
              </w:tc>
              <w:tc>
                <w:tcPr>
                  <w:tcW w:w="1476" w:type="dxa"/>
                  <w:noWrap w:val="0"/>
                  <w:vAlign w:val="center"/>
                </w:tcPr>
                <w:p w14:paraId="01B4B858">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2FF3F1F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25521FA">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《工业企业挥发性有机物排放控制标准》(DB13/2322-2016)表2</w:t>
                  </w:r>
                  <w:r>
                    <w:rPr>
                      <w:rFonts w:hint="eastAsia" w:ascii="Times New Roman" w:hAnsi="Times New Roman" w:eastAsia="宋体" w:cs="Times New Roman"/>
                      <w:color w:val="auto"/>
                    </w:rPr>
                    <w:t>其他企业边界大气污染物浓度限值要求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2</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6943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4530D274">
                  <w:pPr>
                    <w:jc w:val="center"/>
                    <w:rPr>
                      <w:rFonts w:hint="eastAsia" w:ascii="Calibri" w:hAnsi="Calibri" w:eastAsia="宋体" w:cs="Times New Roman"/>
                      <w:color w:val="auto"/>
                      <w:lang w:eastAsia="zh-CN"/>
                    </w:rPr>
                  </w:pPr>
                  <w:r>
                    <w:rPr>
                      <w:rFonts w:hint="eastAsia" w:ascii="Calibri" w:hAnsi="Calibri" w:eastAsia="宋体" w:cs="Times New Roman"/>
                      <w:color w:val="auto"/>
                      <w:lang w:eastAsia="zh-CN"/>
                    </w:rPr>
                    <w:t>厂区内无组织</w:t>
                  </w:r>
                </w:p>
              </w:tc>
              <w:tc>
                <w:tcPr>
                  <w:tcW w:w="1476" w:type="dxa"/>
                  <w:noWrap w:val="0"/>
                  <w:vAlign w:val="center"/>
                </w:tcPr>
                <w:p w14:paraId="5B6524E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7732CE1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7AC4369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《挥发性有机物无组织排放控制标准》（GB37822-2019）表A.1厂区内VOCs无组织特别排放限值</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w:t>
                  </w: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6</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vertAlign w:val="baseline"/>
                      <w:lang w:eastAsia="zh-CN"/>
                    </w:rPr>
                    <w:t>，</w:t>
                  </w: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1D0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6" w:type="dxa"/>
                  <w:gridSpan w:val="4"/>
                  <w:noWrap w:val="0"/>
                  <w:vAlign w:val="center"/>
                </w:tcPr>
                <w:p w14:paraId="67E7D788">
                  <w:pPr>
                    <w:adjustRightInd w:val="0"/>
                    <w:snapToGrid w:val="0"/>
                    <w:jc w:val="left"/>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废气污染源监测计划的依据《排污单位自行监测技术指南 </w:t>
                  </w:r>
                  <w:r>
                    <w:rPr>
                      <w:rFonts w:hint="eastAsia" w:ascii="Times New Roman" w:hAnsi="Times New Roman" w:eastAsia="宋体" w:cs="Times New Roman"/>
                      <w:color w:val="auto"/>
                      <w:lang w:eastAsia="zh-CN"/>
                    </w:rPr>
                    <w:t>总则</w:t>
                  </w:r>
                  <w:r>
                    <w:rPr>
                      <w:rFonts w:hint="eastAsia" w:ascii="Times New Roman" w:hAnsi="Times New Roman" w:eastAsia="宋体" w:cs="Times New Roman"/>
                      <w:color w:val="auto"/>
                    </w:rPr>
                    <w:t>》</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HJ8</w:t>
                  </w:r>
                  <w:r>
                    <w:rPr>
                      <w:rFonts w:hint="eastAsia" w:ascii="Times New Roman" w:hAnsi="Times New Roman" w:eastAsia="宋体" w:cs="Times New Roman"/>
                      <w:color w:val="auto"/>
                      <w:lang w:val="en-US" w:eastAsia="zh-CN"/>
                    </w:rPr>
                    <w:t>19</w:t>
                  </w:r>
                  <w:r>
                    <w:rPr>
                      <w:rFonts w:hint="eastAsia" w:ascii="Times New Roman" w:hAnsi="Times New Roman" w:eastAsia="宋体" w:cs="Times New Roman"/>
                      <w:color w:val="auto"/>
                    </w:rPr>
                    <w:t>-2017</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和《排污单位自行监测技术指南 橡胶和塑料制品》（HJ1207-2021）</w:t>
                  </w:r>
                  <w:r>
                    <w:rPr>
                      <w:rFonts w:hint="eastAsia" w:ascii="Times New Roman" w:hAnsi="Times New Roman" w:eastAsia="宋体" w:cs="Times New Roman"/>
                      <w:color w:val="auto"/>
                    </w:rPr>
                    <w:t>，同时结合本项目实际情况，制定环境监测方案</w:t>
                  </w:r>
                </w:p>
              </w:tc>
            </w:tr>
          </w:tbl>
          <w:p w14:paraId="194E28EE">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4-5</w:t>
            </w:r>
            <w:r>
              <w:rPr>
                <w:rFonts w:ascii="Times New Roman" w:hAnsi="Times New Roman" w:eastAsia="宋体" w:cs="Times New Roman"/>
                <w:b/>
                <w:bCs/>
                <w:color w:val="auto"/>
                <w:sz w:val="24"/>
                <w:szCs w:val="24"/>
              </w:rPr>
              <w:t xml:space="preserve">  废气非正常工况一览表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71"/>
              <w:gridCol w:w="1748"/>
              <w:gridCol w:w="1552"/>
              <w:gridCol w:w="1740"/>
              <w:gridCol w:w="1552"/>
              <w:gridCol w:w="1353"/>
              <w:gridCol w:w="1046"/>
              <w:gridCol w:w="2002"/>
            </w:tblGrid>
            <w:tr w14:paraId="62B3A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700BF7D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污染源</w:t>
                  </w:r>
                </w:p>
              </w:tc>
              <w:tc>
                <w:tcPr>
                  <w:tcW w:w="695" w:type="pct"/>
                  <w:noWrap w:val="0"/>
                  <w:vAlign w:val="center"/>
                </w:tcPr>
                <w:p w14:paraId="6301A4DC">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w:t>
                  </w:r>
                  <w:r>
                    <w:rPr>
                      <w:rFonts w:ascii="Times New Roman" w:hAnsi="Times New Roman" w:eastAsia="宋体" w:cs="Times New Roman"/>
                      <w:b/>
                      <w:bCs/>
                      <w:color w:val="auto"/>
                      <w:spacing w:val="-102"/>
                      <w:kern w:val="2"/>
                      <w:sz w:val="21"/>
                      <w:szCs w:val="21"/>
                      <w:lang w:val="en-US" w:eastAsia="zh-CN" w:bidi="ar-SA"/>
                    </w:rPr>
                    <w:t xml:space="preserve"> </w:t>
                  </w:r>
                  <w:r>
                    <w:rPr>
                      <w:rFonts w:ascii="Times New Roman" w:hAnsi="Times New Roman" w:eastAsia="宋体" w:cs="Times New Roman"/>
                      <w:b/>
                      <w:bCs/>
                      <w:color w:val="auto"/>
                      <w:kern w:val="2"/>
                      <w:sz w:val="21"/>
                      <w:szCs w:val="21"/>
                      <w:lang w:val="en-US" w:eastAsia="zh-CN" w:bidi="ar-SA"/>
                    </w:rPr>
                    <w:t>原因</w:t>
                  </w:r>
                </w:p>
              </w:tc>
              <w:tc>
                <w:tcPr>
                  <w:tcW w:w="617" w:type="pct"/>
                  <w:noWrap w:val="0"/>
                  <w:vAlign w:val="center"/>
                </w:tcPr>
                <w:p w14:paraId="7C396F5D">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污染物</w:t>
                  </w:r>
                </w:p>
              </w:tc>
              <w:tc>
                <w:tcPr>
                  <w:tcW w:w="692" w:type="pct"/>
                  <w:noWrap w:val="0"/>
                  <w:vAlign w:val="center"/>
                </w:tcPr>
                <w:p w14:paraId="16BF1D3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非正常排放浓度</w:t>
                  </w:r>
                </w:p>
                <w:p w14:paraId="6DD56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w:t>
                  </w:r>
                  <w:r>
                    <w:rPr>
                      <w:rFonts w:ascii="Times New Roman" w:hAnsi="Times New Roman" w:eastAsia="Times New Roman" w:cs="Times New Roman"/>
                      <w:b/>
                      <w:bCs/>
                      <w:color w:val="auto"/>
                      <w:kern w:val="2"/>
                      <w:sz w:val="21"/>
                      <w:szCs w:val="21"/>
                      <w:lang w:val="en-US" w:eastAsia="zh-CN" w:bidi="ar-SA"/>
                    </w:rPr>
                    <w:t>mg/m</w:t>
                  </w:r>
                  <w:r>
                    <w:rPr>
                      <w:rFonts w:ascii="Times New Roman" w:hAnsi="Times New Roman" w:eastAsia="宋体" w:cs="Times New Roman"/>
                      <w:b/>
                      <w:bCs/>
                      <w:color w:val="auto"/>
                      <w:kern w:val="2"/>
                      <w:sz w:val="21"/>
                      <w:szCs w:val="21"/>
                      <w:vertAlign w:val="superscript"/>
                      <w:lang w:val="en-US" w:eastAsia="zh-CN" w:bidi="ar-SA"/>
                    </w:rPr>
                    <w:t>3</w:t>
                  </w:r>
                  <w:r>
                    <w:rPr>
                      <w:rFonts w:ascii="Times New Roman" w:hAnsi="Times New Roman" w:eastAsia="宋体" w:cs="Times New Roman"/>
                      <w:b/>
                      <w:bCs/>
                      <w:color w:val="auto"/>
                      <w:kern w:val="2"/>
                      <w:sz w:val="21"/>
                      <w:szCs w:val="21"/>
                      <w:lang w:val="en-US" w:eastAsia="zh-CN" w:bidi="ar-SA"/>
                    </w:rPr>
                    <w:t>）</w:t>
                  </w:r>
                </w:p>
              </w:tc>
              <w:tc>
                <w:tcPr>
                  <w:tcW w:w="617" w:type="pct"/>
                  <w:noWrap w:val="0"/>
                  <w:vAlign w:val="center"/>
                </w:tcPr>
                <w:p w14:paraId="7CB8D103">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非正常排放速率</w:t>
                  </w:r>
                </w:p>
                <w:p w14:paraId="4BE1B239">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/kg/h</w:t>
                  </w:r>
                </w:p>
              </w:tc>
              <w:tc>
                <w:tcPr>
                  <w:tcW w:w="538" w:type="pct"/>
                  <w:noWrap w:val="0"/>
                  <w:vAlign w:val="center"/>
                </w:tcPr>
                <w:p w14:paraId="26F00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单次持续时间</w:t>
                  </w:r>
                </w:p>
                <w:p w14:paraId="539F8355">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/min</w:t>
                  </w:r>
                </w:p>
              </w:tc>
              <w:tc>
                <w:tcPr>
                  <w:tcW w:w="416" w:type="pct"/>
                  <w:noWrap w:val="0"/>
                  <w:vAlign w:val="center"/>
                </w:tcPr>
                <w:p w14:paraId="1235FA0E">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发生频次</w:t>
                  </w:r>
                </w:p>
                <w:p w14:paraId="599E905F">
                  <w:pPr>
                    <w:widowControl w:val="0"/>
                    <w:jc w:val="center"/>
                    <w:rPr>
                      <w:rFonts w:hint="eastAsia"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次</w:t>
                  </w:r>
                  <w:r>
                    <w:rPr>
                      <w:rFonts w:hint="eastAsia" w:ascii="Times New Roman" w:hAnsi="Times New Roman" w:eastAsia="宋体" w:cs="Times New Roman"/>
                      <w:b/>
                      <w:bCs/>
                      <w:color w:val="auto"/>
                      <w:kern w:val="2"/>
                      <w:sz w:val="21"/>
                      <w:szCs w:val="21"/>
                      <w:lang w:val="en-US" w:eastAsia="zh-CN" w:bidi="ar-SA"/>
                    </w:rPr>
                    <w:t>每年</w:t>
                  </w:r>
                </w:p>
              </w:tc>
              <w:tc>
                <w:tcPr>
                  <w:tcW w:w="796" w:type="pct"/>
                  <w:noWrap w:val="0"/>
                  <w:vAlign w:val="center"/>
                </w:tcPr>
                <w:p w14:paraId="21035EBA">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应对措施</w:t>
                  </w:r>
                </w:p>
              </w:tc>
            </w:tr>
            <w:tr w14:paraId="3BE06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vMerge w:val="restart"/>
                  <w:noWrap w:val="0"/>
                  <w:vAlign w:val="center"/>
                </w:tcPr>
                <w:p w14:paraId="6A84EA78">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排气筒DA001</w:t>
                  </w:r>
                </w:p>
              </w:tc>
              <w:tc>
                <w:tcPr>
                  <w:tcW w:w="695" w:type="pct"/>
                  <w:vMerge w:val="restart"/>
                  <w:noWrap w:val="0"/>
                  <w:vAlign w:val="center"/>
                </w:tcPr>
                <w:p w14:paraId="577F42B1">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污染治理设施发生故障，达不到应有去除效率</w:t>
                  </w:r>
                </w:p>
              </w:tc>
              <w:tc>
                <w:tcPr>
                  <w:tcW w:w="617" w:type="pct"/>
                  <w:noWrap w:val="0"/>
                  <w:vAlign w:val="center"/>
                </w:tcPr>
                <w:p w14:paraId="4830861B">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非甲烷总烃</w:t>
                  </w:r>
                </w:p>
              </w:tc>
              <w:tc>
                <w:tcPr>
                  <w:tcW w:w="692" w:type="pct"/>
                  <w:noWrap w:val="0"/>
                  <w:vAlign w:val="center"/>
                </w:tcPr>
                <w:p w14:paraId="2ACD4EF8">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200</w:t>
                  </w:r>
                </w:p>
              </w:tc>
              <w:tc>
                <w:tcPr>
                  <w:tcW w:w="617" w:type="pct"/>
                  <w:noWrap w:val="0"/>
                  <w:vAlign w:val="center"/>
                </w:tcPr>
                <w:p w14:paraId="712631E2">
                  <w:pPr>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3</w:t>
                  </w:r>
                </w:p>
              </w:tc>
              <w:tc>
                <w:tcPr>
                  <w:tcW w:w="538" w:type="pct"/>
                  <w:vMerge w:val="restart"/>
                  <w:noWrap w:val="0"/>
                  <w:vAlign w:val="center"/>
                </w:tcPr>
                <w:p w14:paraId="12D4EA99">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5~10</w:t>
                  </w:r>
                </w:p>
              </w:tc>
              <w:tc>
                <w:tcPr>
                  <w:tcW w:w="416" w:type="pct"/>
                  <w:vMerge w:val="restart"/>
                  <w:noWrap w:val="0"/>
                  <w:vAlign w:val="center"/>
                </w:tcPr>
                <w:p w14:paraId="03FAE66C">
                  <w:pPr>
                    <w:widowControl w:val="0"/>
                    <w:jc w:val="center"/>
                    <w:rPr>
                      <w:rFonts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kern w:val="2"/>
                      <w:sz w:val="21"/>
                      <w:szCs w:val="21"/>
                      <w:lang w:val="en-US" w:eastAsia="zh-CN" w:bidi="ar-SA"/>
                    </w:rPr>
                    <w:t>1</w:t>
                  </w:r>
                </w:p>
              </w:tc>
              <w:tc>
                <w:tcPr>
                  <w:tcW w:w="796" w:type="pct"/>
                  <w:vMerge w:val="restart"/>
                  <w:noWrap w:val="0"/>
                  <w:vAlign w:val="center"/>
                </w:tcPr>
                <w:p w14:paraId="1A9215A7">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设置应急停车装置，停止生产，直至污染防治设施修复</w:t>
                  </w:r>
                </w:p>
              </w:tc>
            </w:tr>
            <w:tr w14:paraId="192D1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vMerge w:val="continue"/>
                  <w:noWrap w:val="0"/>
                  <w:vAlign w:val="center"/>
                </w:tcPr>
                <w:p w14:paraId="4F60E758">
                  <w:pPr>
                    <w:widowControl w:val="0"/>
                    <w:jc w:val="center"/>
                    <w:rPr>
                      <w:rFonts w:ascii="Times New Roman" w:hAnsi="Times New Roman" w:eastAsia="宋体" w:cs="Times New Roman"/>
                      <w:color w:val="auto"/>
                      <w:kern w:val="2"/>
                      <w:sz w:val="21"/>
                      <w:szCs w:val="21"/>
                      <w:lang w:val="en-US" w:eastAsia="zh-CN" w:bidi="ar-SA"/>
                    </w:rPr>
                  </w:pPr>
                </w:p>
              </w:tc>
              <w:tc>
                <w:tcPr>
                  <w:tcW w:w="695" w:type="pct"/>
                  <w:vMerge w:val="continue"/>
                  <w:noWrap w:val="0"/>
                  <w:vAlign w:val="center"/>
                </w:tcPr>
                <w:p w14:paraId="5E5A61B0">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14FBC35D">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臭气浓度</w:t>
                  </w:r>
                </w:p>
              </w:tc>
              <w:tc>
                <w:tcPr>
                  <w:tcW w:w="692" w:type="pct"/>
                  <w:noWrap w:val="0"/>
                  <w:vAlign w:val="center"/>
                </w:tcPr>
                <w:p w14:paraId="7189D94B">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4400（无量纲）</w:t>
                  </w:r>
                </w:p>
              </w:tc>
              <w:tc>
                <w:tcPr>
                  <w:tcW w:w="617" w:type="pct"/>
                  <w:noWrap w:val="0"/>
                  <w:vAlign w:val="center"/>
                </w:tcPr>
                <w:p w14:paraId="177ACAA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c>
                <w:tcPr>
                  <w:tcW w:w="538" w:type="pct"/>
                  <w:vMerge w:val="continue"/>
                  <w:noWrap w:val="0"/>
                  <w:vAlign w:val="center"/>
                </w:tcPr>
                <w:p w14:paraId="25EDB63F">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1CD3F9F0">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177103C2">
                  <w:pPr>
                    <w:widowControl w:val="0"/>
                    <w:jc w:val="center"/>
                    <w:rPr>
                      <w:rFonts w:ascii="Times New Roman" w:hAnsi="Times New Roman" w:eastAsia="宋体" w:cs="Times New Roman"/>
                      <w:color w:val="auto"/>
                      <w:kern w:val="2"/>
                      <w:sz w:val="21"/>
                      <w:szCs w:val="21"/>
                      <w:lang w:val="en-US" w:eastAsia="zh-CN" w:bidi="ar-SA"/>
                    </w:rPr>
                  </w:pPr>
                </w:p>
              </w:tc>
            </w:tr>
            <w:tr w14:paraId="4753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058D00BD">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排气筒DA002</w:t>
                  </w:r>
                </w:p>
              </w:tc>
              <w:tc>
                <w:tcPr>
                  <w:tcW w:w="695" w:type="pct"/>
                  <w:vMerge w:val="continue"/>
                  <w:noWrap w:val="0"/>
                  <w:vAlign w:val="center"/>
                </w:tcPr>
                <w:p w14:paraId="5ED99BB6">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56A6E51A">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1740" w:type="dxa"/>
                  <w:noWrap w:val="0"/>
                  <w:vAlign w:val="center"/>
                </w:tcPr>
                <w:p w14:paraId="4957F75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41.67</w:t>
                  </w:r>
                </w:p>
              </w:tc>
              <w:tc>
                <w:tcPr>
                  <w:tcW w:w="1552" w:type="dxa"/>
                  <w:noWrap w:val="0"/>
                  <w:vAlign w:val="center"/>
                </w:tcPr>
                <w:p w14:paraId="0A42AD0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0.125</w:t>
                  </w:r>
                </w:p>
              </w:tc>
              <w:tc>
                <w:tcPr>
                  <w:tcW w:w="538" w:type="pct"/>
                  <w:vMerge w:val="continue"/>
                  <w:noWrap w:val="0"/>
                  <w:vAlign w:val="center"/>
                </w:tcPr>
                <w:p w14:paraId="21E3AD98">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B4E429F">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20FA09E1">
                  <w:pPr>
                    <w:widowControl w:val="0"/>
                    <w:jc w:val="center"/>
                    <w:rPr>
                      <w:rFonts w:ascii="Times New Roman" w:hAnsi="Times New Roman" w:eastAsia="宋体" w:cs="Times New Roman"/>
                      <w:color w:val="auto"/>
                      <w:kern w:val="2"/>
                      <w:sz w:val="21"/>
                      <w:szCs w:val="21"/>
                      <w:lang w:val="en-US" w:eastAsia="zh-CN" w:bidi="ar-SA"/>
                    </w:rPr>
                  </w:pPr>
                </w:p>
              </w:tc>
            </w:tr>
          </w:tbl>
          <w:p w14:paraId="61B9F9C8">
            <w:pPr>
              <w:pStyle w:val="83"/>
              <w:ind w:left="0" w:leftChars="0" w:firstLine="0" w:firstLineChars="0"/>
              <w:rPr>
                <w:rFonts w:hint="default" w:ascii="Times New Roman" w:hAnsi="Times New Roman" w:cs="Times New Roman"/>
                <w:color w:val="auto"/>
              </w:rPr>
            </w:pPr>
          </w:p>
        </w:tc>
      </w:tr>
    </w:tbl>
    <w:p w14:paraId="2DB231CA">
      <w:pPr>
        <w:pStyle w:val="5"/>
        <w:numPr>
          <w:ilvl w:val="3"/>
          <w:numId w:val="0"/>
        </w:numPr>
        <w:tabs>
          <w:tab w:val="clear" w:pos="864"/>
        </w:tabs>
        <w:ind w:leftChars="0"/>
        <w:rPr>
          <w:rFonts w:hint="default"/>
          <w:color w:val="auto"/>
        </w:rPr>
        <w:sectPr>
          <w:pgSz w:w="16840" w:h="11915" w:orient="landscape"/>
          <w:pgMar w:top="1531" w:right="1702" w:bottom="1531" w:left="2127" w:header="851" w:footer="851" w:gutter="0"/>
          <w:cols w:space="425" w:num="1"/>
          <w:docGrid w:type="lines" w:linePitch="312" w:charSpace="0"/>
        </w:sectPr>
      </w:pP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8693"/>
      </w:tblGrid>
      <w:tr w14:paraId="22A3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6" w:hRule="atLeast"/>
          <w:jc w:val="center"/>
        </w:trPr>
        <w:tc>
          <w:tcPr>
            <w:tcW w:w="295" w:type="dxa"/>
            <w:shd w:val="clear" w:color="auto" w:fill="auto"/>
            <w:tcMar>
              <w:left w:w="28" w:type="dxa"/>
              <w:right w:w="28" w:type="dxa"/>
            </w:tcMar>
            <w:vAlign w:val="center"/>
          </w:tcPr>
          <w:p w14:paraId="3D6CDDBC">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运营</w:t>
            </w:r>
          </w:p>
          <w:p w14:paraId="63D7E559">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期环</w:t>
            </w:r>
          </w:p>
          <w:p w14:paraId="24E80703">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境影</w:t>
            </w:r>
          </w:p>
          <w:p w14:paraId="218FA8FB">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响和</w:t>
            </w:r>
          </w:p>
          <w:p w14:paraId="78BC5431">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保护</w:t>
            </w:r>
          </w:p>
          <w:p w14:paraId="402B12B3">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bCs/>
                <w:color w:val="auto"/>
                <w:szCs w:val="24"/>
                <w:lang w:bidi="ar"/>
              </w:rPr>
              <w:t>措施</w:t>
            </w:r>
          </w:p>
        </w:tc>
        <w:tc>
          <w:tcPr>
            <w:tcW w:w="8694" w:type="dxa"/>
            <w:shd w:val="clear" w:color="auto" w:fill="auto"/>
          </w:tcPr>
          <w:p w14:paraId="62006CCE">
            <w:pPr>
              <w:spacing w:line="360" w:lineRule="auto"/>
              <w:ind w:firstLine="482" w:firstLineChars="200"/>
              <w:textAlignment w:val="baseline"/>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ascii="Times New Roman" w:hAnsi="Times New Roman" w:eastAsia="宋体" w:cs="Times New Roman"/>
                <w:b/>
                <w:bCs/>
                <w:color w:val="auto"/>
                <w:sz w:val="24"/>
                <w:highlight w:val="none"/>
              </w:rPr>
              <w:t>、</w:t>
            </w:r>
            <w:r>
              <w:rPr>
                <w:rFonts w:hint="eastAsia" w:ascii="Times New Roman" w:hAnsi="Times New Roman" w:cs="Times New Roman"/>
                <w:b/>
                <w:bCs/>
                <w:color w:val="auto"/>
                <w:sz w:val="24"/>
                <w:highlight w:val="none"/>
              </w:rPr>
              <w:t>污染物排放量核算</w:t>
            </w:r>
          </w:p>
          <w:p w14:paraId="0E16D5C5">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6</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w:t>
            </w:r>
            <w:r>
              <w:rPr>
                <w:rFonts w:hint="eastAsia" w:ascii="Times New Roman" w:hAnsi="Times New Roman" w:eastAsia="宋体" w:cs="Times New Roman"/>
                <w:b/>
                <w:bCs/>
                <w:smallCaps w:val="0"/>
                <w:color w:val="auto"/>
                <w:kern w:val="2"/>
                <w:sz w:val="24"/>
                <w:szCs w:val="24"/>
                <w:vertAlign w:val="baseline"/>
                <w:lang w:val="en-US" w:eastAsia="zh-CN" w:bidi="ar-SA"/>
              </w:rPr>
              <w:t>有组织</w:t>
            </w:r>
            <w:r>
              <w:rPr>
                <w:rFonts w:hint="default" w:ascii="Times New Roman" w:hAnsi="Times New Roman" w:eastAsia="宋体" w:cs="Times New Roman"/>
                <w:b/>
                <w:bCs/>
                <w:smallCaps w:val="0"/>
                <w:color w:val="auto"/>
                <w:kern w:val="2"/>
                <w:sz w:val="24"/>
                <w:szCs w:val="24"/>
                <w:vertAlign w:val="baseline"/>
                <w:lang w:val="en-US" w:eastAsia="zh-CN" w:bidi="ar-SA"/>
              </w:rPr>
              <w:t>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397"/>
              <w:gridCol w:w="1457"/>
              <w:gridCol w:w="1533"/>
              <w:gridCol w:w="1529"/>
              <w:gridCol w:w="1832"/>
            </w:tblGrid>
            <w:tr w14:paraId="3ECA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20" w:type="pct"/>
                  <w:tcBorders>
                    <w:tl2br w:val="nil"/>
                    <w:tr2bl w:val="nil"/>
                  </w:tcBorders>
                  <w:noWrap w:val="0"/>
                  <w:vAlign w:val="center"/>
                </w:tcPr>
                <w:p w14:paraId="59F99B4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825" w:type="pct"/>
                  <w:tcBorders>
                    <w:tl2br w:val="nil"/>
                    <w:tr2bl w:val="nil"/>
                  </w:tcBorders>
                  <w:noWrap w:val="0"/>
                  <w:vAlign w:val="center"/>
                </w:tcPr>
                <w:p w14:paraId="4992892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861" w:type="pct"/>
                  <w:tcBorders>
                    <w:tl2br w:val="nil"/>
                    <w:tr2bl w:val="nil"/>
                  </w:tcBorders>
                  <w:noWrap w:val="0"/>
                  <w:vAlign w:val="center"/>
                </w:tcPr>
                <w:p w14:paraId="6427B62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906" w:type="pct"/>
                  <w:tcBorders>
                    <w:tl2br w:val="nil"/>
                    <w:tr2bl w:val="nil"/>
                  </w:tcBorders>
                  <w:noWrap w:val="0"/>
                  <w:vAlign w:val="center"/>
                </w:tcPr>
                <w:p w14:paraId="0ED4CAC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核算排放浓度</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903" w:type="pct"/>
                  <w:tcBorders>
                    <w:tl2br w:val="nil"/>
                    <w:tr2bl w:val="nil"/>
                  </w:tcBorders>
                  <w:noWrap w:val="0"/>
                  <w:vAlign w:val="center"/>
                </w:tcPr>
                <w:p w14:paraId="01E18C3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排放标准/</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1082" w:type="pct"/>
                  <w:tcBorders>
                    <w:tl2br w:val="nil"/>
                    <w:tr2bl w:val="nil"/>
                  </w:tcBorders>
                  <w:noWrap w:val="0"/>
                  <w:vAlign w:val="center"/>
                </w:tcPr>
                <w:p w14:paraId="69C1C930">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核算排放量</w:t>
                  </w:r>
                  <w:r>
                    <w:rPr>
                      <w:rFonts w:hint="default" w:ascii="Times New Roman" w:hAnsi="Times New Roman" w:eastAsia="等线" w:cs="Times New Roman"/>
                      <w:b/>
                      <w:bCs/>
                      <w:color w:val="auto"/>
                      <w:kern w:val="0"/>
                      <w:sz w:val="21"/>
                      <w:szCs w:val="21"/>
                    </w:rPr>
                    <w:t>/(t/a)</w:t>
                  </w:r>
                </w:p>
              </w:tc>
            </w:tr>
            <w:tr w14:paraId="5440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000" w:type="pct"/>
                  <w:gridSpan w:val="6"/>
                  <w:tcBorders>
                    <w:tl2br w:val="nil"/>
                    <w:tr2bl w:val="nil"/>
                  </w:tcBorders>
                  <w:noWrap w:val="0"/>
                  <w:vAlign w:val="center"/>
                </w:tcPr>
                <w:p w14:paraId="41D295E0">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一般排放口</w:t>
                  </w:r>
                </w:p>
              </w:tc>
            </w:tr>
            <w:tr w14:paraId="35F0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3FF5DB2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1</w:t>
                  </w:r>
                </w:p>
              </w:tc>
              <w:tc>
                <w:tcPr>
                  <w:tcW w:w="825" w:type="pct"/>
                  <w:tcBorders>
                    <w:tl2br w:val="nil"/>
                    <w:tr2bl w:val="nil"/>
                  </w:tcBorders>
                  <w:noWrap w:val="0"/>
                  <w:vAlign w:val="center"/>
                </w:tcPr>
                <w:p w14:paraId="6DCC6A83">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DA001</w:t>
                  </w:r>
                </w:p>
              </w:tc>
              <w:tc>
                <w:tcPr>
                  <w:tcW w:w="861" w:type="pct"/>
                  <w:tcBorders>
                    <w:tl2br w:val="nil"/>
                    <w:tr2bl w:val="nil"/>
                  </w:tcBorders>
                  <w:noWrap w:val="0"/>
                  <w:vAlign w:val="center"/>
                </w:tcPr>
                <w:p w14:paraId="0D3CEB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lang w:eastAsia="zh-CN"/>
                    </w:rPr>
                  </w:pPr>
                  <w:r>
                    <w:rPr>
                      <w:rFonts w:hint="eastAsia" w:ascii="Times New Roman" w:hAnsi="Times New Roman" w:cs="Times New Roman"/>
                      <w:color w:val="auto"/>
                      <w:kern w:val="0"/>
                      <w:sz w:val="21"/>
                      <w:szCs w:val="21"/>
                      <w:lang w:val="en-US" w:eastAsia="zh-CN"/>
                    </w:rPr>
                    <w:t>非甲烷总烃</w:t>
                  </w:r>
                </w:p>
              </w:tc>
              <w:tc>
                <w:tcPr>
                  <w:tcW w:w="906" w:type="pct"/>
                  <w:tcBorders>
                    <w:tl2br w:val="nil"/>
                    <w:tr2bl w:val="nil"/>
                  </w:tcBorders>
                  <w:noWrap w:val="0"/>
                  <w:vAlign w:val="center"/>
                </w:tcPr>
                <w:p w14:paraId="3B827272">
                  <w:pPr>
                    <w:jc w:val="center"/>
                    <w:rPr>
                      <w:rFonts w:hint="default" w:ascii="Times New Roman" w:hAnsi="Times New Roman" w:eastAsia="等线"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20</w:t>
                  </w:r>
                </w:p>
              </w:tc>
              <w:tc>
                <w:tcPr>
                  <w:tcW w:w="903" w:type="pct"/>
                  <w:tcBorders>
                    <w:tl2br w:val="nil"/>
                    <w:tr2bl w:val="nil"/>
                  </w:tcBorders>
                  <w:noWrap w:val="0"/>
                  <w:vAlign w:val="center"/>
                </w:tcPr>
                <w:p w14:paraId="43A5B7BC">
                  <w:pPr>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olor w:val="000000" w:themeColor="text1"/>
                      <w:kern w:val="0"/>
                      <w:szCs w:val="21"/>
                      <w:lang w:val="en-US" w:eastAsia="zh-CN"/>
                      <w14:textFill>
                        <w14:solidFill>
                          <w14:schemeClr w14:val="tx1"/>
                        </w14:solidFill>
                      </w14:textFill>
                    </w:rPr>
                    <w:t>6</w:t>
                  </w:r>
                  <w:r>
                    <w:rPr>
                      <w:rFonts w:ascii="Times New Roman" w:hAnsi="Times New Roman"/>
                      <w:color w:val="000000" w:themeColor="text1"/>
                      <w:kern w:val="0"/>
                      <w:szCs w:val="21"/>
                      <w14:textFill>
                        <w14:solidFill>
                          <w14:schemeClr w14:val="tx1"/>
                        </w14:solidFill>
                      </w14:textFill>
                    </w:rPr>
                    <w:t>0mg/m</w:t>
                  </w:r>
                  <w:r>
                    <w:rPr>
                      <w:rFonts w:hint="eastAsia" w:ascii="Times New Roman" w:hAnsi="Times New Roman"/>
                      <w:color w:val="000000" w:themeColor="text1"/>
                      <w:kern w:val="0"/>
                      <w:szCs w:val="21"/>
                      <w:vertAlign w:val="superscript"/>
                      <w14:textFill>
                        <w14:solidFill>
                          <w14:schemeClr w14:val="tx1"/>
                        </w14:solidFill>
                      </w14:textFill>
                    </w:rPr>
                    <w:t>3</w:t>
                  </w:r>
                </w:p>
              </w:tc>
              <w:tc>
                <w:tcPr>
                  <w:tcW w:w="1082" w:type="pct"/>
                  <w:tcBorders>
                    <w:tl2br w:val="nil"/>
                    <w:tr2bl w:val="nil"/>
                  </w:tcBorders>
                  <w:noWrap w:val="0"/>
                  <w:vAlign w:val="center"/>
                </w:tcPr>
                <w:p w14:paraId="1F5AD0A6">
                  <w:pPr>
                    <w:jc w:val="center"/>
                    <w:rPr>
                      <w:rFonts w:hint="default" w:ascii="Times New Roman" w:hAnsi="Times New Roman" w:eastAsia="等线"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2.16</w:t>
                  </w:r>
                </w:p>
              </w:tc>
            </w:tr>
            <w:tr w14:paraId="1F7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7BFCF6B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2</w:t>
                  </w:r>
                </w:p>
              </w:tc>
              <w:tc>
                <w:tcPr>
                  <w:tcW w:w="825" w:type="pct"/>
                  <w:tcBorders>
                    <w:tl2br w:val="nil"/>
                    <w:tr2bl w:val="nil"/>
                  </w:tcBorders>
                  <w:noWrap w:val="0"/>
                  <w:vAlign w:val="center"/>
                </w:tcPr>
                <w:p w14:paraId="333A59F7">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b w:val="0"/>
                      <w:bCs w:val="0"/>
                      <w:color w:val="auto"/>
                      <w:kern w:val="0"/>
                      <w:sz w:val="21"/>
                      <w:szCs w:val="21"/>
                      <w:lang w:val="en-US" w:eastAsia="zh-CN"/>
                    </w:rPr>
                  </w:pPr>
                  <w:r>
                    <w:rPr>
                      <w:rFonts w:hint="default" w:ascii="Times New Roman" w:hAnsi="Times New Roman" w:eastAsia="等线" w:cs="Times New Roman"/>
                      <w:b w:val="0"/>
                      <w:bCs w:val="0"/>
                      <w:color w:val="auto"/>
                      <w:kern w:val="0"/>
                      <w:sz w:val="21"/>
                      <w:szCs w:val="21"/>
                    </w:rPr>
                    <w:t>DA00</w:t>
                  </w:r>
                  <w:r>
                    <w:rPr>
                      <w:rFonts w:hint="eastAsia" w:ascii="Times New Roman" w:hAnsi="Times New Roman" w:eastAsia="等线" w:cs="Times New Roman"/>
                      <w:b w:val="0"/>
                      <w:bCs w:val="0"/>
                      <w:color w:val="auto"/>
                      <w:kern w:val="0"/>
                      <w:sz w:val="21"/>
                      <w:szCs w:val="21"/>
                      <w:lang w:val="en-US" w:eastAsia="zh-CN"/>
                    </w:rPr>
                    <w:t>2</w:t>
                  </w:r>
                </w:p>
              </w:tc>
              <w:tc>
                <w:tcPr>
                  <w:tcW w:w="861" w:type="pct"/>
                  <w:tcBorders>
                    <w:tl2br w:val="nil"/>
                    <w:tr2bl w:val="nil"/>
                  </w:tcBorders>
                  <w:noWrap w:val="0"/>
                  <w:vAlign w:val="center"/>
                </w:tcPr>
                <w:p w14:paraId="24062C4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kern w:val="0"/>
                      <w:sz w:val="21"/>
                      <w:szCs w:val="21"/>
                      <w:lang w:eastAsia="zh-CN"/>
                    </w:rPr>
                  </w:pPr>
                  <w:r>
                    <w:rPr>
                      <w:rFonts w:ascii="Times New Roman" w:hAnsi="Times New Roman"/>
                      <w:bCs/>
                      <w:color w:val="auto"/>
                      <w:szCs w:val="21"/>
                    </w:rPr>
                    <w:t>颗粒物</w:t>
                  </w:r>
                </w:p>
              </w:tc>
              <w:tc>
                <w:tcPr>
                  <w:tcW w:w="906" w:type="pct"/>
                  <w:tcBorders>
                    <w:tl2br w:val="nil"/>
                    <w:tr2bl w:val="nil"/>
                  </w:tcBorders>
                  <w:noWrap w:val="0"/>
                  <w:vAlign w:val="center"/>
                </w:tcPr>
                <w:p w14:paraId="2779F42B">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2.1</w:t>
                  </w:r>
                </w:p>
              </w:tc>
              <w:tc>
                <w:tcPr>
                  <w:tcW w:w="903" w:type="pct"/>
                  <w:tcBorders>
                    <w:tl2br w:val="nil"/>
                    <w:tr2bl w:val="nil"/>
                  </w:tcBorders>
                  <w:noWrap w:val="0"/>
                  <w:vAlign w:val="center"/>
                </w:tcPr>
                <w:p w14:paraId="39401797">
                  <w:pPr>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2</w:t>
                  </w:r>
                  <w:r>
                    <w:rPr>
                      <w:rFonts w:ascii="Times New Roman" w:hAnsi="Times New Roman"/>
                      <w:color w:val="auto"/>
                      <w:kern w:val="0"/>
                      <w:szCs w:val="21"/>
                    </w:rPr>
                    <w:t>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6D8D83B9">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color w:val="auto"/>
                      <w:szCs w:val="21"/>
                      <w:lang w:val="en-US" w:eastAsia="zh-CN"/>
                    </w:rPr>
                    <w:t>0.0075</w:t>
                  </w:r>
                </w:p>
              </w:tc>
            </w:tr>
            <w:tr w14:paraId="704E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restart"/>
                  <w:tcBorders>
                    <w:tl2br w:val="nil"/>
                    <w:tr2bl w:val="nil"/>
                  </w:tcBorders>
                  <w:noWrap w:val="0"/>
                  <w:vAlign w:val="center"/>
                </w:tcPr>
                <w:p w14:paraId="7F88EB56">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有组织排放合计</w:t>
                  </w:r>
                </w:p>
              </w:tc>
              <w:tc>
                <w:tcPr>
                  <w:tcW w:w="2671" w:type="pct"/>
                  <w:gridSpan w:val="3"/>
                  <w:tcBorders>
                    <w:tl2br w:val="nil"/>
                    <w:tr2bl w:val="nil"/>
                  </w:tcBorders>
                  <w:noWrap w:val="0"/>
                  <w:vAlign w:val="center"/>
                </w:tcPr>
                <w:p w14:paraId="28A2FC8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lang w:val="en-US" w:eastAsia="zh-CN"/>
                    </w:rPr>
                    <w:t>颗粒物</w:t>
                  </w:r>
                </w:p>
              </w:tc>
              <w:tc>
                <w:tcPr>
                  <w:tcW w:w="1832" w:type="dxa"/>
                  <w:tcBorders>
                    <w:tl2br w:val="nil"/>
                    <w:tr2bl w:val="nil"/>
                  </w:tcBorders>
                  <w:noWrap w:val="0"/>
                  <w:vAlign w:val="center"/>
                </w:tcPr>
                <w:p w14:paraId="16221DB4">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0.0075</w:t>
                  </w:r>
                </w:p>
              </w:tc>
            </w:tr>
            <w:tr w14:paraId="2DDBD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continue"/>
                  <w:tcBorders>
                    <w:tl2br w:val="nil"/>
                    <w:tr2bl w:val="nil"/>
                  </w:tcBorders>
                  <w:noWrap w:val="0"/>
                  <w:vAlign w:val="center"/>
                </w:tcPr>
                <w:p w14:paraId="3F532F2C">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2671" w:type="pct"/>
                  <w:gridSpan w:val="3"/>
                  <w:tcBorders>
                    <w:tl2br w:val="nil"/>
                    <w:tr2bl w:val="nil"/>
                  </w:tcBorders>
                  <w:noWrap w:val="0"/>
                  <w:vAlign w:val="center"/>
                </w:tcPr>
                <w:p w14:paraId="7BE0ADAF">
                  <w:pPr>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eastAsia="zh-CN"/>
                      <w14:textFill>
                        <w14:solidFill>
                          <w14:schemeClr w14:val="tx1"/>
                        </w14:solidFill>
                      </w14:textFill>
                    </w:rPr>
                    <w:t>非甲烷总烃</w:t>
                  </w:r>
                </w:p>
              </w:tc>
              <w:tc>
                <w:tcPr>
                  <w:tcW w:w="1832" w:type="dxa"/>
                  <w:tcBorders>
                    <w:tl2br w:val="nil"/>
                    <w:tr2bl w:val="nil"/>
                  </w:tcBorders>
                  <w:noWrap w:val="0"/>
                  <w:vAlign w:val="center"/>
                </w:tcPr>
                <w:p w14:paraId="7E294627">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2.16</w:t>
                  </w:r>
                </w:p>
              </w:tc>
            </w:tr>
          </w:tbl>
          <w:p w14:paraId="0629A6BB">
            <w:pPr>
              <w:keepNext w:val="0"/>
              <w:keepLines w:val="0"/>
              <w:suppressLineNumbers w:val="0"/>
              <w:autoSpaceDE w:val="0"/>
              <w:autoSpaceDN w:val="0"/>
              <w:adjustRightInd w:val="0"/>
              <w:spacing w:before="0" w:beforeAutospacing="0" w:after="0" w:afterAutospacing="0"/>
              <w:ind w:left="0" w:right="0" w:firstLine="360" w:firstLineChars="200"/>
              <w:rPr>
                <w:rFonts w:hint="default" w:ascii="Times New Roman" w:hAnsi="Times New Roman" w:cs="Times New Roman"/>
                <w:color w:val="auto"/>
                <w:sz w:val="18"/>
              </w:rPr>
            </w:pPr>
            <w:r>
              <w:rPr>
                <w:rFonts w:hint="default" w:ascii="Times New Roman" w:hAnsi="Times New Roman" w:cs="Times New Roman"/>
                <w:color w:val="auto"/>
                <w:sz w:val="18"/>
              </w:rPr>
              <w:t>注：本项目不涉及主要排放口，均为一般排放口</w:t>
            </w:r>
          </w:p>
          <w:p w14:paraId="6313F063">
            <w:pPr>
              <w:widowControl w:val="0"/>
              <w:spacing w:line="520" w:lineRule="exact"/>
              <w:ind w:firstLine="480" w:firstLineChars="200"/>
              <w:jc w:val="both"/>
              <w:rPr>
                <w:rFonts w:ascii="Times New Roman" w:hAnsi="Times New Roman" w:eastAsia="宋体" w:cs="Times New Roman"/>
                <w:color w:val="auto"/>
                <w:kern w:val="44"/>
                <w:sz w:val="24"/>
                <w:szCs w:val="21"/>
                <w:lang w:val="en-US" w:eastAsia="zh-CN" w:bidi="ar-SA"/>
              </w:rPr>
            </w:pPr>
            <w:r>
              <w:rPr>
                <w:rFonts w:ascii="Times New Roman" w:hAnsi="Times New Roman" w:eastAsia="宋体" w:cs="Times New Roman"/>
                <w:color w:val="auto"/>
                <w:kern w:val="44"/>
                <w:sz w:val="24"/>
                <w:szCs w:val="21"/>
                <w:lang w:val="en-US" w:eastAsia="zh-CN" w:bidi="ar-SA"/>
              </w:rPr>
              <w:t>大气污染物无组织核算情况见表</w:t>
            </w:r>
            <w:r>
              <w:rPr>
                <w:rFonts w:hint="eastAsia" w:ascii="Times New Roman" w:hAnsi="Times New Roman" w:eastAsia="宋体" w:cs="Times New Roman"/>
                <w:color w:val="auto"/>
                <w:kern w:val="44"/>
                <w:sz w:val="24"/>
                <w:szCs w:val="21"/>
                <w:lang w:val="en-US" w:eastAsia="zh-CN" w:bidi="ar-SA"/>
              </w:rPr>
              <w:t>4-7</w:t>
            </w:r>
            <w:r>
              <w:rPr>
                <w:rFonts w:ascii="Times New Roman" w:hAnsi="Times New Roman" w:eastAsia="宋体" w:cs="Times New Roman"/>
                <w:color w:val="auto"/>
                <w:kern w:val="44"/>
                <w:sz w:val="24"/>
                <w:szCs w:val="21"/>
                <w:lang w:val="en-US" w:eastAsia="zh-CN" w:bidi="ar-SA"/>
              </w:rPr>
              <w:t>。</w:t>
            </w:r>
          </w:p>
          <w:p w14:paraId="056D0A3C">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7</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大气污染物无组织排放量核算表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48"/>
              <w:gridCol w:w="765"/>
              <w:gridCol w:w="927"/>
              <w:gridCol w:w="3172"/>
              <w:gridCol w:w="1410"/>
              <w:gridCol w:w="875"/>
            </w:tblGrid>
            <w:tr w14:paraId="689B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Borders>
                    <w:tl2br w:val="nil"/>
                    <w:tr2bl w:val="nil"/>
                  </w:tcBorders>
                  <w:noWrap w:val="0"/>
                  <w:vAlign w:val="center"/>
                </w:tcPr>
                <w:p w14:paraId="78B125A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501" w:type="pct"/>
                  <w:vMerge w:val="restart"/>
                  <w:tcBorders>
                    <w:tl2br w:val="nil"/>
                    <w:tr2bl w:val="nil"/>
                  </w:tcBorders>
                  <w:noWrap w:val="0"/>
                  <w:vAlign w:val="center"/>
                </w:tcPr>
                <w:p w14:paraId="4579ECB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452" w:type="pct"/>
                  <w:vMerge w:val="restart"/>
                  <w:tcBorders>
                    <w:tl2br w:val="nil"/>
                    <w:tr2bl w:val="nil"/>
                  </w:tcBorders>
                  <w:noWrap w:val="0"/>
                  <w:vAlign w:val="center"/>
                </w:tcPr>
                <w:p w14:paraId="6E7E459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548" w:type="pct"/>
                  <w:vMerge w:val="restart"/>
                  <w:tcBorders>
                    <w:tl2br w:val="nil"/>
                    <w:tr2bl w:val="nil"/>
                  </w:tcBorders>
                  <w:noWrap w:val="0"/>
                  <w:vAlign w:val="center"/>
                </w:tcPr>
                <w:p w14:paraId="44D3DD9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主要污染防治措施</w:t>
                  </w:r>
                </w:p>
              </w:tc>
              <w:tc>
                <w:tcPr>
                  <w:tcW w:w="2707" w:type="pct"/>
                  <w:gridSpan w:val="2"/>
                  <w:tcBorders>
                    <w:tl2br w:val="nil"/>
                    <w:tr2bl w:val="nil"/>
                  </w:tcBorders>
                  <w:noWrap w:val="0"/>
                  <w:vAlign w:val="center"/>
                </w:tcPr>
                <w:p w14:paraId="644542B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排放标准</w:t>
                  </w:r>
                </w:p>
              </w:tc>
              <w:tc>
                <w:tcPr>
                  <w:tcW w:w="517" w:type="pct"/>
                  <w:vMerge w:val="restart"/>
                  <w:tcBorders>
                    <w:tl2br w:val="nil"/>
                    <w:tr2bl w:val="nil"/>
                  </w:tcBorders>
                  <w:noWrap w:val="0"/>
                  <w:vAlign w:val="center"/>
                </w:tcPr>
                <w:p w14:paraId="24100FF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年排放量/(t/a)</w:t>
                  </w:r>
                </w:p>
              </w:tc>
            </w:tr>
            <w:tr w14:paraId="45D3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73" w:type="pct"/>
                  <w:vMerge w:val="continue"/>
                  <w:tcBorders>
                    <w:tl2br w:val="nil"/>
                    <w:tr2bl w:val="nil"/>
                  </w:tcBorders>
                  <w:noWrap w:val="0"/>
                  <w:vAlign w:val="center"/>
                </w:tcPr>
                <w:p w14:paraId="23679952">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01" w:type="pct"/>
                  <w:vMerge w:val="continue"/>
                  <w:tcBorders>
                    <w:tl2br w:val="nil"/>
                    <w:tr2bl w:val="nil"/>
                  </w:tcBorders>
                  <w:noWrap w:val="0"/>
                  <w:vAlign w:val="center"/>
                </w:tcPr>
                <w:p w14:paraId="3EF9E9B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p>
              </w:tc>
              <w:tc>
                <w:tcPr>
                  <w:tcW w:w="452" w:type="pct"/>
                  <w:vMerge w:val="continue"/>
                  <w:tcBorders>
                    <w:tl2br w:val="nil"/>
                    <w:tr2bl w:val="nil"/>
                  </w:tcBorders>
                  <w:noWrap w:val="0"/>
                  <w:vAlign w:val="center"/>
                </w:tcPr>
                <w:p w14:paraId="4DEE7D3D">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48" w:type="pct"/>
                  <w:vMerge w:val="continue"/>
                  <w:tcBorders>
                    <w:tl2br w:val="nil"/>
                    <w:tr2bl w:val="nil"/>
                  </w:tcBorders>
                  <w:noWrap w:val="0"/>
                  <w:vAlign w:val="center"/>
                </w:tcPr>
                <w:p w14:paraId="505947F8">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1874" w:type="pct"/>
                  <w:tcBorders>
                    <w:tl2br w:val="nil"/>
                    <w:tr2bl w:val="nil"/>
                  </w:tcBorders>
                  <w:noWrap w:val="0"/>
                  <w:vAlign w:val="center"/>
                </w:tcPr>
                <w:p w14:paraId="197C4C2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标准名称</w:t>
                  </w:r>
                </w:p>
              </w:tc>
              <w:tc>
                <w:tcPr>
                  <w:tcW w:w="832" w:type="pct"/>
                  <w:tcBorders>
                    <w:tl2br w:val="nil"/>
                    <w:tr2bl w:val="nil"/>
                  </w:tcBorders>
                  <w:noWrap w:val="0"/>
                  <w:vAlign w:val="center"/>
                </w:tcPr>
                <w:p w14:paraId="0ACB211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浓度限值/(mg/m</w:t>
                  </w:r>
                  <w:r>
                    <w:rPr>
                      <w:rFonts w:hint="default" w:ascii="Times New Roman" w:hAnsi="Times New Roman" w:cs="Times New Roman"/>
                      <w:b/>
                      <w:bCs/>
                      <w:color w:val="auto"/>
                      <w:kern w:val="0"/>
                      <w:sz w:val="21"/>
                      <w:szCs w:val="21"/>
                      <w:vertAlign w:val="superscript"/>
                    </w:rPr>
                    <w:t>3</w:t>
                  </w:r>
                  <w:r>
                    <w:rPr>
                      <w:rFonts w:hint="default" w:ascii="Times New Roman" w:hAnsi="Times New Roman" w:cs="Times New Roman"/>
                      <w:b/>
                      <w:bCs/>
                      <w:color w:val="auto"/>
                      <w:kern w:val="0"/>
                      <w:sz w:val="21"/>
                      <w:szCs w:val="21"/>
                    </w:rPr>
                    <w:t>)</w:t>
                  </w:r>
                </w:p>
              </w:tc>
              <w:tc>
                <w:tcPr>
                  <w:tcW w:w="517" w:type="pct"/>
                  <w:vMerge w:val="continue"/>
                  <w:tcBorders>
                    <w:tl2br w:val="nil"/>
                    <w:tr2bl w:val="nil"/>
                  </w:tcBorders>
                  <w:noWrap w:val="0"/>
                  <w:vAlign w:val="center"/>
                </w:tcPr>
                <w:p w14:paraId="4D6CC173">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r>
            <w:tr w14:paraId="6994B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273" w:type="pct"/>
                  <w:tcBorders>
                    <w:tl2br w:val="nil"/>
                    <w:tr2bl w:val="nil"/>
                  </w:tcBorders>
                  <w:noWrap w:val="0"/>
                  <w:vAlign w:val="center"/>
                </w:tcPr>
                <w:p w14:paraId="55DB3256">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rPr>
                  </w:pPr>
                  <w:r>
                    <w:rPr>
                      <w:rFonts w:hint="default" w:ascii="Times New Roman" w:hAnsi="Times New Roman" w:eastAsia="等线" w:cs="Times New Roman"/>
                      <w:color w:val="auto"/>
                      <w:kern w:val="0"/>
                      <w:sz w:val="21"/>
                      <w:szCs w:val="21"/>
                    </w:rPr>
                    <w:t>1</w:t>
                  </w:r>
                </w:p>
              </w:tc>
              <w:tc>
                <w:tcPr>
                  <w:tcW w:w="501" w:type="pct"/>
                  <w:vMerge w:val="restart"/>
                  <w:tcBorders>
                    <w:tl2br w:val="nil"/>
                    <w:tr2bl w:val="nil"/>
                  </w:tcBorders>
                  <w:noWrap w:val="0"/>
                  <w:vAlign w:val="center"/>
                </w:tcPr>
                <w:p w14:paraId="2FA250A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生产车间</w:t>
                  </w:r>
                </w:p>
              </w:tc>
              <w:tc>
                <w:tcPr>
                  <w:tcW w:w="452" w:type="pct"/>
                  <w:tcBorders>
                    <w:tl2br w:val="nil"/>
                    <w:tr2bl w:val="nil"/>
                  </w:tcBorders>
                  <w:noWrap w:val="0"/>
                  <w:vAlign w:val="center"/>
                </w:tcPr>
                <w:p w14:paraId="29CCCF5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颗粒物</w:t>
                  </w:r>
                </w:p>
              </w:tc>
              <w:tc>
                <w:tcPr>
                  <w:tcW w:w="548" w:type="pct"/>
                  <w:vMerge w:val="restart"/>
                  <w:tcBorders>
                    <w:tl2br w:val="nil"/>
                    <w:tr2bl w:val="nil"/>
                  </w:tcBorders>
                  <w:noWrap w:val="0"/>
                  <w:vAlign w:val="center"/>
                </w:tcPr>
                <w:p w14:paraId="2EFF1B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车间密闭</w:t>
                  </w:r>
                </w:p>
              </w:tc>
              <w:tc>
                <w:tcPr>
                  <w:tcW w:w="1874" w:type="pct"/>
                  <w:tcBorders>
                    <w:tl2br w:val="nil"/>
                    <w:tr2bl w:val="nil"/>
                  </w:tcBorders>
                  <w:noWrap w:val="0"/>
                  <w:vAlign w:val="center"/>
                </w:tcPr>
                <w:p w14:paraId="50F6912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rPr>
                    <w:t>《大气污染物综合排放标准》（GB16297-1996）表2无组织排放监控浓度限值要求</w:t>
                  </w:r>
                </w:p>
              </w:tc>
              <w:tc>
                <w:tcPr>
                  <w:tcW w:w="832" w:type="pct"/>
                  <w:tcBorders>
                    <w:tl2br w:val="nil"/>
                    <w:tr2bl w:val="nil"/>
                  </w:tcBorders>
                  <w:noWrap w:val="0"/>
                  <w:vAlign w:val="center"/>
                </w:tcPr>
                <w:p w14:paraId="4B1401B7">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1.0</w:t>
                  </w:r>
                </w:p>
              </w:tc>
              <w:tc>
                <w:tcPr>
                  <w:tcW w:w="517" w:type="pct"/>
                  <w:tcBorders>
                    <w:tl2br w:val="nil"/>
                    <w:tr2bl w:val="nil"/>
                  </w:tcBorders>
                  <w:noWrap w:val="0"/>
                  <w:vAlign w:val="center"/>
                </w:tcPr>
                <w:p w14:paraId="649A6804">
                  <w:pPr>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0.0375</w:t>
                  </w:r>
                </w:p>
              </w:tc>
            </w:tr>
            <w:tr w14:paraId="1233E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restart"/>
                  <w:tcBorders>
                    <w:tl2br w:val="nil"/>
                    <w:tr2bl w:val="nil"/>
                  </w:tcBorders>
                  <w:noWrap w:val="0"/>
                  <w:vAlign w:val="center"/>
                </w:tcPr>
                <w:p w14:paraId="39599A8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w:t>
                  </w:r>
                </w:p>
              </w:tc>
              <w:tc>
                <w:tcPr>
                  <w:tcW w:w="501" w:type="pct"/>
                  <w:vMerge w:val="continue"/>
                  <w:tcBorders>
                    <w:tl2br w:val="nil"/>
                    <w:tr2bl w:val="nil"/>
                  </w:tcBorders>
                  <w:noWrap w:val="0"/>
                  <w:vAlign w:val="center"/>
                </w:tcPr>
                <w:p w14:paraId="04C0617E">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restart"/>
                  <w:tcBorders>
                    <w:tl2br w:val="nil"/>
                    <w:tr2bl w:val="nil"/>
                  </w:tcBorders>
                  <w:noWrap w:val="0"/>
                  <w:vAlign w:val="center"/>
                </w:tcPr>
                <w:p w14:paraId="0AA60E6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kern w:val="0"/>
                      <w:sz w:val="21"/>
                      <w:szCs w:val="21"/>
                      <w:lang w:eastAsia="zh-CN"/>
                    </w:rPr>
                    <w:t>非甲烷总烃</w:t>
                  </w:r>
                </w:p>
              </w:tc>
              <w:tc>
                <w:tcPr>
                  <w:tcW w:w="548" w:type="pct"/>
                  <w:vMerge w:val="continue"/>
                  <w:tcBorders>
                    <w:tl2br w:val="nil"/>
                    <w:tr2bl w:val="nil"/>
                  </w:tcBorders>
                  <w:noWrap w:val="0"/>
                  <w:vAlign w:val="center"/>
                </w:tcPr>
                <w:p w14:paraId="1B349577">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tcBorders>
                    <w:tl2br w:val="nil"/>
                    <w:tr2bl w:val="nil"/>
                  </w:tcBorders>
                  <w:noWrap w:val="0"/>
                  <w:vAlign w:val="center"/>
                </w:tcPr>
                <w:p w14:paraId="082BD116">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《工业企业挥发性有机物排放控制标准》（DB13/2322-2016）表2其他企业标准要求</w:t>
                  </w:r>
                </w:p>
              </w:tc>
              <w:tc>
                <w:tcPr>
                  <w:tcW w:w="832" w:type="pct"/>
                  <w:tcBorders>
                    <w:tl2br w:val="nil"/>
                    <w:tr2bl w:val="nil"/>
                  </w:tcBorders>
                  <w:noWrap w:val="0"/>
                  <w:vAlign w:val="center"/>
                </w:tcPr>
                <w:p w14:paraId="5CFE36B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2.0</w:t>
                  </w:r>
                </w:p>
              </w:tc>
              <w:tc>
                <w:tcPr>
                  <w:tcW w:w="517" w:type="pct"/>
                  <w:vMerge w:val="restart"/>
                  <w:tcBorders>
                    <w:tl2br w:val="nil"/>
                    <w:tr2bl w:val="nil"/>
                  </w:tcBorders>
                  <w:noWrap w:val="0"/>
                  <w:vAlign w:val="center"/>
                </w:tcPr>
                <w:p w14:paraId="55B997EC">
                  <w:pPr>
                    <w:jc w:val="center"/>
                    <w:rPr>
                      <w:rFonts w:hint="default" w:ascii="Times New Roman" w:hAnsi="Times New Roman" w:eastAsia="等线"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5.4</w:t>
                  </w:r>
                </w:p>
              </w:tc>
            </w:tr>
            <w:tr w14:paraId="4AD40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73" w:type="pct"/>
                  <w:vMerge w:val="continue"/>
                  <w:tcBorders>
                    <w:tl2br w:val="nil"/>
                    <w:tr2bl w:val="nil"/>
                  </w:tcBorders>
                  <w:noWrap w:val="0"/>
                  <w:vAlign w:val="center"/>
                </w:tcPr>
                <w:p w14:paraId="39EEFBAB">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A9B7821">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6C60EC3B">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62595559">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restart"/>
                  <w:tcBorders>
                    <w:tl2br w:val="nil"/>
                    <w:tr2bl w:val="nil"/>
                  </w:tcBorders>
                  <w:noWrap w:val="0"/>
                  <w:vAlign w:val="center"/>
                </w:tcPr>
                <w:p w14:paraId="15C1C58D">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《挥发性有机物无组织排放控制标准》（GB37822-2019）表A.1厂区内VOCs无组织特别排放限值要求</w:t>
                  </w:r>
                </w:p>
              </w:tc>
              <w:tc>
                <w:tcPr>
                  <w:tcW w:w="832" w:type="pct"/>
                  <w:tcBorders>
                    <w:tl2br w:val="nil"/>
                    <w:tr2bl w:val="nil"/>
                  </w:tcBorders>
                  <w:noWrap w:val="0"/>
                  <w:vAlign w:val="center"/>
                </w:tcPr>
                <w:p w14:paraId="18C994C5">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cs="Times New Roman"/>
                      <w:color w:val="auto"/>
                      <w:sz w:val="21"/>
                      <w:szCs w:val="21"/>
                      <w:lang w:val="en-US" w:eastAsia="zh-CN"/>
                    </w:rPr>
                    <w:t>监控点1h平均浓度值：6.0</w:t>
                  </w:r>
                </w:p>
              </w:tc>
              <w:tc>
                <w:tcPr>
                  <w:tcW w:w="517" w:type="pct"/>
                  <w:vMerge w:val="continue"/>
                  <w:tcBorders>
                    <w:tl2br w:val="nil"/>
                    <w:tr2bl w:val="nil"/>
                  </w:tcBorders>
                  <w:noWrap w:val="0"/>
                  <w:vAlign w:val="center"/>
                </w:tcPr>
                <w:p w14:paraId="4EF3F9F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r w14:paraId="4260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continue"/>
                  <w:tcBorders>
                    <w:tl2br w:val="nil"/>
                    <w:tr2bl w:val="nil"/>
                  </w:tcBorders>
                  <w:noWrap w:val="0"/>
                  <w:vAlign w:val="center"/>
                </w:tcPr>
                <w:p w14:paraId="47D7FC88">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7410D38">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0F54F22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13A43722">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continue"/>
                  <w:tcBorders>
                    <w:tl2br w:val="nil"/>
                    <w:tr2bl w:val="nil"/>
                  </w:tcBorders>
                  <w:noWrap w:val="0"/>
                  <w:vAlign w:val="center"/>
                </w:tcPr>
                <w:p w14:paraId="344392C5">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832" w:type="pct"/>
                  <w:tcBorders>
                    <w:tl2br w:val="nil"/>
                    <w:tr2bl w:val="nil"/>
                  </w:tcBorders>
                  <w:noWrap w:val="0"/>
                  <w:vAlign w:val="center"/>
                </w:tcPr>
                <w:p w14:paraId="5ADE6E56">
                  <w:pPr>
                    <w:jc w:val="center"/>
                    <w:rPr>
                      <w:rFonts w:hint="eastAsia" w:ascii="Times New Roman" w:hAnsi="Times New Roman" w:eastAsia="等线" w:cs="Times New Roman"/>
                      <w:color w:val="auto"/>
                      <w:kern w:val="0"/>
                      <w:sz w:val="21"/>
                      <w:szCs w:val="21"/>
                      <w:lang w:val="en-US" w:eastAsia="zh-CN"/>
                    </w:rPr>
                  </w:pPr>
                  <w:r>
                    <w:rPr>
                      <w:color w:val="auto"/>
                      <w:kern w:val="0"/>
                      <w:sz w:val="21"/>
                      <w:szCs w:val="21"/>
                      <w:lang w:bidi="ar"/>
                    </w:rPr>
                    <w:t>监控点任意一次浓度值</w:t>
                  </w:r>
                  <w:r>
                    <w:rPr>
                      <w:rFonts w:hint="eastAsia"/>
                      <w:color w:val="auto"/>
                      <w:kern w:val="0"/>
                      <w:sz w:val="21"/>
                      <w:szCs w:val="21"/>
                      <w:lang w:eastAsia="zh-CN" w:bidi="ar"/>
                    </w:rPr>
                    <w:t>：</w:t>
                  </w:r>
                  <w:r>
                    <w:rPr>
                      <w:rFonts w:hint="default" w:ascii="Times New Roman" w:hAnsi="Times New Roman" w:cs="Times New Roman"/>
                      <w:color w:val="auto"/>
                      <w:kern w:val="0"/>
                      <w:sz w:val="21"/>
                      <w:szCs w:val="21"/>
                      <w:lang w:val="en-US" w:eastAsia="zh-CN" w:bidi="ar"/>
                    </w:rPr>
                    <w:t>20</w:t>
                  </w:r>
                </w:p>
              </w:tc>
              <w:tc>
                <w:tcPr>
                  <w:tcW w:w="517" w:type="pct"/>
                  <w:vMerge w:val="continue"/>
                  <w:tcBorders>
                    <w:tl2br w:val="nil"/>
                    <w:tr2bl w:val="nil"/>
                  </w:tcBorders>
                  <w:noWrap w:val="0"/>
                  <w:vAlign w:val="center"/>
                </w:tcPr>
                <w:p w14:paraId="0C8AB05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bl>
          <w:p w14:paraId="18144F99">
            <w:pPr>
              <w:widowControl w:val="0"/>
              <w:autoSpaceDE w:val="0"/>
              <w:autoSpaceDN w:val="0"/>
              <w:adjustRightInd w:val="0"/>
              <w:snapToGrid w:val="0"/>
              <w:spacing w:line="360" w:lineRule="auto"/>
              <w:ind w:firstLine="480" w:firstLineChars="200"/>
              <w:jc w:val="both"/>
              <w:rPr>
                <w:rFonts w:ascii="Times New Roman" w:hAnsi="Times New Roman" w:eastAsia="宋体" w:cs="宋体"/>
                <w:color w:val="auto"/>
                <w:kern w:val="0"/>
                <w:sz w:val="24"/>
                <w:szCs w:val="24"/>
                <w:lang w:val="en-US" w:eastAsia="zh-CN" w:bidi="ar-SA"/>
              </w:rPr>
            </w:pPr>
            <w:r>
              <w:rPr>
                <w:rFonts w:hint="eastAsia" w:ascii="Times New Roman" w:hAnsi="Times New Roman" w:eastAsia="宋体" w:cs="宋体"/>
                <w:color w:val="auto"/>
                <w:kern w:val="0"/>
                <w:sz w:val="24"/>
                <w:szCs w:val="24"/>
                <w:lang w:val="en-US" w:eastAsia="zh-CN" w:bidi="ar-SA"/>
              </w:rPr>
              <w:t>本项目污染物排放量核算见下表：</w:t>
            </w:r>
          </w:p>
          <w:p w14:paraId="5142EE8D">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highlight w:val="none"/>
                <w:vertAlign w:val="baseline"/>
                <w:lang w:val="en-US" w:eastAsia="zh-CN" w:bidi="ar-SA"/>
              </w:rPr>
            </w:pPr>
            <w:r>
              <w:rPr>
                <w:rFonts w:hint="default" w:ascii="Times New Roman" w:hAnsi="Times New Roman" w:eastAsia="宋体" w:cs="Times New Roman"/>
                <w:b/>
                <w:bCs/>
                <w:smallCaps w:val="0"/>
                <w:color w:val="auto"/>
                <w:kern w:val="2"/>
                <w:sz w:val="24"/>
                <w:szCs w:val="24"/>
                <w:highlight w:val="none"/>
                <w:vertAlign w:val="baseline"/>
                <w:lang w:val="en-US" w:eastAsia="zh-CN" w:bidi="ar-SA"/>
              </w:rPr>
              <w:t>表</w:t>
            </w:r>
            <w:r>
              <w:rPr>
                <w:rFonts w:hint="eastAsia" w:ascii="Times New Roman" w:hAnsi="Times New Roman" w:eastAsia="宋体" w:cs="Times New Roman"/>
                <w:b/>
                <w:bCs/>
                <w:smallCaps w:val="0"/>
                <w:color w:val="auto"/>
                <w:kern w:val="2"/>
                <w:sz w:val="24"/>
                <w:szCs w:val="24"/>
                <w:highlight w:val="none"/>
                <w:vertAlign w:val="baseline"/>
                <w:lang w:val="en-US" w:eastAsia="zh-CN" w:bidi="ar-SA"/>
              </w:rPr>
              <w:t>4-</w:t>
            </w:r>
            <w:r>
              <w:rPr>
                <w:rFonts w:hint="eastAsia" w:ascii="Times New Roman" w:hAnsi="Times New Roman" w:cs="Times New Roman"/>
                <w:b/>
                <w:bCs/>
                <w:smallCaps w:val="0"/>
                <w:color w:val="auto"/>
                <w:kern w:val="2"/>
                <w:sz w:val="24"/>
                <w:szCs w:val="24"/>
                <w:highlight w:val="none"/>
                <w:vertAlign w:val="baseline"/>
                <w:lang w:val="en-US" w:eastAsia="zh-CN" w:bidi="ar-SA"/>
              </w:rPr>
              <w:t>8</w:t>
            </w:r>
            <w:r>
              <w:rPr>
                <w:rFonts w:hint="default" w:ascii="Times New Roman" w:hAnsi="Times New Roman" w:eastAsia="宋体" w:cs="Times New Roman"/>
                <w:b/>
                <w:bCs/>
                <w:smallCaps w:val="0"/>
                <w:color w:val="auto"/>
                <w:kern w:val="2"/>
                <w:sz w:val="24"/>
                <w:szCs w:val="24"/>
                <w:highlight w:val="none"/>
                <w:vertAlign w:val="baseline"/>
                <w:lang w:val="en-US" w:eastAsia="zh-CN" w:bidi="ar-SA"/>
              </w:rPr>
              <w:t xml:space="preserve">   大气污染物年排放量核算表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465"/>
              <w:gridCol w:w="2210"/>
              <w:gridCol w:w="2071"/>
              <w:gridCol w:w="1907"/>
            </w:tblGrid>
            <w:tr w14:paraId="362D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79" w:type="pct"/>
                  <w:tcBorders>
                    <w:tl2br w:val="nil"/>
                    <w:tr2bl w:val="nil"/>
                  </w:tcBorders>
                  <w:noWrap w:val="0"/>
                  <w:vAlign w:val="center"/>
                </w:tcPr>
                <w:p w14:paraId="3092F4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865" w:type="pct"/>
                  <w:tcBorders>
                    <w:tl2br w:val="nil"/>
                    <w:tr2bl w:val="nil"/>
                  </w:tcBorders>
                  <w:noWrap w:val="0"/>
                  <w:vAlign w:val="center"/>
                </w:tcPr>
                <w:p w14:paraId="0A6D757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污染物</w:t>
                  </w:r>
                </w:p>
              </w:tc>
              <w:tc>
                <w:tcPr>
                  <w:tcW w:w="1305" w:type="pct"/>
                  <w:tcBorders>
                    <w:tl2br w:val="nil"/>
                    <w:tr2bl w:val="nil"/>
                  </w:tcBorders>
                  <w:noWrap w:val="0"/>
                  <w:vAlign w:val="center"/>
                </w:tcPr>
                <w:p w14:paraId="40CBACA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有组织</w:t>
                  </w:r>
                  <w:r>
                    <w:rPr>
                      <w:rFonts w:hint="default" w:ascii="Times New Roman" w:hAnsi="Times New Roman" w:eastAsia="宋体" w:cs="Times New Roman"/>
                      <w:b/>
                      <w:bCs/>
                      <w:color w:val="auto"/>
                      <w:kern w:val="0"/>
                      <w:sz w:val="21"/>
                      <w:szCs w:val="21"/>
                      <w:highlight w:val="none"/>
                    </w:rPr>
                    <w:t>排放量/(t/a)</w:t>
                  </w:r>
                </w:p>
              </w:tc>
              <w:tc>
                <w:tcPr>
                  <w:tcW w:w="1223" w:type="pct"/>
                  <w:tcBorders>
                    <w:tl2br w:val="nil"/>
                    <w:tr2bl w:val="nil"/>
                  </w:tcBorders>
                  <w:noWrap w:val="0"/>
                  <w:vAlign w:val="center"/>
                </w:tcPr>
                <w:p w14:paraId="77BFAD2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无组织</w:t>
                  </w:r>
                  <w:r>
                    <w:rPr>
                      <w:rFonts w:hint="default" w:ascii="Times New Roman" w:hAnsi="Times New Roman" w:eastAsia="宋体" w:cs="Times New Roman"/>
                      <w:b/>
                      <w:bCs/>
                      <w:color w:val="auto"/>
                      <w:kern w:val="0"/>
                      <w:sz w:val="21"/>
                      <w:szCs w:val="21"/>
                      <w:highlight w:val="none"/>
                    </w:rPr>
                    <w:t>排放量/(t/a)</w:t>
                  </w:r>
                </w:p>
              </w:tc>
              <w:tc>
                <w:tcPr>
                  <w:tcW w:w="1126" w:type="pct"/>
                  <w:tcBorders>
                    <w:tl2br w:val="nil"/>
                    <w:tr2bl w:val="nil"/>
                  </w:tcBorders>
                  <w:noWrap w:val="0"/>
                  <w:vAlign w:val="center"/>
                </w:tcPr>
                <w:p w14:paraId="56159F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年排放量/(t/a)</w:t>
                  </w:r>
                </w:p>
              </w:tc>
            </w:tr>
            <w:tr w14:paraId="6541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79" w:type="pct"/>
                  <w:tcBorders>
                    <w:tl2br w:val="nil"/>
                    <w:tr2bl w:val="nil"/>
                  </w:tcBorders>
                  <w:noWrap w:val="0"/>
                  <w:vAlign w:val="center"/>
                </w:tcPr>
                <w:p w14:paraId="6095A773">
                  <w:pPr>
                    <w:pStyle w:val="79"/>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865" w:type="pct"/>
                  <w:tcBorders>
                    <w:tl2br w:val="nil"/>
                    <w:tr2bl w:val="nil"/>
                  </w:tcBorders>
                  <w:noWrap w:val="0"/>
                  <w:vAlign w:val="center"/>
                </w:tcPr>
                <w:p w14:paraId="46C6EB4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kern w:val="0"/>
                      <w:sz w:val="21"/>
                      <w:szCs w:val="21"/>
                      <w:highlight w:val="none"/>
                      <w:lang w:val="en-US" w:eastAsia="zh-CN"/>
                    </w:rPr>
                    <w:t>颗粒物</w:t>
                  </w:r>
                </w:p>
              </w:tc>
              <w:tc>
                <w:tcPr>
                  <w:tcW w:w="2210" w:type="dxa"/>
                  <w:tcBorders>
                    <w:tl2br w:val="nil"/>
                    <w:tr2bl w:val="nil"/>
                  </w:tcBorders>
                  <w:noWrap w:val="0"/>
                  <w:vAlign w:val="center"/>
                </w:tcPr>
                <w:p w14:paraId="74FD909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Cs w:val="21"/>
                      <w:lang w:val="en-US" w:eastAsia="zh-CN"/>
                    </w:rPr>
                    <w:t>0.0075</w:t>
                  </w:r>
                </w:p>
              </w:tc>
              <w:tc>
                <w:tcPr>
                  <w:tcW w:w="1223" w:type="pct"/>
                  <w:tcBorders>
                    <w:tl2br w:val="nil"/>
                    <w:tr2bl w:val="nil"/>
                  </w:tcBorders>
                  <w:noWrap w:val="0"/>
                  <w:vAlign w:val="center"/>
                </w:tcPr>
                <w:p w14:paraId="2201198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0.0375</w:t>
                  </w:r>
                </w:p>
              </w:tc>
              <w:tc>
                <w:tcPr>
                  <w:tcW w:w="1907" w:type="dxa"/>
                  <w:tcBorders>
                    <w:tl2br w:val="nil"/>
                    <w:tr2bl w:val="nil"/>
                  </w:tcBorders>
                  <w:noWrap w:val="0"/>
                  <w:vAlign w:val="center"/>
                </w:tcPr>
                <w:p w14:paraId="59B7E539">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0.045</w:t>
                  </w:r>
                </w:p>
              </w:tc>
            </w:tr>
            <w:tr w14:paraId="6341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420E36F4">
                  <w:pPr>
                    <w:pStyle w:val="7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865" w:type="pct"/>
                  <w:tcBorders>
                    <w:tl2br w:val="nil"/>
                    <w:tr2bl w:val="nil"/>
                  </w:tcBorders>
                  <w:noWrap w:val="0"/>
                  <w:vAlign w:val="center"/>
                </w:tcPr>
                <w:p w14:paraId="5EF97CFF">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auto"/>
                      <w:kern w:val="0"/>
                      <w:sz w:val="21"/>
                      <w:szCs w:val="21"/>
                      <w:highlight w:val="none"/>
                      <w:lang w:eastAsia="zh-CN"/>
                    </w:rPr>
                  </w:pPr>
                  <w:r>
                    <w:rPr>
                      <w:rFonts w:hint="eastAsia" w:ascii="Times New Roman" w:hAnsi="Times New Roman" w:cs="Times New Roman"/>
                      <w:color w:val="auto"/>
                      <w:kern w:val="0"/>
                      <w:sz w:val="21"/>
                      <w:szCs w:val="21"/>
                      <w:highlight w:val="none"/>
                      <w:lang w:eastAsia="zh-CN"/>
                    </w:rPr>
                    <w:t>非甲烷总烃</w:t>
                  </w:r>
                </w:p>
              </w:tc>
              <w:tc>
                <w:tcPr>
                  <w:tcW w:w="2210" w:type="dxa"/>
                  <w:tcBorders>
                    <w:tl2br w:val="nil"/>
                    <w:tr2bl w:val="nil"/>
                  </w:tcBorders>
                  <w:noWrap w:val="0"/>
                  <w:vAlign w:val="center"/>
                </w:tcPr>
                <w:p w14:paraId="0337DA5C">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2.16</w:t>
                  </w:r>
                </w:p>
              </w:tc>
              <w:tc>
                <w:tcPr>
                  <w:tcW w:w="1223" w:type="pct"/>
                  <w:tcBorders>
                    <w:tl2br w:val="nil"/>
                    <w:tr2bl w:val="nil"/>
                  </w:tcBorders>
                  <w:noWrap w:val="0"/>
                  <w:vAlign w:val="center"/>
                </w:tcPr>
                <w:p w14:paraId="3C627D5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5.4</w:t>
                  </w:r>
                </w:p>
              </w:tc>
              <w:tc>
                <w:tcPr>
                  <w:tcW w:w="1907" w:type="dxa"/>
                  <w:tcBorders>
                    <w:tl2br w:val="nil"/>
                    <w:tr2bl w:val="nil"/>
                  </w:tcBorders>
                  <w:noWrap w:val="0"/>
                  <w:vAlign w:val="center"/>
                </w:tcPr>
                <w:p w14:paraId="0CF7F725">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7.56</w:t>
                  </w:r>
                </w:p>
              </w:tc>
            </w:tr>
          </w:tbl>
          <w:p w14:paraId="37ABEDB8">
            <w:pPr>
              <w:pStyle w:val="94"/>
              <w:spacing w:line="360" w:lineRule="auto"/>
              <w:ind w:firstLine="482" w:firstLineChars="200"/>
              <w:jc w:val="both"/>
              <w:rPr>
                <w:rFonts w:hint="eastAsia" w:ascii="Times New Roman" w:hAnsi="Times New Roman"/>
                <w:b/>
                <w:bCs/>
                <w:color w:val="auto"/>
                <w:sz w:val="24"/>
                <w:szCs w:val="22"/>
                <w:highlight w:val="none"/>
                <w:lang w:eastAsia="zh-CN"/>
              </w:rPr>
            </w:pPr>
            <w:r>
              <w:rPr>
                <w:rFonts w:hint="eastAsia" w:ascii="Times New Roman" w:hAnsi="Times New Roman" w:cs="Times New Roman" w:eastAsiaTheme="minorEastAsia"/>
                <w:b/>
                <w:bCs/>
                <w:color w:val="auto"/>
                <w:sz w:val="24"/>
                <w:szCs w:val="24"/>
                <w:highlight w:val="none"/>
                <w:lang w:val="en-US" w:eastAsia="zh-CN"/>
              </w:rPr>
              <w:t>4、废气污染治理设施可行性分析</w:t>
            </w:r>
          </w:p>
          <w:p w14:paraId="1FDE611C">
            <w:pPr>
              <w:numPr>
                <w:ilvl w:val="0"/>
                <w:numId w:val="0"/>
              </w:numPr>
              <w:spacing w:line="480" w:lineRule="exact"/>
              <w:ind w:firstLine="480" w:firstLineChars="200"/>
              <w:rPr>
                <w:rFonts w:ascii="Times New Roman" w:hAnsi="Times New Roman"/>
                <w:b/>
                <w:bCs/>
                <w:color w:val="auto"/>
                <w:szCs w:val="21"/>
                <w:highlight w:val="none"/>
              </w:rPr>
            </w:pPr>
            <w:r>
              <w:rPr>
                <w:rFonts w:hint="eastAsia" w:ascii="Times New Roman" w:hAnsi="Times New Roman"/>
                <w:color w:val="auto"/>
                <w:sz w:val="24"/>
                <w:highlight w:val="none"/>
                <w:lang w:eastAsia="zh-CN"/>
              </w:rPr>
              <w:t>注塑工序选用</w:t>
            </w:r>
            <w:r>
              <w:rPr>
                <w:rFonts w:hint="eastAsia" w:ascii="Times New Roman" w:hAnsi="Times New Roman"/>
                <w:color w:val="auto"/>
                <w:sz w:val="24"/>
                <w:highlight w:val="none"/>
                <w:lang w:val="en-US" w:eastAsia="zh-CN"/>
              </w:rPr>
              <w:t>活性炭吸附脱附+催化燃烧装置</w:t>
            </w:r>
            <w:r>
              <w:rPr>
                <w:rFonts w:hint="eastAsia" w:ascii="Times New Roman" w:hAnsi="Times New Roman"/>
                <w:color w:val="auto"/>
                <w:sz w:val="24"/>
                <w:highlight w:val="none"/>
                <w:lang w:eastAsia="zh-CN"/>
              </w:rPr>
              <w:t>处理，</w:t>
            </w:r>
            <w:r>
              <w:rPr>
                <w:rFonts w:hint="eastAsia" w:ascii="Times New Roman" w:hAnsi="Times New Roman"/>
                <w:color w:val="auto"/>
                <w:sz w:val="24"/>
                <w:szCs w:val="22"/>
                <w:highlight w:val="none"/>
                <w:lang w:eastAsia="zh-CN"/>
              </w:rPr>
              <w:t>粉碎工序</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w:t>
            </w:r>
            <w:r>
              <w:rPr>
                <w:rFonts w:hint="eastAsia" w:ascii="Times New Roman" w:hAnsi="Times New Roman"/>
                <w:color w:val="auto"/>
                <w:sz w:val="24"/>
                <w:szCs w:val="22"/>
                <w:highlight w:val="none"/>
              </w:rPr>
              <w:t>根据</w:t>
            </w:r>
            <w:r>
              <w:rPr>
                <w:rFonts w:hint="eastAsia" w:ascii="Times New Roman" w:hAnsi="Times New Roman"/>
                <w:color w:val="auto"/>
                <w:sz w:val="24"/>
                <w:highlight w:val="none"/>
                <w:lang w:eastAsia="zh-CN"/>
              </w:rPr>
              <w:t>《排污许可证申请与核发技术规范  橡胶和塑料制品工业》（HJ1122-2020）</w:t>
            </w:r>
            <w:r>
              <w:rPr>
                <w:rFonts w:hint="eastAsia" w:ascii="Times New Roman" w:hAnsi="Times New Roman"/>
                <w:color w:val="auto"/>
                <w:sz w:val="24"/>
                <w:szCs w:val="22"/>
                <w:highlight w:val="none"/>
              </w:rPr>
              <w:t>废气污染防治可行性技术参考表</w:t>
            </w:r>
            <w:r>
              <w:rPr>
                <w:rFonts w:hint="eastAsia" w:ascii="Times New Roman" w:hAnsi="Times New Roman"/>
                <w:color w:val="auto"/>
                <w:sz w:val="24"/>
                <w:highlight w:val="none"/>
              </w:rPr>
              <w:t>。</w:t>
            </w:r>
            <w:r>
              <w:rPr>
                <w:rFonts w:hint="eastAsia" w:ascii="Times New Roman" w:hAnsi="Times New Roman"/>
                <w:color w:val="auto"/>
                <w:sz w:val="24"/>
                <w:szCs w:val="22"/>
                <w:highlight w:val="none"/>
                <w:lang w:eastAsia="zh-CN"/>
              </w:rPr>
              <w:t>注塑</w:t>
            </w:r>
            <w:r>
              <w:rPr>
                <w:rFonts w:hint="eastAsia" w:ascii="Times New Roman" w:hAnsi="Times New Roman"/>
                <w:color w:val="auto"/>
                <w:sz w:val="24"/>
                <w:highlight w:val="none"/>
                <w:lang w:eastAsia="zh-CN"/>
              </w:rPr>
              <w:t>工序废气、粉碎工序废气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2CE8F63F">
            <w:pPr>
              <w:adjustRightInd w:val="0"/>
              <w:snapToGrid w:val="0"/>
              <w:jc w:val="center"/>
              <w:rPr>
                <w:rFonts w:hint="eastAsia"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b/>
                <w:bCs/>
                <w:color w:val="auto"/>
                <w:sz w:val="24"/>
                <w:szCs w:val="21"/>
                <w:highlight w:val="none"/>
              </w:rPr>
              <w:t>表</w:t>
            </w:r>
            <w:r>
              <w:rPr>
                <w:rFonts w:hint="eastAsia" w:ascii="Times New Roman" w:hAnsi="Times New Roman" w:eastAsia="宋体" w:cs="Times New Roman"/>
                <w:b/>
                <w:bCs/>
                <w:color w:val="auto"/>
                <w:sz w:val="24"/>
                <w:szCs w:val="21"/>
                <w:highlight w:val="none"/>
                <w:lang w:val="en-US" w:eastAsia="zh-CN"/>
              </w:rPr>
              <w:t>4-9</w:t>
            </w:r>
            <w:r>
              <w:rPr>
                <w:rFonts w:hint="default" w:ascii="Times New Roman" w:hAnsi="Times New Roman" w:eastAsia="宋体" w:cs="Times New Roman"/>
                <w:b/>
                <w:bCs/>
                <w:color w:val="auto"/>
                <w:sz w:val="24"/>
                <w:szCs w:val="21"/>
                <w:highlight w:val="none"/>
                <w:lang w:val="en-US" w:eastAsia="zh-CN"/>
              </w:rPr>
              <w:t xml:space="preserve"> </w:t>
            </w:r>
            <w:r>
              <w:rPr>
                <w:rFonts w:hint="default" w:ascii="Times New Roman" w:hAnsi="Times New Roman" w:eastAsia="宋体" w:cs="Times New Roman"/>
                <w:b/>
                <w:bCs/>
                <w:color w:val="auto"/>
                <w:sz w:val="24"/>
                <w:szCs w:val="21"/>
                <w:highlight w:val="none"/>
              </w:rPr>
              <w:t xml:space="preserve"> </w:t>
            </w:r>
            <w:r>
              <w:rPr>
                <w:rFonts w:hint="eastAsia" w:ascii="Times New Roman" w:hAnsi="Times New Roman" w:eastAsia="宋体" w:cs="Times New Roman"/>
                <w:b/>
                <w:bCs/>
                <w:color w:val="auto"/>
                <w:sz w:val="24"/>
                <w:szCs w:val="21"/>
                <w:highlight w:val="none"/>
                <w:lang w:eastAsia="zh-CN"/>
              </w:rPr>
              <w:t>废气污染治理设施可行性分析一览表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12"/>
              <w:gridCol w:w="777"/>
              <w:gridCol w:w="1192"/>
              <w:gridCol w:w="1192"/>
              <w:gridCol w:w="2955"/>
              <w:gridCol w:w="736"/>
            </w:tblGrid>
            <w:tr w14:paraId="6A1AC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952" w:type="pct"/>
                  <w:noWrap w:val="0"/>
                  <w:vAlign w:val="center"/>
                </w:tcPr>
                <w:p w14:paraId="6CB06611">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产排污环节</w:t>
                  </w:r>
                </w:p>
              </w:tc>
              <w:tc>
                <w:tcPr>
                  <w:tcW w:w="459" w:type="pct"/>
                  <w:noWrap w:val="0"/>
                  <w:vAlign w:val="center"/>
                </w:tcPr>
                <w:p w14:paraId="2C454944">
                  <w:pPr>
                    <w:adjustRightInd w:val="0"/>
                    <w:snapToGrid w:val="0"/>
                    <w:jc w:val="center"/>
                    <w:rPr>
                      <w:rFonts w:hint="eastAsia"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rPr>
                    <w:t>污染物</w:t>
                  </w:r>
                  <w:r>
                    <w:rPr>
                      <w:rFonts w:hint="eastAsia" w:ascii="Times New Roman" w:hAnsi="Times New Roman" w:eastAsia="宋体" w:cs="Times New Roman"/>
                      <w:b/>
                      <w:bCs/>
                      <w:color w:val="auto"/>
                      <w:szCs w:val="21"/>
                      <w:highlight w:val="none"/>
                      <w:lang w:eastAsia="zh-CN"/>
                    </w:rPr>
                    <w:t>种类</w:t>
                  </w:r>
                </w:p>
              </w:tc>
              <w:tc>
                <w:tcPr>
                  <w:tcW w:w="704" w:type="pct"/>
                  <w:noWrap w:val="0"/>
                  <w:vAlign w:val="center"/>
                </w:tcPr>
                <w:p w14:paraId="789CEE06">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过程控制技术</w:t>
                  </w:r>
                </w:p>
              </w:tc>
              <w:tc>
                <w:tcPr>
                  <w:tcW w:w="704" w:type="pct"/>
                  <w:noWrap w:val="0"/>
                  <w:vAlign w:val="center"/>
                </w:tcPr>
                <w:p w14:paraId="70FBFE89">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可行技术</w:t>
                  </w:r>
                </w:p>
              </w:tc>
              <w:tc>
                <w:tcPr>
                  <w:tcW w:w="1745" w:type="pct"/>
                  <w:noWrap w:val="0"/>
                  <w:vAlign w:val="center"/>
                </w:tcPr>
                <w:p w14:paraId="01AB39CA">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本项目情况</w:t>
                  </w:r>
                </w:p>
              </w:tc>
              <w:tc>
                <w:tcPr>
                  <w:tcW w:w="434" w:type="pct"/>
                  <w:noWrap w:val="0"/>
                  <w:vAlign w:val="center"/>
                </w:tcPr>
                <w:p w14:paraId="737CA047">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是否可行</w:t>
                  </w:r>
                </w:p>
              </w:tc>
            </w:tr>
            <w:tr w14:paraId="3FAA3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52" w:type="pct"/>
                  <w:vMerge w:val="restart"/>
                  <w:noWrap w:val="0"/>
                  <w:vAlign w:val="center"/>
                </w:tcPr>
                <w:p w14:paraId="2F406598">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塑料薄膜制造，塑料板、管、型材制造,塑料丝、绳及编制品制造，泡沫塑料制造，塑料包装箱及容器制造，日用塑料制品制造，人造草坪制造，塑料零件及其他塑料制品制造废气</w:t>
                  </w:r>
                </w:p>
              </w:tc>
              <w:tc>
                <w:tcPr>
                  <w:tcW w:w="459" w:type="pct"/>
                  <w:noWrap w:val="0"/>
                  <w:vAlign w:val="center"/>
                </w:tcPr>
                <w:p w14:paraId="488B34E0">
                  <w:pPr>
                    <w:widowControl/>
                    <w:jc w:val="center"/>
                    <w:rPr>
                      <w:rFonts w:hint="default" w:ascii="Times New Roman" w:hAnsi="Times New Roman" w:eastAsia="宋体" w:cs="Times New Roman"/>
                      <w:color w:val="auto"/>
                      <w:szCs w:val="21"/>
                      <w:highlight w:val="none"/>
                    </w:rPr>
                  </w:pPr>
                  <w:r>
                    <w:rPr>
                      <w:rFonts w:hint="eastAsia" w:ascii="Times New Roman" w:hAnsi="Times New Roman" w:cs="Times New Roman"/>
                      <w:b w:val="0"/>
                      <w:bCs w:val="0"/>
                      <w:color w:val="auto"/>
                      <w:sz w:val="21"/>
                      <w:szCs w:val="21"/>
                      <w:lang w:val="en-US" w:eastAsia="zh-CN"/>
                    </w:rPr>
                    <w:t>颗粒物</w:t>
                  </w:r>
                </w:p>
              </w:tc>
              <w:tc>
                <w:tcPr>
                  <w:tcW w:w="704" w:type="pct"/>
                  <w:vMerge w:val="restart"/>
                  <w:noWrap w:val="0"/>
                  <w:vAlign w:val="center"/>
                </w:tcPr>
                <w:p w14:paraId="33818567">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溶剂替代</w:t>
                  </w:r>
                </w:p>
                <w:p w14:paraId="17981B9F">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密闭过程</w:t>
                  </w:r>
                </w:p>
                <w:p w14:paraId="65AEC5C0">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密闭场所</w:t>
                  </w:r>
                </w:p>
                <w:p w14:paraId="2B4E39EC">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局部收集</w:t>
                  </w:r>
                </w:p>
              </w:tc>
              <w:tc>
                <w:tcPr>
                  <w:tcW w:w="704" w:type="pct"/>
                  <w:noWrap w:val="0"/>
                  <w:vAlign w:val="center"/>
                </w:tcPr>
                <w:p w14:paraId="73D86FF3">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袋式除尘器；滤筒</w:t>
                  </w:r>
                  <w:r>
                    <w:rPr>
                      <w:rFonts w:hint="eastAsia" w:ascii="Times New Roman" w:hAnsi="Times New Roman" w:eastAsia="宋体" w:cs="Times New Roman"/>
                      <w:color w:val="auto"/>
                      <w:szCs w:val="21"/>
                      <w:highlight w:val="none"/>
                      <w:lang w:val="en-US" w:eastAsia="zh-CN"/>
                    </w:rPr>
                    <w:t>/滤芯</w:t>
                  </w:r>
                  <w:r>
                    <w:rPr>
                      <w:rFonts w:hint="eastAsia" w:ascii="Times New Roman" w:hAnsi="Times New Roman" w:eastAsia="宋体" w:cs="Times New Roman"/>
                      <w:color w:val="auto"/>
                      <w:szCs w:val="21"/>
                      <w:highlight w:val="none"/>
                      <w:lang w:eastAsia="zh-CN"/>
                    </w:rPr>
                    <w:t>除尘</w:t>
                  </w:r>
                </w:p>
              </w:tc>
              <w:tc>
                <w:tcPr>
                  <w:tcW w:w="1745" w:type="pct"/>
                  <w:noWrap w:val="0"/>
                  <w:vAlign w:val="center"/>
                </w:tcPr>
                <w:p w14:paraId="12C2ED6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粉碎工序废气经集气罩（带软帘）收集后经布袋除尘器（TA002）处理，处理后经15m高排气筒DA002排放</w:t>
                  </w:r>
                </w:p>
              </w:tc>
              <w:tc>
                <w:tcPr>
                  <w:tcW w:w="434" w:type="pct"/>
                  <w:noWrap w:val="0"/>
                  <w:vAlign w:val="center"/>
                </w:tcPr>
                <w:p w14:paraId="0EBE35E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r w14:paraId="749CA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52" w:type="pct"/>
                  <w:vMerge w:val="continue"/>
                  <w:noWrap w:val="0"/>
                  <w:vAlign w:val="center"/>
                </w:tcPr>
                <w:p w14:paraId="4E70D540">
                  <w:pPr>
                    <w:adjustRightInd w:val="0"/>
                    <w:snapToGrid w:val="0"/>
                    <w:jc w:val="center"/>
                    <w:rPr>
                      <w:rFonts w:hint="eastAsia" w:ascii="Times New Roman" w:hAnsi="Times New Roman" w:eastAsia="宋体" w:cs="Times New Roman"/>
                      <w:color w:val="auto"/>
                      <w:szCs w:val="21"/>
                      <w:highlight w:val="none"/>
                      <w:lang w:val="en-US" w:eastAsia="zh-CN"/>
                    </w:rPr>
                  </w:pPr>
                </w:p>
              </w:tc>
              <w:tc>
                <w:tcPr>
                  <w:tcW w:w="459" w:type="pct"/>
                  <w:noWrap w:val="0"/>
                  <w:vAlign w:val="center"/>
                </w:tcPr>
                <w:p w14:paraId="5F978471">
                  <w:pPr>
                    <w:widowControl/>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非甲烷总烃</w:t>
                  </w:r>
                </w:p>
              </w:tc>
              <w:tc>
                <w:tcPr>
                  <w:tcW w:w="704" w:type="pct"/>
                  <w:vMerge w:val="continue"/>
                  <w:noWrap w:val="0"/>
                  <w:vAlign w:val="center"/>
                </w:tcPr>
                <w:p w14:paraId="73BFEAD3">
                  <w:pPr>
                    <w:adjustRightInd w:val="0"/>
                    <w:snapToGrid w:val="0"/>
                    <w:jc w:val="center"/>
                    <w:rPr>
                      <w:rFonts w:hint="eastAsia" w:ascii="Times New Roman" w:hAnsi="Times New Roman" w:eastAsia="宋体" w:cs="Times New Roman"/>
                      <w:color w:val="auto"/>
                      <w:szCs w:val="21"/>
                      <w:highlight w:val="none"/>
                      <w:lang w:eastAsia="zh-CN"/>
                    </w:rPr>
                  </w:pPr>
                </w:p>
              </w:tc>
              <w:tc>
                <w:tcPr>
                  <w:tcW w:w="704" w:type="pct"/>
                  <w:noWrap w:val="0"/>
                  <w:vAlign w:val="center"/>
                </w:tcPr>
                <w:p w14:paraId="63E2AED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eastAsia="zh-CN"/>
                    </w:rPr>
                    <w:t>喷淋；吸附；吸附浓缩</w:t>
                  </w:r>
                  <w:r>
                    <w:rPr>
                      <w:rFonts w:hint="eastAsia" w:ascii="Times New Roman" w:hAnsi="Times New Roman" w:eastAsia="宋体" w:cs="Times New Roman"/>
                      <w:color w:val="auto"/>
                      <w:szCs w:val="21"/>
                      <w:highlight w:val="none"/>
                      <w:lang w:val="en-US" w:eastAsia="zh-CN"/>
                    </w:rPr>
                    <w:t>+热力燃烧/催化燃烧</w:t>
                  </w:r>
                </w:p>
              </w:tc>
              <w:tc>
                <w:tcPr>
                  <w:tcW w:w="1745" w:type="pct"/>
                  <w:vMerge w:val="restart"/>
                  <w:noWrap w:val="0"/>
                  <w:vAlign w:val="center"/>
                </w:tcPr>
                <w:p w14:paraId="7BC52380">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注塑工序废气经集气罩（带软帘）收集后经“活性炭吸附/脱附+催化燃烧装置”（TA001）处理，处理后经15m高排气筒DA001排放</w:t>
                  </w:r>
                </w:p>
              </w:tc>
              <w:tc>
                <w:tcPr>
                  <w:tcW w:w="434" w:type="pct"/>
                  <w:noWrap w:val="0"/>
                  <w:vAlign w:val="center"/>
                </w:tcPr>
                <w:p w14:paraId="3E6F459C">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r w14:paraId="49A65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52" w:type="pct"/>
                  <w:vMerge w:val="continue"/>
                  <w:noWrap w:val="0"/>
                  <w:vAlign w:val="center"/>
                </w:tcPr>
                <w:p w14:paraId="6265E53E">
                  <w:pPr>
                    <w:adjustRightInd w:val="0"/>
                    <w:snapToGrid w:val="0"/>
                    <w:jc w:val="center"/>
                    <w:rPr>
                      <w:rFonts w:hint="eastAsia" w:ascii="Times New Roman" w:hAnsi="Times New Roman" w:eastAsia="宋体" w:cs="Times New Roman"/>
                      <w:color w:val="auto"/>
                      <w:szCs w:val="21"/>
                      <w:highlight w:val="none"/>
                      <w:lang w:val="en-US" w:eastAsia="zh-CN"/>
                    </w:rPr>
                  </w:pPr>
                </w:p>
              </w:tc>
              <w:tc>
                <w:tcPr>
                  <w:tcW w:w="459" w:type="pct"/>
                  <w:noWrap w:val="0"/>
                  <w:vAlign w:val="center"/>
                </w:tcPr>
                <w:p w14:paraId="336AF3F7">
                  <w:pPr>
                    <w:widowControl/>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臭气浓度、恶臭特征污染物</w:t>
                  </w:r>
                </w:p>
              </w:tc>
              <w:tc>
                <w:tcPr>
                  <w:tcW w:w="704" w:type="pct"/>
                  <w:vMerge w:val="continue"/>
                  <w:noWrap w:val="0"/>
                  <w:vAlign w:val="center"/>
                </w:tcPr>
                <w:p w14:paraId="5EBF1B50">
                  <w:pPr>
                    <w:adjustRightInd w:val="0"/>
                    <w:snapToGrid w:val="0"/>
                    <w:jc w:val="center"/>
                    <w:rPr>
                      <w:rFonts w:hint="eastAsia" w:ascii="Times New Roman" w:hAnsi="Times New Roman" w:eastAsia="宋体" w:cs="Times New Roman"/>
                      <w:color w:val="auto"/>
                      <w:szCs w:val="21"/>
                      <w:highlight w:val="none"/>
                      <w:lang w:eastAsia="zh-CN"/>
                    </w:rPr>
                  </w:pPr>
                </w:p>
              </w:tc>
              <w:tc>
                <w:tcPr>
                  <w:tcW w:w="704" w:type="pct"/>
                  <w:noWrap w:val="0"/>
                  <w:vAlign w:val="center"/>
                </w:tcPr>
                <w:p w14:paraId="05C007BA">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eastAsia="zh-CN"/>
                    </w:rPr>
                    <w:t>喷淋、吸附、低温等离子体、</w:t>
                  </w:r>
                  <w:r>
                    <w:rPr>
                      <w:rFonts w:hint="eastAsia" w:ascii="Times New Roman" w:hAnsi="Times New Roman" w:eastAsia="宋体" w:cs="Times New Roman"/>
                      <w:color w:val="auto"/>
                      <w:szCs w:val="21"/>
                      <w:highlight w:val="none"/>
                      <w:lang w:val="en-US" w:eastAsia="zh-CN"/>
                    </w:rPr>
                    <w:t>UV光氧化/光催化、生物法两种及以上组合技术</w:t>
                  </w:r>
                </w:p>
              </w:tc>
              <w:tc>
                <w:tcPr>
                  <w:tcW w:w="1745" w:type="pct"/>
                  <w:vMerge w:val="continue"/>
                  <w:noWrap w:val="0"/>
                  <w:vAlign w:val="center"/>
                </w:tcPr>
                <w:p w14:paraId="62E45818">
                  <w:pPr>
                    <w:adjustRightInd w:val="0"/>
                    <w:snapToGrid w:val="0"/>
                    <w:jc w:val="center"/>
                    <w:rPr>
                      <w:rFonts w:hint="default" w:ascii="Times New Roman" w:hAnsi="Times New Roman" w:eastAsia="宋体" w:cs="Times New Roman"/>
                      <w:color w:val="auto"/>
                      <w:szCs w:val="21"/>
                      <w:highlight w:val="none"/>
                      <w:lang w:val="en-US" w:eastAsia="zh-CN"/>
                    </w:rPr>
                  </w:pPr>
                </w:p>
              </w:tc>
              <w:tc>
                <w:tcPr>
                  <w:tcW w:w="434" w:type="pct"/>
                  <w:noWrap w:val="0"/>
                  <w:vAlign w:val="center"/>
                </w:tcPr>
                <w:p w14:paraId="14CB1F51">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bl>
          <w:p w14:paraId="1D1A1ACA">
            <w:pPr>
              <w:widowControl w:val="0"/>
              <w:autoSpaceDE w:val="0"/>
              <w:autoSpaceDN w:val="0"/>
              <w:adjustRightInd w:val="0"/>
              <w:snapToGrid w:val="0"/>
              <w:spacing w:line="360" w:lineRule="auto"/>
              <w:ind w:firstLine="480" w:firstLineChars="200"/>
              <w:jc w:val="both"/>
              <w:rPr>
                <w:rFonts w:hint="eastAsia" w:ascii="Times New Roman" w:hAnsi="Times New Roman"/>
                <w:b/>
                <w:bCs/>
                <w:color w:val="auto"/>
                <w:sz w:val="24"/>
                <w:szCs w:val="22"/>
                <w:highlight w:val="none"/>
                <w:lang w:eastAsia="zh-CN"/>
              </w:rPr>
            </w:pPr>
            <w:r>
              <w:rPr>
                <w:rFonts w:hint="eastAsia" w:ascii="Times New Roman" w:hAnsi="Times New Roman" w:cs="Times New Roman"/>
                <w:color w:val="auto"/>
                <w:kern w:val="0"/>
                <w:sz w:val="24"/>
                <w:szCs w:val="24"/>
                <w:highlight w:val="none"/>
                <w:lang w:val="en-US" w:eastAsia="zh-CN" w:bidi="ar-SA"/>
              </w:rPr>
              <w:t>根据工程分析，注塑工序废气经集气罩（带软帘）收集后经“活性炭吸附/脱附+催化燃烧装置”（TA001）处理，处理后经15m高排气筒DA001排放，非甲烷总烃</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满足</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auto"/>
                <w:sz w:val="24"/>
                <w:lang w:val="en-US" w:eastAsia="zh-CN"/>
              </w:rPr>
              <w:t>工业企业挥发性有机物排放控制标准》（DB13/2322-2016）表1中“有机化工业”排放限值及《合成树脂工业污染物排放标准》（GB31572-2015，含2024年修改单）中表5大气污染物特别排放限值要求，臭气浓度满足《恶臭污染物排放标准》（GB 14554-93）表2 恶臭污染物排放标准值</w:t>
            </w:r>
            <w:r>
              <w:rPr>
                <w:rFonts w:hint="eastAsia" w:ascii="Times New Roman" w:hAnsi="Times New Roman" w:cs="Times New Roman"/>
                <w:color w:val="auto"/>
                <w:kern w:val="0"/>
                <w:sz w:val="24"/>
                <w:szCs w:val="24"/>
                <w:highlight w:val="none"/>
                <w:lang w:val="en-US" w:eastAsia="zh-CN" w:bidi="ar-SA"/>
              </w:rPr>
              <w:t>。</w:t>
            </w:r>
            <w:r>
              <w:rPr>
                <w:rFonts w:hint="eastAsia" w:ascii="Times New Roman" w:hAnsi="Times New Roman" w:eastAsia="宋体" w:cs="Times New Roman"/>
                <w:b w:val="0"/>
                <w:bCs w:val="0"/>
                <w:color w:val="000000" w:themeColor="text1"/>
                <w:sz w:val="24"/>
                <w:szCs w:val="22"/>
                <w:lang w:val="en-US" w:eastAsia="zh-CN"/>
                <w14:textFill>
                  <w14:solidFill>
                    <w14:schemeClr w14:val="tx1"/>
                  </w14:solidFill>
                </w14:textFill>
              </w:rPr>
              <w:t>粉碎工序废气经集气罩（带软帘）收集后经布袋除尘器（TA002）处理，处理后经15m高排气筒DA002排放，</w:t>
            </w:r>
            <w:r>
              <w:rPr>
                <w:rFonts w:hint="eastAsia" w:ascii="Times New Roman" w:hAnsi="Times New Roman" w:cs="Times New Roman"/>
                <w:color w:val="auto"/>
                <w:kern w:val="0"/>
                <w:sz w:val="24"/>
                <w:szCs w:val="24"/>
                <w:highlight w:val="none"/>
                <w:lang w:val="en-US" w:eastAsia="zh-CN" w:bidi="ar-SA"/>
              </w:rPr>
              <w:t>颗粒物排放满足《合成树脂工业污染物排放标准》（GB31572-2015，含2024年修改单）中表5大气污染物特别排放标准限值。因此，本项目</w:t>
            </w:r>
            <w:r>
              <w:rPr>
                <w:rFonts w:hint="eastAsia" w:ascii="Times New Roman" w:hAnsi="Times New Roman"/>
                <w:color w:val="auto"/>
                <w:sz w:val="24"/>
                <w:highlight w:val="none"/>
                <w:lang w:eastAsia="zh-CN"/>
              </w:rPr>
              <w:t>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4DD0466D">
            <w:pPr>
              <w:pStyle w:val="94"/>
              <w:spacing w:line="360" w:lineRule="auto"/>
              <w:ind w:firstLine="482" w:firstLineChars="200"/>
              <w:jc w:val="both"/>
              <w:rPr>
                <w:rFonts w:eastAsiaTheme="minorEastAsia"/>
                <w:b/>
                <w:bCs/>
                <w:color w:val="auto"/>
                <w:sz w:val="24"/>
                <w:szCs w:val="24"/>
              </w:rPr>
            </w:pPr>
            <w:r>
              <w:rPr>
                <w:rFonts w:hint="eastAsia" w:eastAsiaTheme="minorEastAsia"/>
                <w:b/>
                <w:bCs/>
                <w:color w:val="auto"/>
                <w:sz w:val="24"/>
                <w:szCs w:val="24"/>
                <w:lang w:val="en-US" w:eastAsia="zh-CN"/>
              </w:rPr>
              <w:t>5</w:t>
            </w:r>
            <w:r>
              <w:rPr>
                <w:rFonts w:hint="eastAsia" w:eastAsiaTheme="minorEastAsia"/>
                <w:b/>
                <w:bCs/>
                <w:color w:val="auto"/>
                <w:sz w:val="24"/>
                <w:szCs w:val="24"/>
              </w:rPr>
              <w:t>、</w:t>
            </w:r>
            <w:r>
              <w:rPr>
                <w:rFonts w:eastAsiaTheme="minorEastAsia"/>
                <w:b/>
                <w:bCs/>
                <w:color w:val="auto"/>
                <w:sz w:val="24"/>
                <w:szCs w:val="24"/>
              </w:rPr>
              <w:t>大气环境影响结论</w:t>
            </w:r>
          </w:p>
          <w:p w14:paraId="2B6B997A">
            <w:pPr>
              <w:pStyle w:val="94"/>
              <w:spacing w:line="360" w:lineRule="auto"/>
              <w:ind w:firstLine="480" w:firstLineChars="200"/>
              <w:jc w:val="both"/>
              <w:rPr>
                <w:rFonts w:hint="eastAsia" w:eastAsia="宋体"/>
                <w:color w:val="auto"/>
                <w:sz w:val="24"/>
                <w:lang w:eastAsia="zh-CN"/>
              </w:rPr>
            </w:pPr>
            <w:r>
              <w:rPr>
                <w:rFonts w:hint="eastAsia"/>
                <w:color w:val="auto"/>
                <w:sz w:val="24"/>
              </w:rPr>
              <w:t>本项目所在区域环境质量现状六项污染物未全部达标，通过相关政策方案的实施，加快大气污染治理，区域空气质量将逐年好转。根据工程分析可知，本项目废气污染物可满足达标排放要求，预计项目建成后不会对周边产生明显不利影响。综上，本项目大气环境影响可接受</w:t>
            </w:r>
            <w:r>
              <w:rPr>
                <w:rFonts w:hint="eastAsia"/>
                <w:color w:val="auto"/>
                <w:sz w:val="24"/>
                <w:lang w:eastAsia="zh-CN"/>
              </w:rPr>
              <w:t>。</w:t>
            </w:r>
          </w:p>
          <w:p w14:paraId="577D79A9">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二</w:t>
            </w:r>
            <w:r>
              <w:rPr>
                <w:rFonts w:ascii="Times New Roman" w:hAnsi="Times New Roman" w:eastAsia="宋体" w:cs="Times New Roman"/>
                <w:b/>
                <w:color w:val="auto"/>
                <w:sz w:val="24"/>
                <w:highlight w:val="none"/>
              </w:rPr>
              <w:t>、水污染物影响分析</w:t>
            </w:r>
          </w:p>
          <w:p w14:paraId="223FA212">
            <w:pPr>
              <w:spacing w:line="500" w:lineRule="exact"/>
              <w:ind w:right="105" w:rightChars="50" w:firstLine="480" w:firstLineChars="200"/>
              <w:rPr>
                <w:rFonts w:hint="eastAsia" w:ascii="Times New Roman" w:hAnsi="Times New Roman" w:eastAsia="宋体" w:cs="Times New Roman"/>
                <w:color w:val="FF0000"/>
                <w:sz w:val="24"/>
                <w:lang w:eastAsia="zh-CN"/>
              </w:rPr>
            </w:pPr>
            <w:r>
              <w:rPr>
                <w:color w:val="auto"/>
                <w:sz w:val="24"/>
                <w:highlight w:val="none"/>
              </w:rPr>
              <w:t>本项目</w:t>
            </w:r>
            <w:r>
              <w:rPr>
                <w:rFonts w:hint="eastAsia"/>
                <w:color w:val="auto"/>
                <w:sz w:val="24"/>
                <w:highlight w:val="none"/>
                <w:lang w:eastAsia="zh-CN"/>
              </w:rPr>
              <w:t>注塑机设备冷却采用循环水冷的方式。冷却水经</w:t>
            </w:r>
            <w:r>
              <w:rPr>
                <w:rFonts w:hint="eastAsia"/>
                <w:color w:val="auto"/>
                <w:sz w:val="24"/>
                <w:highlight w:val="none"/>
                <w:lang w:val="en-US" w:eastAsia="zh-CN"/>
              </w:rPr>
              <w:t>循环冷却机冷却后循环使用，定期补充损耗，无废水外排；</w:t>
            </w:r>
            <w:r>
              <w:rPr>
                <w:rFonts w:hint="eastAsia" w:ascii="Times New Roman" w:hAnsi="Times New Roman" w:eastAsia="宋体" w:cs="Times New Roman"/>
                <w:color w:val="auto"/>
                <w:sz w:val="24"/>
                <w:lang w:val="en-US" w:eastAsia="zh-CN"/>
              </w:rPr>
              <w:t>本项目生活污水产生量为</w:t>
            </w:r>
            <w:r>
              <w:rPr>
                <w:rFonts w:hint="eastAsia" w:ascii="Times New Roman" w:hAnsi="Times New Roman" w:cs="Times New Roman"/>
                <w:bCs/>
                <w:color w:val="auto"/>
                <w:sz w:val="24"/>
                <w:highlight w:val="none"/>
                <w:lang w:val="en-US" w:eastAsia="zh-CN"/>
              </w:rPr>
              <w:t>2.22</w:t>
            </w:r>
            <w:r>
              <w:rPr>
                <w:rFonts w:hint="eastAsia" w:ascii="Times New Roman" w:hAnsi="Times New Roman" w:cs="Times New Roman"/>
                <w:bCs/>
                <w:color w:val="auto"/>
                <w:sz w:val="24"/>
                <w:highlight w:val="none"/>
                <w:lang w:eastAsia="zh-CN"/>
              </w:rPr>
              <w:t>m</w:t>
            </w:r>
            <w:r>
              <w:rPr>
                <w:rFonts w:hint="eastAsia" w:ascii="Times New Roman" w:hAnsi="Times New Roman" w:cs="Times New Roman"/>
                <w:bCs/>
                <w:color w:val="auto"/>
                <w:sz w:val="24"/>
                <w:highlight w:val="none"/>
                <w:vertAlign w:val="superscript"/>
                <w:lang w:eastAsia="zh-CN"/>
              </w:rPr>
              <w:t>3</w:t>
            </w:r>
            <w:r>
              <w:rPr>
                <w:rFonts w:hint="eastAsia" w:ascii="Times New Roman" w:hAnsi="Times New Roman" w:cs="Times New Roman"/>
                <w:bCs/>
                <w:color w:val="auto"/>
                <w:sz w:val="24"/>
                <w:highlight w:val="none"/>
                <w:lang w:eastAsia="zh-CN"/>
              </w:rPr>
              <w:t>/d（</w:t>
            </w:r>
            <w:r>
              <w:rPr>
                <w:rFonts w:hint="eastAsia" w:ascii="Times New Roman" w:hAnsi="Times New Roman" w:cs="Times New Roman"/>
                <w:bCs/>
                <w:color w:val="auto"/>
                <w:sz w:val="24"/>
                <w:highlight w:val="none"/>
                <w:lang w:val="en-US" w:eastAsia="zh-CN"/>
              </w:rPr>
              <w:t>666</w:t>
            </w:r>
            <w:r>
              <w:rPr>
                <w:rFonts w:hint="eastAsia" w:ascii="Times New Roman" w:hAnsi="Times New Roman" w:cs="Times New Roman"/>
                <w:bCs/>
                <w:color w:val="auto"/>
                <w:sz w:val="24"/>
                <w:highlight w:val="none"/>
                <w:lang w:eastAsia="zh-CN"/>
              </w:rPr>
              <w:t>m</w:t>
            </w:r>
            <w:r>
              <w:rPr>
                <w:rFonts w:hint="eastAsia" w:ascii="Times New Roman" w:hAnsi="Times New Roman" w:cs="Times New Roman"/>
                <w:bCs/>
                <w:color w:val="auto"/>
                <w:sz w:val="24"/>
                <w:highlight w:val="none"/>
                <w:vertAlign w:val="superscript"/>
                <w:lang w:eastAsia="zh-CN"/>
              </w:rPr>
              <w:t>3</w:t>
            </w:r>
            <w:r>
              <w:rPr>
                <w:rFonts w:hint="eastAsia" w:ascii="Times New Roman" w:hAnsi="Times New Roman" w:cs="Times New Roman"/>
                <w:bCs/>
                <w:color w:val="auto"/>
                <w:sz w:val="24"/>
                <w:highlight w:val="none"/>
                <w:lang w:eastAsia="zh-CN"/>
              </w:rPr>
              <w:t>/a）</w:t>
            </w:r>
            <w:r>
              <w:rPr>
                <w:rFonts w:hint="eastAsia" w:ascii="Times New Roman" w:hAnsi="Times New Roman" w:eastAsia="宋体" w:cs="Times New Roman"/>
                <w:color w:val="auto"/>
                <w:sz w:val="24"/>
                <w:lang w:val="en-US" w:eastAsia="zh-CN"/>
              </w:rPr>
              <w:t>，</w:t>
            </w:r>
            <w:r>
              <w:rPr>
                <w:rFonts w:hint="default" w:ascii="Times New Roman" w:hAnsi="Times New Roman" w:cs="Times New Roman"/>
                <w:b w:val="0"/>
                <w:bCs w:val="0"/>
                <w:color w:val="auto"/>
                <w:sz w:val="24"/>
                <w:szCs w:val="28"/>
                <w:highlight w:val="none"/>
              </w:rPr>
              <w:t>主要污染物为</w:t>
            </w:r>
            <w:r>
              <w:rPr>
                <w:rFonts w:hint="eastAsia" w:ascii="Times New Roman" w:hAnsi="Times New Roman" w:cs="Times New Roman"/>
                <w:b w:val="0"/>
                <w:bCs w:val="0"/>
                <w:color w:val="auto"/>
                <w:sz w:val="24"/>
                <w:szCs w:val="28"/>
                <w:highlight w:val="none"/>
                <w:lang w:val="en-US" w:eastAsia="zh-CN"/>
              </w:rPr>
              <w:t>pH、</w:t>
            </w:r>
            <w:r>
              <w:rPr>
                <w:rFonts w:hint="default" w:ascii="Times New Roman" w:hAnsi="Times New Roman" w:cs="Times New Roman"/>
                <w:b w:val="0"/>
                <w:bCs w:val="0"/>
                <w:color w:val="auto"/>
                <w:sz w:val="24"/>
                <w:szCs w:val="28"/>
                <w:highlight w:val="none"/>
              </w:rPr>
              <w:t>COD、BOD</w:t>
            </w:r>
            <w:r>
              <w:rPr>
                <w:rFonts w:hint="default" w:ascii="Times New Roman" w:hAnsi="Times New Roman" w:cs="Times New Roman"/>
                <w:b w:val="0"/>
                <w:bCs w:val="0"/>
                <w:color w:val="auto"/>
                <w:sz w:val="24"/>
                <w:szCs w:val="28"/>
                <w:highlight w:val="none"/>
                <w:vertAlign w:val="subscript"/>
              </w:rPr>
              <w:t>5</w:t>
            </w:r>
            <w:r>
              <w:rPr>
                <w:rFonts w:hint="default" w:ascii="Times New Roman" w:hAnsi="Times New Roman" w:cs="Times New Roman"/>
                <w:b w:val="0"/>
                <w:bCs w:val="0"/>
                <w:color w:val="auto"/>
                <w:sz w:val="24"/>
                <w:szCs w:val="28"/>
                <w:highlight w:val="none"/>
              </w:rPr>
              <w:t>、SS、</w:t>
            </w:r>
            <w:r>
              <w:rPr>
                <w:rFonts w:hint="default" w:ascii="Times New Roman" w:hAnsi="Times New Roman" w:cs="Times New Roman"/>
                <w:color w:val="auto"/>
                <w:sz w:val="24"/>
                <w:szCs w:val="24"/>
                <w:highlight w:val="none"/>
              </w:rPr>
              <w:t>NH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-N</w:t>
            </w:r>
            <w:r>
              <w:rPr>
                <w:rFonts w:hint="default" w:ascii="Times New Roman" w:hAnsi="Times New Roman" w:cs="Times New Roman"/>
                <w:b w:val="0"/>
                <w:bCs w:val="0"/>
                <w:color w:val="auto"/>
                <w:sz w:val="24"/>
                <w:szCs w:val="28"/>
                <w:highlight w:val="none"/>
              </w:rPr>
              <w:t>。</w:t>
            </w:r>
            <w:r>
              <w:rPr>
                <w:color w:val="auto"/>
                <w:sz w:val="24"/>
                <w:szCs w:val="20"/>
                <w:highlight w:val="none"/>
              </w:rPr>
              <w:t>水质简单，</w:t>
            </w:r>
            <w:r>
              <w:rPr>
                <w:rFonts w:hint="eastAsia" w:ascii="Times New Roman" w:hAnsi="Times New Roman" w:cs="Times New Roman"/>
                <w:bCs/>
                <w:color w:val="auto"/>
                <w:sz w:val="24"/>
                <w:highlight w:val="none"/>
                <w:lang w:val="en-US" w:eastAsia="zh-CN"/>
              </w:rPr>
              <w:t>经厂区化粪池处理，化粪池定期清掏，不外排</w:t>
            </w:r>
            <w:r>
              <w:rPr>
                <w:rFonts w:ascii="Times New Roman" w:hAnsi="Times New Roman" w:eastAsia="宋体" w:cs="Times New Roman"/>
                <w:color w:val="auto"/>
                <w:sz w:val="24"/>
                <w:highlight w:val="none"/>
              </w:rPr>
              <w:t>。综上，本项目建设不会对周边水环境质量产生明显不利影响</w:t>
            </w:r>
            <w:r>
              <w:rPr>
                <w:rFonts w:hint="eastAsia" w:ascii="Times New Roman" w:hAnsi="Times New Roman" w:eastAsia="宋体" w:cs="Times New Roman"/>
                <w:color w:val="auto"/>
                <w:sz w:val="24"/>
                <w:highlight w:val="none"/>
                <w:lang w:eastAsia="zh-CN"/>
              </w:rPr>
              <w:t>。</w:t>
            </w:r>
          </w:p>
          <w:p w14:paraId="1ACF75AE">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三</w:t>
            </w:r>
            <w:r>
              <w:rPr>
                <w:rFonts w:ascii="Times New Roman" w:hAnsi="Times New Roman" w:eastAsia="宋体" w:cs="Times New Roman"/>
                <w:b/>
                <w:color w:val="auto"/>
                <w:sz w:val="24"/>
                <w:highlight w:val="none"/>
              </w:rPr>
              <w:t>、运营期噪声影响分析</w:t>
            </w:r>
          </w:p>
          <w:p w14:paraId="4A6D3263">
            <w:pPr>
              <w:snapToGrid w:val="0"/>
              <w:spacing w:line="360" w:lineRule="auto"/>
              <w:ind w:firstLine="482" w:firstLineChars="200"/>
              <w:rPr>
                <w:rFonts w:ascii="Times New Roman" w:hAnsi="Times New Roman" w:cs="Times New Roman"/>
                <w:b/>
                <w:bCs/>
                <w:color w:val="auto"/>
                <w:sz w:val="24"/>
                <w:highlight w:val="none"/>
              </w:rPr>
            </w:pPr>
            <w:r>
              <w:rPr>
                <w:rFonts w:ascii="Times New Roman" w:hAnsi="Times New Roman" w:cs="Times New Roman"/>
                <w:b/>
                <w:bCs/>
                <w:color w:val="auto"/>
                <w:sz w:val="24"/>
                <w:highlight w:val="none"/>
              </w:rPr>
              <w:t>1、噪声污染源及治理措施</w:t>
            </w:r>
          </w:p>
          <w:p w14:paraId="5DCE7EA9">
            <w:pPr>
              <w:adjustRightInd w:val="0"/>
              <w:snapToGrid w:val="0"/>
              <w:spacing w:line="360" w:lineRule="auto"/>
              <w:ind w:firstLine="480" w:firstLineChars="200"/>
              <w:rPr>
                <w:rFonts w:hint="eastAsia" w:ascii="Times New Roman" w:hAnsi="Times New Roman" w:cs="Times New Roman"/>
                <w:color w:val="auto"/>
                <w:kern w:val="0"/>
                <w:sz w:val="24"/>
                <w:highlight w:val="none"/>
                <w:lang w:eastAsia="zh-CN"/>
              </w:rPr>
            </w:pPr>
            <w:r>
              <w:rPr>
                <w:rFonts w:ascii="Times New Roman" w:hAnsi="Times New Roman"/>
                <w:color w:val="auto"/>
                <w:sz w:val="24"/>
                <w:szCs w:val="24"/>
                <w:highlight w:val="none"/>
              </w:rPr>
              <w:t>本项目主要噪声源生产设备噪声</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以厂界中心（</w:t>
            </w:r>
            <w:bookmarkStart w:id="2" w:name="PO_6"/>
            <w:r>
              <w:rPr>
                <w:rFonts w:hint="eastAsia" w:ascii="Times New Roman" w:hAnsi="Times New Roman"/>
                <w:color w:val="auto"/>
                <w:sz w:val="24"/>
                <w:szCs w:val="24"/>
                <w:highlight w:val="none"/>
                <w:lang w:val="en-US" w:eastAsia="zh-CN"/>
              </w:rPr>
              <w:t>116.660400,39.351562</w:t>
            </w:r>
            <w:bookmarkEnd w:id="2"/>
            <w:r>
              <w:rPr>
                <w:rFonts w:hint="eastAsia" w:ascii="Times New Roman" w:hAnsi="Times New Roman"/>
                <w:color w:val="auto"/>
                <w:sz w:val="24"/>
                <w:szCs w:val="24"/>
                <w:highlight w:val="none"/>
                <w:lang w:val="en-US" w:eastAsia="zh-CN"/>
              </w:rPr>
              <w:t>）为坐标原点，正东向为X轴正方向，正北向为Y轴正方向</w:t>
            </w:r>
            <w:r>
              <w:rPr>
                <w:rFonts w:ascii="Times New Roman" w:hAnsi="Times New Roman"/>
                <w:color w:val="auto"/>
                <w:sz w:val="24"/>
                <w:szCs w:val="24"/>
                <w:highlight w:val="none"/>
              </w:rPr>
              <w:t>。类比同类企业噪声源强，</w:t>
            </w:r>
            <w:r>
              <w:rPr>
                <w:rFonts w:ascii="Times New Roman" w:hAnsi="Times New Roman" w:cs="Times New Roman"/>
                <w:color w:val="auto"/>
                <w:kern w:val="0"/>
                <w:sz w:val="24"/>
                <w:highlight w:val="none"/>
              </w:rPr>
              <w:t>具体详见下表</w:t>
            </w:r>
            <w:r>
              <w:rPr>
                <w:rFonts w:hint="eastAsia" w:ascii="Times New Roman" w:hAnsi="Times New Roman" w:cs="Times New Roman"/>
                <w:color w:val="auto"/>
                <w:kern w:val="0"/>
                <w:sz w:val="24"/>
                <w:highlight w:val="none"/>
                <w:lang w:eastAsia="zh-CN"/>
              </w:rPr>
              <w:t>。</w:t>
            </w:r>
          </w:p>
          <w:p w14:paraId="3A8D372C">
            <w:pPr>
              <w:adjustRightInd w:val="0"/>
              <w:snapToGrid w:val="0"/>
              <w:spacing w:line="360" w:lineRule="auto"/>
              <w:rPr>
                <w:rFonts w:ascii="Times New Roman" w:hAnsi="Times New Roman" w:cs="Times New Roman"/>
                <w:color w:val="auto"/>
              </w:rPr>
            </w:pPr>
          </w:p>
        </w:tc>
      </w:tr>
    </w:tbl>
    <w:p w14:paraId="6219F384">
      <w:pPr>
        <w:adjustRightInd w:val="0"/>
        <w:snapToGrid w:val="0"/>
        <w:jc w:val="center"/>
        <w:rPr>
          <w:rFonts w:ascii="Times New Roman" w:hAnsi="Times New Roman" w:eastAsia="宋体" w:cs="Times New Roman"/>
          <w:bCs/>
          <w:color w:val="000000" w:themeColor="text1"/>
          <w:sz w:val="24"/>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1AEEA994">
      <w:pPr>
        <w:pStyle w:val="25"/>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12795"/>
      </w:tblGrid>
      <w:tr w14:paraId="11651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20"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32FFD6A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运营</w:t>
            </w:r>
          </w:p>
          <w:p w14:paraId="6B7BDF3C">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期环</w:t>
            </w:r>
          </w:p>
          <w:p w14:paraId="70236FF1">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境影</w:t>
            </w:r>
          </w:p>
          <w:p w14:paraId="6F79C72D">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响和</w:t>
            </w:r>
          </w:p>
          <w:p w14:paraId="2E9A54C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保护</w:t>
            </w:r>
          </w:p>
          <w:p w14:paraId="0B75E597">
            <w:pPr>
              <w:pStyle w:val="27"/>
              <w:adjustRightInd w:val="0"/>
              <w:snapToGrid w:val="0"/>
              <w:spacing w:beforeAutospacing="0" w:afterAutospacing="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bCs/>
                <w:color w:val="000000" w:themeColor="text1"/>
                <w:sz w:val="24"/>
                <w:szCs w:val="24"/>
                <w:lang w:bidi="ar"/>
                <w14:textFill>
                  <w14:solidFill>
                    <w14:schemeClr w14:val="tx1"/>
                  </w14:solidFill>
                </w14:textFill>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226FCF73">
            <w:pPr>
              <w:adjustRightInd w:val="0"/>
              <w:snapToGrid w:val="0"/>
              <w:jc w:val="center"/>
              <w:rPr>
                <w:rFonts w:ascii="Times New Roman" w:hAnsi="Times New Roman" w:cs="Times New Roman"/>
                <w:b/>
                <w:color w:val="000000" w:themeColor="text1"/>
                <w:sz w:val="24"/>
                <w:lang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表</w:t>
            </w:r>
            <w:r>
              <w:rPr>
                <w:rFonts w:hint="eastAsia" w:ascii="Times New Roman" w:hAnsi="Times New Roman" w:cs="Times New Roman"/>
                <w:b/>
                <w:color w:val="000000" w:themeColor="text1"/>
                <w:sz w:val="24"/>
                <w14:textFill>
                  <w14:solidFill>
                    <w14:schemeClr w14:val="tx1"/>
                  </w14:solidFill>
                </w14:textFill>
              </w:rPr>
              <w:t>4-</w:t>
            </w:r>
            <w:r>
              <w:rPr>
                <w:rFonts w:hint="eastAsia" w:ascii="Times New Roman" w:hAnsi="Times New Roman" w:cs="Times New Roman"/>
                <w:b/>
                <w:color w:val="000000" w:themeColor="text1"/>
                <w:sz w:val="24"/>
                <w:lang w:val="en-US" w:eastAsia="zh-CN"/>
                <w14:textFill>
                  <w14:solidFill>
                    <w14:schemeClr w14:val="tx1"/>
                  </w14:solidFill>
                </w14:textFill>
              </w:rPr>
              <w:t>10</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
                <w:color w:val="000000" w:themeColor="text1"/>
                <w:sz w:val="24"/>
                <w:lang w:eastAsia="zh-CN"/>
                <w14:textFill>
                  <w14:solidFill>
                    <w14:schemeClr w14:val="tx1"/>
                  </w14:solidFill>
                </w14:textFill>
              </w:rPr>
              <w:t>工业企业噪声源强调查清单（室内声源）</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503"/>
              <w:gridCol w:w="693"/>
              <w:gridCol w:w="605"/>
              <w:gridCol w:w="493"/>
              <w:gridCol w:w="544"/>
              <w:gridCol w:w="544"/>
              <w:gridCol w:w="552"/>
              <w:gridCol w:w="449"/>
              <w:gridCol w:w="449"/>
              <w:gridCol w:w="449"/>
              <w:gridCol w:w="459"/>
              <w:gridCol w:w="444"/>
              <w:gridCol w:w="444"/>
              <w:gridCol w:w="444"/>
              <w:gridCol w:w="449"/>
              <w:gridCol w:w="427"/>
              <w:gridCol w:w="426"/>
              <w:gridCol w:w="426"/>
              <w:gridCol w:w="426"/>
              <w:gridCol w:w="436"/>
              <w:gridCol w:w="456"/>
              <w:gridCol w:w="456"/>
              <w:gridCol w:w="456"/>
              <w:gridCol w:w="459"/>
              <w:gridCol w:w="648"/>
            </w:tblGrid>
            <w:tr w14:paraId="648AB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exact"/>
              </w:trPr>
              <w:tc>
                <w:tcPr>
                  <w:tcW w:w="140" w:type="pct"/>
                  <w:vMerge w:val="restart"/>
                  <w:vAlign w:val="center"/>
                </w:tcPr>
                <w:p w14:paraId="10FB357F">
                  <w:pPr>
                    <w:jc w:val="center"/>
                    <w:rPr>
                      <w:rFonts w:hint="default" w:ascii="Times New Roman" w:hAnsi="Times New Roman" w:cs="Times New Roman" w:eastAsiaTheme="minorEastAsia"/>
                      <w:sz w:val="21"/>
                      <w:szCs w:val="21"/>
                    </w:rPr>
                  </w:pPr>
                  <w:bookmarkStart w:id="3" w:name="PT_6"/>
                  <w:r>
                    <w:rPr>
                      <w:rFonts w:hint="default" w:ascii="Times New Roman" w:hAnsi="Times New Roman" w:cs="Times New Roman" w:eastAsiaTheme="minorEastAsia"/>
                      <w:b/>
                      <w:sz w:val="21"/>
                      <w:szCs w:val="21"/>
                    </w:rPr>
                    <w:t>序号</w:t>
                  </w:r>
                </w:p>
              </w:tc>
              <w:tc>
                <w:tcPr>
                  <w:tcW w:w="206" w:type="pct"/>
                  <w:vMerge w:val="restart"/>
                  <w:vAlign w:val="center"/>
                </w:tcPr>
                <w:p w14:paraId="09FED770">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建筑物名称</w:t>
                  </w:r>
                </w:p>
              </w:tc>
              <w:tc>
                <w:tcPr>
                  <w:tcW w:w="196" w:type="pct"/>
                  <w:vMerge w:val="restart"/>
                  <w:vAlign w:val="center"/>
                </w:tcPr>
                <w:p w14:paraId="53F56DC4">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声源名称</w:t>
                  </w:r>
                </w:p>
              </w:tc>
              <w:tc>
                <w:tcPr>
                  <w:tcW w:w="237" w:type="pct"/>
                  <w:vAlign w:val="center"/>
                </w:tcPr>
                <w:p w14:paraId="51CB085D">
                  <w:pPr>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b/>
                      <w:sz w:val="21"/>
                      <w:szCs w:val="21"/>
                      <w:lang w:eastAsia="zh-CN"/>
                    </w:rPr>
                    <w:t>声源源强</w:t>
                  </w:r>
                </w:p>
              </w:tc>
              <w:tc>
                <w:tcPr>
                  <w:tcW w:w="202" w:type="pct"/>
                  <w:vMerge w:val="restart"/>
                  <w:vAlign w:val="center"/>
                </w:tcPr>
                <w:p w14:paraId="6FC1107D">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声源控制措施</w:t>
                  </w:r>
                </w:p>
              </w:tc>
              <w:tc>
                <w:tcPr>
                  <w:tcW w:w="669" w:type="pct"/>
                  <w:gridSpan w:val="3"/>
                  <w:vAlign w:val="center"/>
                </w:tcPr>
                <w:p w14:paraId="4DF0025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空间相对位置/m</w:t>
                  </w:r>
                </w:p>
              </w:tc>
              <w:tc>
                <w:tcPr>
                  <w:tcW w:w="740" w:type="pct"/>
                  <w:gridSpan w:val="4"/>
                  <w:vAlign w:val="center"/>
                </w:tcPr>
                <w:p w14:paraId="6A59B97E">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距室内边界距离/m</w:t>
                  </w:r>
                </w:p>
              </w:tc>
              <w:tc>
                <w:tcPr>
                  <w:tcW w:w="730" w:type="pct"/>
                  <w:gridSpan w:val="4"/>
                  <w:vAlign w:val="center"/>
                </w:tcPr>
                <w:p w14:paraId="3916EAAE">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室内边界声级/dB(A)</w:t>
                  </w:r>
                </w:p>
              </w:tc>
              <w:tc>
                <w:tcPr>
                  <w:tcW w:w="158" w:type="pct"/>
                  <w:vMerge w:val="restart"/>
                  <w:vAlign w:val="center"/>
                </w:tcPr>
                <w:p w14:paraId="72F8268F">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运行时段</w:t>
                  </w:r>
                </w:p>
              </w:tc>
              <w:tc>
                <w:tcPr>
                  <w:tcW w:w="704" w:type="pct"/>
                  <w:gridSpan w:val="4"/>
                  <w:vAlign w:val="center"/>
                </w:tcPr>
                <w:p w14:paraId="51707E9C">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建筑物插入损失 / dB(A)</w:t>
                  </w:r>
                  <w:bookmarkStart w:id="4" w:name="PT_10"/>
                  <w:bookmarkEnd w:id="4"/>
                </w:p>
              </w:tc>
              <w:tc>
                <w:tcPr>
                  <w:tcW w:w="1012" w:type="pct"/>
                  <w:gridSpan w:val="5"/>
                  <w:vAlign w:val="center"/>
                </w:tcPr>
                <w:p w14:paraId="5734353C">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建筑物外噪声声压级/dB(A)</w:t>
                  </w:r>
                </w:p>
              </w:tc>
            </w:tr>
            <w:tr w14:paraId="796E3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vMerge w:val="continue"/>
                  <w:shd w:val="clear" w:color="auto" w:fill="FFFFFF"/>
                  <w:tcMar>
                    <w:top w:w="0" w:type="dxa"/>
                    <w:left w:w="0" w:type="dxa"/>
                    <w:bottom w:w="0" w:type="dxa"/>
                    <w:right w:w="0" w:type="dxa"/>
                  </w:tcMar>
                  <w:vAlign w:val="center"/>
                </w:tcPr>
                <w:p w14:paraId="12DEFEE0">
                  <w:pPr>
                    <w:jc w:val="center"/>
                    <w:rPr>
                      <w:rFonts w:hint="default" w:ascii="Times New Roman" w:hAnsi="Times New Roman" w:cs="Times New Roman" w:eastAsiaTheme="minorEastAsia"/>
                      <w:sz w:val="21"/>
                      <w:szCs w:val="21"/>
                      <w:lang w:val="en-US" w:eastAsia="zh-CN"/>
                    </w:rPr>
                  </w:pPr>
                </w:p>
              </w:tc>
              <w:tc>
                <w:tcPr>
                  <w:tcW w:w="206" w:type="pct"/>
                  <w:vMerge w:val="continue"/>
                  <w:shd w:val="clear" w:color="auto" w:fill="FFFFFF"/>
                  <w:tcMar>
                    <w:top w:w="0" w:type="dxa"/>
                    <w:left w:w="0" w:type="dxa"/>
                    <w:bottom w:w="0" w:type="dxa"/>
                    <w:right w:w="0" w:type="dxa"/>
                  </w:tcMar>
                  <w:vAlign w:val="center"/>
                </w:tcPr>
                <w:p w14:paraId="2FD118E7">
                  <w:pPr>
                    <w:jc w:val="center"/>
                    <w:rPr>
                      <w:rFonts w:hint="default" w:ascii="Times New Roman" w:hAnsi="Times New Roman" w:cs="Times New Roman" w:eastAsiaTheme="minorEastAsia"/>
                      <w:sz w:val="21"/>
                      <w:szCs w:val="21"/>
                    </w:rPr>
                  </w:pPr>
                </w:p>
              </w:tc>
              <w:tc>
                <w:tcPr>
                  <w:tcW w:w="196" w:type="pct"/>
                  <w:vMerge w:val="continue"/>
                  <w:shd w:val="clear" w:color="auto" w:fill="FFFFFF"/>
                  <w:tcMar>
                    <w:top w:w="0" w:type="dxa"/>
                    <w:left w:w="0" w:type="dxa"/>
                    <w:bottom w:w="0" w:type="dxa"/>
                    <w:right w:w="0" w:type="dxa"/>
                  </w:tcMar>
                  <w:vAlign w:val="center"/>
                </w:tcPr>
                <w:p w14:paraId="77F6806D">
                  <w:pPr>
                    <w:jc w:val="center"/>
                    <w:rPr>
                      <w:rFonts w:hint="default" w:ascii="Times New Roman" w:hAnsi="Times New Roman" w:cs="Times New Roman" w:eastAsiaTheme="minorEastAsia"/>
                      <w:sz w:val="21"/>
                      <w:szCs w:val="21"/>
                    </w:rPr>
                  </w:pPr>
                </w:p>
              </w:tc>
              <w:tc>
                <w:tcPr>
                  <w:tcW w:w="237" w:type="pct"/>
                  <w:shd w:val="clear" w:color="auto" w:fill="FFFFFF"/>
                  <w:tcMar>
                    <w:top w:w="0" w:type="dxa"/>
                    <w:left w:w="0" w:type="dxa"/>
                    <w:bottom w:w="0" w:type="dxa"/>
                    <w:right w:w="0" w:type="dxa"/>
                  </w:tcMar>
                  <w:vAlign w:val="center"/>
                </w:tcPr>
                <w:p w14:paraId="5C8A0F6A">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声功率级/dB(A)</w:t>
                  </w:r>
                </w:p>
              </w:tc>
              <w:tc>
                <w:tcPr>
                  <w:tcW w:w="202" w:type="pct"/>
                  <w:vMerge w:val="continue"/>
                  <w:shd w:val="clear" w:color="auto" w:fill="FFFFFF"/>
                  <w:tcMar>
                    <w:top w:w="0" w:type="dxa"/>
                    <w:left w:w="0" w:type="dxa"/>
                    <w:bottom w:w="0" w:type="dxa"/>
                    <w:right w:w="0" w:type="dxa"/>
                  </w:tcMar>
                  <w:vAlign w:val="center"/>
                </w:tcPr>
                <w:p w14:paraId="0B5E9CAA">
                  <w:pPr>
                    <w:jc w:val="center"/>
                    <w:rPr>
                      <w:rFonts w:hint="default" w:ascii="Times New Roman" w:hAnsi="Times New Roman" w:cs="Times New Roman" w:eastAsiaTheme="minorEastAsia"/>
                      <w:sz w:val="21"/>
                      <w:szCs w:val="21"/>
                    </w:rPr>
                  </w:pPr>
                </w:p>
              </w:tc>
              <w:tc>
                <w:tcPr>
                  <w:tcW w:w="222" w:type="pct"/>
                  <w:shd w:val="clear" w:color="auto" w:fill="FFFFFF"/>
                  <w:tcMar>
                    <w:top w:w="0" w:type="dxa"/>
                    <w:left w:w="0" w:type="dxa"/>
                    <w:bottom w:w="0" w:type="dxa"/>
                    <w:right w:w="0" w:type="dxa"/>
                  </w:tcMar>
                  <w:vAlign w:val="center"/>
                </w:tcPr>
                <w:p w14:paraId="6F11F11E">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X</w:t>
                  </w:r>
                </w:p>
              </w:tc>
              <w:tc>
                <w:tcPr>
                  <w:tcW w:w="222" w:type="pct"/>
                  <w:shd w:val="clear" w:color="auto" w:fill="FFFFFF"/>
                  <w:tcMar>
                    <w:top w:w="0" w:type="dxa"/>
                    <w:left w:w="0" w:type="dxa"/>
                    <w:bottom w:w="0" w:type="dxa"/>
                    <w:right w:w="0" w:type="dxa"/>
                  </w:tcMar>
                  <w:vAlign w:val="center"/>
                </w:tcPr>
                <w:p w14:paraId="2D9AE787">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Y</w:t>
                  </w:r>
                </w:p>
              </w:tc>
              <w:tc>
                <w:tcPr>
                  <w:tcW w:w="223" w:type="pct"/>
                  <w:shd w:val="clear" w:color="auto" w:fill="FFFFFF"/>
                  <w:tcMar>
                    <w:top w:w="0" w:type="dxa"/>
                    <w:left w:w="0" w:type="dxa"/>
                    <w:bottom w:w="0" w:type="dxa"/>
                    <w:right w:w="0" w:type="dxa"/>
                  </w:tcMar>
                  <w:vAlign w:val="center"/>
                </w:tcPr>
                <w:p w14:paraId="24068867">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Z</w:t>
                  </w:r>
                </w:p>
              </w:tc>
              <w:tc>
                <w:tcPr>
                  <w:tcW w:w="184" w:type="pct"/>
                  <w:shd w:val="clear" w:color="auto" w:fill="FFFFFF"/>
                  <w:tcMar>
                    <w:top w:w="0" w:type="dxa"/>
                    <w:left w:w="0" w:type="dxa"/>
                    <w:bottom w:w="0" w:type="dxa"/>
                    <w:right w:w="0" w:type="dxa"/>
                  </w:tcMar>
                  <w:vAlign w:val="center"/>
                </w:tcPr>
                <w:p w14:paraId="1FD9E79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84" w:type="pct"/>
                  <w:shd w:val="clear" w:color="auto" w:fill="FFFFFF"/>
                  <w:tcMar>
                    <w:top w:w="0" w:type="dxa"/>
                    <w:left w:w="0" w:type="dxa"/>
                    <w:bottom w:w="0" w:type="dxa"/>
                    <w:right w:w="0" w:type="dxa"/>
                  </w:tcMar>
                  <w:vAlign w:val="center"/>
                </w:tcPr>
                <w:p w14:paraId="777B2771">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84" w:type="pct"/>
                  <w:shd w:val="clear" w:color="auto" w:fill="FFFFFF"/>
                  <w:tcMar>
                    <w:top w:w="0" w:type="dxa"/>
                    <w:left w:w="0" w:type="dxa"/>
                    <w:bottom w:w="0" w:type="dxa"/>
                    <w:right w:w="0" w:type="dxa"/>
                  </w:tcMar>
                  <w:vAlign w:val="center"/>
                </w:tcPr>
                <w:p w14:paraId="234AF0A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86" w:type="pct"/>
                  <w:shd w:val="clear" w:color="auto" w:fill="FFFFFF"/>
                  <w:tcMar>
                    <w:top w:w="0" w:type="dxa"/>
                    <w:left w:w="0" w:type="dxa"/>
                    <w:bottom w:w="0" w:type="dxa"/>
                    <w:right w:w="0" w:type="dxa"/>
                  </w:tcMar>
                  <w:vAlign w:val="center"/>
                </w:tcPr>
                <w:p w14:paraId="170D2AB2">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182" w:type="pct"/>
                  <w:shd w:val="clear" w:color="auto" w:fill="FFFFFF"/>
                  <w:tcMar>
                    <w:top w:w="0" w:type="dxa"/>
                    <w:left w:w="0" w:type="dxa"/>
                    <w:bottom w:w="0" w:type="dxa"/>
                    <w:right w:w="0" w:type="dxa"/>
                  </w:tcMar>
                  <w:vAlign w:val="center"/>
                </w:tcPr>
                <w:p w14:paraId="4772AB4A">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82" w:type="pct"/>
                  <w:shd w:val="clear" w:color="auto" w:fill="FFFFFF"/>
                  <w:tcMar>
                    <w:top w:w="0" w:type="dxa"/>
                    <w:left w:w="0" w:type="dxa"/>
                    <w:bottom w:w="0" w:type="dxa"/>
                    <w:right w:w="0" w:type="dxa"/>
                  </w:tcMar>
                  <w:vAlign w:val="center"/>
                </w:tcPr>
                <w:p w14:paraId="7584CFC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82" w:type="pct"/>
                  <w:shd w:val="clear" w:color="auto" w:fill="FFFFFF"/>
                  <w:tcMar>
                    <w:top w:w="0" w:type="dxa"/>
                    <w:left w:w="0" w:type="dxa"/>
                    <w:bottom w:w="0" w:type="dxa"/>
                    <w:right w:w="0" w:type="dxa"/>
                  </w:tcMar>
                  <w:vAlign w:val="center"/>
                </w:tcPr>
                <w:p w14:paraId="72398C79">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83" w:type="pct"/>
                  <w:shd w:val="clear" w:color="auto" w:fill="FFFFFF"/>
                  <w:tcMar>
                    <w:top w:w="0" w:type="dxa"/>
                    <w:left w:w="0" w:type="dxa"/>
                    <w:bottom w:w="0" w:type="dxa"/>
                    <w:right w:w="0" w:type="dxa"/>
                  </w:tcMar>
                  <w:vAlign w:val="center"/>
                </w:tcPr>
                <w:p w14:paraId="65CDFC59">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158" w:type="pct"/>
                  <w:vMerge w:val="continue"/>
                  <w:shd w:val="clear" w:color="auto" w:fill="FFFFFF"/>
                  <w:tcMar>
                    <w:top w:w="0" w:type="dxa"/>
                    <w:left w:w="0" w:type="dxa"/>
                    <w:bottom w:w="0" w:type="dxa"/>
                    <w:right w:w="0" w:type="dxa"/>
                  </w:tcMar>
                  <w:vAlign w:val="center"/>
                </w:tcPr>
                <w:p w14:paraId="51BBBE19">
                  <w:pPr>
                    <w:jc w:val="center"/>
                    <w:rPr>
                      <w:rFonts w:hint="default" w:ascii="Times New Roman" w:hAnsi="Times New Roman" w:cs="Times New Roman" w:eastAsiaTheme="minorEastAsia"/>
                      <w:sz w:val="21"/>
                      <w:szCs w:val="21"/>
                    </w:rPr>
                  </w:pPr>
                </w:p>
              </w:tc>
              <w:tc>
                <w:tcPr>
                  <w:tcW w:w="175" w:type="pct"/>
                  <w:shd w:val="clear" w:color="auto" w:fill="FFFFFF"/>
                  <w:tcMar>
                    <w:top w:w="0" w:type="dxa"/>
                    <w:left w:w="0" w:type="dxa"/>
                    <w:bottom w:w="0" w:type="dxa"/>
                    <w:right w:w="0" w:type="dxa"/>
                  </w:tcMar>
                  <w:vAlign w:val="center"/>
                </w:tcPr>
                <w:p w14:paraId="368779A3">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75" w:type="pct"/>
                  <w:shd w:val="clear" w:color="auto" w:fill="FFFFFF"/>
                  <w:tcMar>
                    <w:top w:w="0" w:type="dxa"/>
                    <w:left w:w="0" w:type="dxa"/>
                    <w:bottom w:w="0" w:type="dxa"/>
                    <w:right w:w="0" w:type="dxa"/>
                  </w:tcMar>
                  <w:vAlign w:val="center"/>
                </w:tcPr>
                <w:p w14:paraId="7257264D">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75" w:type="pct"/>
                  <w:shd w:val="clear" w:color="auto" w:fill="FFFFFF"/>
                  <w:tcMar>
                    <w:top w:w="0" w:type="dxa"/>
                    <w:left w:w="0" w:type="dxa"/>
                    <w:bottom w:w="0" w:type="dxa"/>
                    <w:right w:w="0" w:type="dxa"/>
                  </w:tcMar>
                  <w:vAlign w:val="center"/>
                </w:tcPr>
                <w:p w14:paraId="2DC8C1FF">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77" w:type="pct"/>
                  <w:shd w:val="clear" w:color="auto" w:fill="FFFFFF"/>
                  <w:tcMar>
                    <w:top w:w="0" w:type="dxa"/>
                    <w:left w:w="0" w:type="dxa"/>
                    <w:bottom w:w="0" w:type="dxa"/>
                    <w:right w:w="0" w:type="dxa"/>
                  </w:tcMar>
                  <w:vAlign w:val="center"/>
                </w:tcPr>
                <w:p w14:paraId="47B4C103">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187" w:type="pct"/>
                  <w:shd w:val="clear" w:color="auto" w:fill="FFFFFF"/>
                  <w:tcMar>
                    <w:top w:w="0" w:type="dxa"/>
                    <w:left w:w="0" w:type="dxa"/>
                    <w:bottom w:w="0" w:type="dxa"/>
                    <w:right w:w="0" w:type="dxa"/>
                  </w:tcMar>
                  <w:vAlign w:val="center"/>
                </w:tcPr>
                <w:p w14:paraId="4C3D1B5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87" w:type="pct"/>
                  <w:shd w:val="clear" w:color="auto" w:fill="FFFFFF"/>
                  <w:tcMar>
                    <w:top w:w="0" w:type="dxa"/>
                    <w:left w:w="0" w:type="dxa"/>
                    <w:bottom w:w="0" w:type="dxa"/>
                    <w:right w:w="0" w:type="dxa"/>
                  </w:tcMar>
                  <w:vAlign w:val="center"/>
                </w:tcPr>
                <w:p w14:paraId="65C684E4">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87" w:type="pct"/>
                  <w:shd w:val="clear" w:color="auto" w:fill="FFFFFF"/>
                  <w:tcMar>
                    <w:top w:w="0" w:type="dxa"/>
                    <w:left w:w="0" w:type="dxa"/>
                    <w:bottom w:w="0" w:type="dxa"/>
                    <w:right w:w="0" w:type="dxa"/>
                  </w:tcMar>
                  <w:vAlign w:val="center"/>
                </w:tcPr>
                <w:p w14:paraId="6039C98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88" w:type="pct"/>
                  <w:shd w:val="clear" w:color="auto" w:fill="FFFFFF"/>
                  <w:tcMar>
                    <w:top w:w="0" w:type="dxa"/>
                    <w:left w:w="0" w:type="dxa"/>
                    <w:bottom w:w="0" w:type="dxa"/>
                    <w:right w:w="0" w:type="dxa"/>
                  </w:tcMar>
                  <w:vAlign w:val="center"/>
                </w:tcPr>
                <w:p w14:paraId="43F01BF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260" w:type="pct"/>
                  <w:shd w:val="clear" w:color="auto" w:fill="FFFFFF"/>
                  <w:tcMar>
                    <w:top w:w="0" w:type="dxa"/>
                    <w:left w:w="0" w:type="dxa"/>
                    <w:bottom w:w="0" w:type="dxa"/>
                    <w:right w:w="0" w:type="dxa"/>
                  </w:tcMar>
                  <w:vAlign w:val="center"/>
                </w:tcPr>
                <w:p w14:paraId="3E02305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建筑物外距离</w:t>
                  </w:r>
                </w:p>
              </w:tc>
            </w:tr>
            <w:tr w14:paraId="4D778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75681C9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c>
                <w:tcPr>
                  <w:tcW w:w="206" w:type="pct"/>
                  <w:shd w:val="clear" w:color="auto" w:fill="FFFFFF"/>
                  <w:tcMar>
                    <w:top w:w="0" w:type="dxa"/>
                    <w:left w:w="0" w:type="dxa"/>
                    <w:bottom w:w="0" w:type="dxa"/>
                    <w:right w:w="0" w:type="dxa"/>
                  </w:tcMar>
                  <w:vAlign w:val="center"/>
                </w:tcPr>
                <w:p w14:paraId="0FE7BDD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w:t>
                  </w:r>
                </w:p>
              </w:tc>
              <w:tc>
                <w:tcPr>
                  <w:tcW w:w="196" w:type="pct"/>
                  <w:shd w:val="clear" w:color="auto" w:fill="FFFFFF"/>
                  <w:tcMar>
                    <w:top w:w="0" w:type="dxa"/>
                    <w:left w:w="0" w:type="dxa"/>
                    <w:bottom w:w="0" w:type="dxa"/>
                    <w:right w:w="0" w:type="dxa"/>
                  </w:tcMar>
                  <w:vAlign w:val="center"/>
                </w:tcPr>
                <w:p w14:paraId="7F666D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注塑机（配套低速断料机）,30台（按点声源组预测）</w:t>
                  </w:r>
                </w:p>
              </w:tc>
              <w:tc>
                <w:tcPr>
                  <w:tcW w:w="237" w:type="pct"/>
                  <w:shd w:val="clear" w:color="auto" w:fill="FFFFFF"/>
                  <w:tcMar>
                    <w:top w:w="0" w:type="dxa"/>
                    <w:left w:w="0" w:type="dxa"/>
                    <w:bottom w:w="0" w:type="dxa"/>
                    <w:right w:w="0" w:type="dxa"/>
                  </w:tcMar>
                  <w:vAlign w:val="center"/>
                </w:tcPr>
                <w:p w14:paraId="185CD97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75（等效后：89.8)</w:t>
                  </w:r>
                </w:p>
              </w:tc>
              <w:tc>
                <w:tcPr>
                  <w:tcW w:w="202" w:type="pct"/>
                  <w:shd w:val="clear" w:color="auto" w:fill="FFFFFF"/>
                  <w:tcMar>
                    <w:top w:w="0" w:type="dxa"/>
                    <w:left w:w="0" w:type="dxa"/>
                    <w:bottom w:w="0" w:type="dxa"/>
                    <w:right w:w="0" w:type="dxa"/>
                  </w:tcMar>
                  <w:vAlign w:val="center"/>
                </w:tcPr>
                <w:p w14:paraId="4F30D5E8">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22" w:type="pct"/>
                  <w:shd w:val="clear" w:color="auto" w:fill="FFFFFF"/>
                  <w:tcMar>
                    <w:top w:w="0" w:type="dxa"/>
                    <w:left w:w="0" w:type="dxa"/>
                    <w:bottom w:w="0" w:type="dxa"/>
                    <w:right w:w="0" w:type="dxa"/>
                  </w:tcMar>
                  <w:vAlign w:val="center"/>
                </w:tcPr>
                <w:p w14:paraId="606B477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-0.6</w:t>
                  </w:r>
                </w:p>
              </w:tc>
              <w:tc>
                <w:tcPr>
                  <w:tcW w:w="222" w:type="pct"/>
                  <w:shd w:val="clear" w:color="auto" w:fill="FFFFFF"/>
                  <w:tcMar>
                    <w:top w:w="0" w:type="dxa"/>
                    <w:left w:w="0" w:type="dxa"/>
                    <w:bottom w:w="0" w:type="dxa"/>
                    <w:right w:w="0" w:type="dxa"/>
                  </w:tcMar>
                  <w:vAlign w:val="center"/>
                </w:tcPr>
                <w:p w14:paraId="3C7600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w:t>
                  </w:r>
                </w:p>
              </w:tc>
              <w:tc>
                <w:tcPr>
                  <w:tcW w:w="223" w:type="pct"/>
                  <w:shd w:val="clear" w:color="auto" w:fill="FFFFFF"/>
                  <w:tcMar>
                    <w:top w:w="0" w:type="dxa"/>
                    <w:left w:w="0" w:type="dxa"/>
                    <w:bottom w:w="0" w:type="dxa"/>
                    <w:right w:w="0" w:type="dxa"/>
                  </w:tcMar>
                  <w:vAlign w:val="center"/>
                </w:tcPr>
                <w:p w14:paraId="755C30F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84" w:type="pct"/>
                  <w:shd w:val="clear" w:color="auto" w:fill="FFFFFF"/>
                  <w:tcMar>
                    <w:top w:w="0" w:type="dxa"/>
                    <w:left w:w="0" w:type="dxa"/>
                    <w:bottom w:w="0" w:type="dxa"/>
                    <w:right w:w="0" w:type="dxa"/>
                  </w:tcMar>
                  <w:vAlign w:val="center"/>
                </w:tcPr>
                <w:p w14:paraId="7CECDD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184" w:type="pct"/>
                  <w:shd w:val="clear" w:color="auto" w:fill="FFFFFF"/>
                  <w:tcMar>
                    <w:top w:w="0" w:type="dxa"/>
                    <w:left w:w="0" w:type="dxa"/>
                    <w:bottom w:w="0" w:type="dxa"/>
                    <w:right w:w="0" w:type="dxa"/>
                  </w:tcMar>
                  <w:vAlign w:val="center"/>
                </w:tcPr>
                <w:p w14:paraId="2E7FEC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44.8</w:t>
                  </w:r>
                </w:p>
              </w:tc>
              <w:tc>
                <w:tcPr>
                  <w:tcW w:w="184" w:type="pct"/>
                  <w:shd w:val="clear" w:color="auto" w:fill="FFFFFF"/>
                  <w:tcMar>
                    <w:top w:w="0" w:type="dxa"/>
                    <w:left w:w="0" w:type="dxa"/>
                    <w:bottom w:w="0" w:type="dxa"/>
                    <w:right w:w="0" w:type="dxa"/>
                  </w:tcMar>
                  <w:vAlign w:val="center"/>
                </w:tcPr>
                <w:p w14:paraId="6FDD70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13.5</w:t>
                  </w:r>
                </w:p>
              </w:tc>
              <w:tc>
                <w:tcPr>
                  <w:tcW w:w="186" w:type="pct"/>
                  <w:shd w:val="clear" w:color="auto" w:fill="FFFFFF"/>
                  <w:tcMar>
                    <w:top w:w="0" w:type="dxa"/>
                    <w:left w:w="0" w:type="dxa"/>
                    <w:bottom w:w="0" w:type="dxa"/>
                    <w:right w:w="0" w:type="dxa"/>
                  </w:tcMar>
                  <w:vAlign w:val="center"/>
                </w:tcPr>
                <w:p w14:paraId="530FA29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32.7</w:t>
                  </w:r>
                </w:p>
              </w:tc>
              <w:tc>
                <w:tcPr>
                  <w:tcW w:w="182" w:type="pct"/>
                  <w:shd w:val="clear" w:color="auto" w:fill="FFFFFF"/>
                  <w:tcMar>
                    <w:top w:w="0" w:type="dxa"/>
                    <w:left w:w="0" w:type="dxa"/>
                    <w:bottom w:w="0" w:type="dxa"/>
                    <w:right w:w="0" w:type="dxa"/>
                  </w:tcMar>
                  <w:vAlign w:val="center"/>
                </w:tcPr>
                <w:p w14:paraId="4B0A6C0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74.7</w:t>
                  </w:r>
                </w:p>
              </w:tc>
              <w:tc>
                <w:tcPr>
                  <w:tcW w:w="182" w:type="pct"/>
                  <w:shd w:val="clear" w:color="auto" w:fill="FFFFFF"/>
                  <w:tcMar>
                    <w:top w:w="0" w:type="dxa"/>
                    <w:left w:w="0" w:type="dxa"/>
                    <w:bottom w:w="0" w:type="dxa"/>
                    <w:right w:w="0" w:type="dxa"/>
                  </w:tcMar>
                  <w:vAlign w:val="center"/>
                </w:tcPr>
                <w:p w14:paraId="675F2C1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74.6</w:t>
                  </w:r>
                </w:p>
              </w:tc>
              <w:tc>
                <w:tcPr>
                  <w:tcW w:w="182" w:type="pct"/>
                  <w:shd w:val="clear" w:color="auto" w:fill="FFFFFF"/>
                  <w:tcMar>
                    <w:top w:w="0" w:type="dxa"/>
                    <w:left w:w="0" w:type="dxa"/>
                    <w:bottom w:w="0" w:type="dxa"/>
                    <w:right w:w="0" w:type="dxa"/>
                  </w:tcMar>
                  <w:vAlign w:val="center"/>
                </w:tcPr>
                <w:p w14:paraId="5BAD7CF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74.6</w:t>
                  </w:r>
                </w:p>
              </w:tc>
              <w:tc>
                <w:tcPr>
                  <w:tcW w:w="183" w:type="pct"/>
                  <w:shd w:val="clear" w:color="auto" w:fill="FFFFFF"/>
                  <w:tcMar>
                    <w:top w:w="0" w:type="dxa"/>
                    <w:left w:w="0" w:type="dxa"/>
                    <w:bottom w:w="0" w:type="dxa"/>
                    <w:right w:w="0" w:type="dxa"/>
                  </w:tcMar>
                  <w:vAlign w:val="center"/>
                </w:tcPr>
                <w:p w14:paraId="720317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74.6</w:t>
                  </w:r>
                </w:p>
              </w:tc>
              <w:tc>
                <w:tcPr>
                  <w:tcW w:w="158" w:type="pct"/>
                  <w:shd w:val="clear" w:color="auto" w:fill="FFFFFF"/>
                  <w:tcMar>
                    <w:top w:w="0" w:type="dxa"/>
                    <w:left w:w="0" w:type="dxa"/>
                    <w:bottom w:w="0" w:type="dxa"/>
                    <w:right w:w="0" w:type="dxa"/>
                  </w:tcMar>
                  <w:vAlign w:val="center"/>
                </w:tcPr>
                <w:p w14:paraId="050B99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75" w:type="pct"/>
                  <w:shd w:val="clear" w:color="auto" w:fill="FFFFFF"/>
                  <w:tcMar>
                    <w:top w:w="0" w:type="dxa"/>
                    <w:left w:w="0" w:type="dxa"/>
                    <w:bottom w:w="0" w:type="dxa"/>
                    <w:right w:w="0" w:type="dxa"/>
                  </w:tcMar>
                  <w:vAlign w:val="center"/>
                </w:tcPr>
                <w:p w14:paraId="416A2BB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79C5A9A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0009CA1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7" w:type="pct"/>
                  <w:shd w:val="clear" w:color="auto" w:fill="FFFFFF"/>
                  <w:tcMar>
                    <w:top w:w="0" w:type="dxa"/>
                    <w:left w:w="0" w:type="dxa"/>
                    <w:bottom w:w="0" w:type="dxa"/>
                    <w:right w:w="0" w:type="dxa"/>
                  </w:tcMar>
                  <w:vAlign w:val="center"/>
                </w:tcPr>
                <w:p w14:paraId="62BFF60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87" w:type="pct"/>
                  <w:shd w:val="clear" w:color="auto" w:fill="FFFFFF"/>
                  <w:tcMar>
                    <w:top w:w="0" w:type="dxa"/>
                    <w:left w:w="0" w:type="dxa"/>
                    <w:bottom w:w="0" w:type="dxa"/>
                    <w:right w:w="0" w:type="dxa"/>
                  </w:tcMar>
                  <w:vAlign w:val="center"/>
                </w:tcPr>
                <w:p w14:paraId="3BCADF7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43.7</w:t>
                  </w:r>
                </w:p>
              </w:tc>
              <w:tc>
                <w:tcPr>
                  <w:tcW w:w="187" w:type="pct"/>
                  <w:shd w:val="clear" w:color="auto" w:fill="FFFFFF"/>
                  <w:tcMar>
                    <w:top w:w="0" w:type="dxa"/>
                    <w:left w:w="0" w:type="dxa"/>
                    <w:bottom w:w="0" w:type="dxa"/>
                    <w:right w:w="0" w:type="dxa"/>
                  </w:tcMar>
                  <w:vAlign w:val="center"/>
                </w:tcPr>
                <w:p w14:paraId="5ECB070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43.6</w:t>
                  </w:r>
                </w:p>
              </w:tc>
              <w:tc>
                <w:tcPr>
                  <w:tcW w:w="187" w:type="pct"/>
                  <w:shd w:val="clear" w:color="auto" w:fill="FFFFFF"/>
                  <w:tcMar>
                    <w:top w:w="0" w:type="dxa"/>
                    <w:left w:w="0" w:type="dxa"/>
                    <w:bottom w:w="0" w:type="dxa"/>
                    <w:right w:w="0" w:type="dxa"/>
                  </w:tcMar>
                  <w:vAlign w:val="center"/>
                </w:tcPr>
                <w:p w14:paraId="66BDBCD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43.6</w:t>
                  </w:r>
                </w:p>
              </w:tc>
              <w:tc>
                <w:tcPr>
                  <w:tcW w:w="188" w:type="pct"/>
                  <w:shd w:val="clear" w:color="auto" w:fill="FFFFFF"/>
                  <w:tcMar>
                    <w:top w:w="0" w:type="dxa"/>
                    <w:left w:w="0" w:type="dxa"/>
                    <w:bottom w:w="0" w:type="dxa"/>
                    <w:right w:w="0" w:type="dxa"/>
                  </w:tcMar>
                  <w:vAlign w:val="center"/>
                </w:tcPr>
                <w:p w14:paraId="614129C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43.6</w:t>
                  </w:r>
                </w:p>
              </w:tc>
              <w:tc>
                <w:tcPr>
                  <w:tcW w:w="260" w:type="pct"/>
                  <w:shd w:val="clear" w:color="auto" w:fill="FFFFFF"/>
                  <w:tcMar>
                    <w:top w:w="0" w:type="dxa"/>
                    <w:left w:w="0" w:type="dxa"/>
                    <w:bottom w:w="0" w:type="dxa"/>
                    <w:right w:w="0" w:type="dxa"/>
                  </w:tcMar>
                  <w:vAlign w:val="center"/>
                </w:tcPr>
                <w:p w14:paraId="492F5A8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6A5D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5EB84C5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w:t>
                  </w:r>
                </w:p>
              </w:tc>
              <w:tc>
                <w:tcPr>
                  <w:tcW w:w="206" w:type="pct"/>
                  <w:shd w:val="clear" w:color="auto" w:fill="FFFFFF"/>
                  <w:tcMar>
                    <w:top w:w="0" w:type="dxa"/>
                    <w:left w:w="0" w:type="dxa"/>
                    <w:bottom w:w="0" w:type="dxa"/>
                    <w:right w:w="0" w:type="dxa"/>
                  </w:tcMar>
                  <w:vAlign w:val="center"/>
                </w:tcPr>
                <w:p w14:paraId="654E2FC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w:t>
                  </w:r>
                </w:p>
              </w:tc>
              <w:tc>
                <w:tcPr>
                  <w:tcW w:w="196" w:type="pct"/>
                  <w:shd w:val="clear" w:color="auto" w:fill="FFFFFF"/>
                  <w:tcMar>
                    <w:top w:w="0" w:type="dxa"/>
                    <w:left w:w="0" w:type="dxa"/>
                    <w:bottom w:w="0" w:type="dxa"/>
                    <w:right w:w="0" w:type="dxa"/>
                  </w:tcMar>
                  <w:vAlign w:val="center"/>
                </w:tcPr>
                <w:p w14:paraId="59F615F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混料机,6台（按点声源组预测）</w:t>
                  </w:r>
                </w:p>
              </w:tc>
              <w:tc>
                <w:tcPr>
                  <w:tcW w:w="237" w:type="pct"/>
                  <w:shd w:val="clear" w:color="auto" w:fill="FFFFFF"/>
                  <w:tcMar>
                    <w:top w:w="0" w:type="dxa"/>
                    <w:left w:w="0" w:type="dxa"/>
                    <w:bottom w:w="0" w:type="dxa"/>
                    <w:right w:w="0" w:type="dxa"/>
                  </w:tcMar>
                  <w:vAlign w:val="center"/>
                </w:tcPr>
                <w:p w14:paraId="4B35C88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65（等效后：72.8)</w:t>
                  </w:r>
                </w:p>
              </w:tc>
              <w:tc>
                <w:tcPr>
                  <w:tcW w:w="202" w:type="pct"/>
                  <w:shd w:val="clear" w:color="auto" w:fill="FFFFFF"/>
                  <w:tcMar>
                    <w:top w:w="0" w:type="dxa"/>
                    <w:left w:w="0" w:type="dxa"/>
                    <w:bottom w:w="0" w:type="dxa"/>
                    <w:right w:w="0" w:type="dxa"/>
                  </w:tcMar>
                  <w:vAlign w:val="center"/>
                </w:tcPr>
                <w:p w14:paraId="7BB7DBD3">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22" w:type="pct"/>
                  <w:shd w:val="clear" w:color="auto" w:fill="FFFFFF"/>
                  <w:tcMar>
                    <w:top w:w="0" w:type="dxa"/>
                    <w:left w:w="0" w:type="dxa"/>
                    <w:bottom w:w="0" w:type="dxa"/>
                    <w:right w:w="0" w:type="dxa"/>
                  </w:tcMar>
                  <w:vAlign w:val="center"/>
                </w:tcPr>
                <w:p w14:paraId="7869E0D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1.7</w:t>
                  </w:r>
                </w:p>
              </w:tc>
              <w:tc>
                <w:tcPr>
                  <w:tcW w:w="222" w:type="pct"/>
                  <w:shd w:val="clear" w:color="auto" w:fill="FFFFFF"/>
                  <w:tcMar>
                    <w:top w:w="0" w:type="dxa"/>
                    <w:left w:w="0" w:type="dxa"/>
                    <w:bottom w:w="0" w:type="dxa"/>
                    <w:right w:w="0" w:type="dxa"/>
                  </w:tcMar>
                  <w:vAlign w:val="center"/>
                </w:tcPr>
                <w:p w14:paraId="4AEFEFC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-11.4</w:t>
                  </w:r>
                </w:p>
              </w:tc>
              <w:tc>
                <w:tcPr>
                  <w:tcW w:w="223" w:type="pct"/>
                  <w:shd w:val="clear" w:color="auto" w:fill="FFFFFF"/>
                  <w:tcMar>
                    <w:top w:w="0" w:type="dxa"/>
                    <w:left w:w="0" w:type="dxa"/>
                    <w:bottom w:w="0" w:type="dxa"/>
                    <w:right w:w="0" w:type="dxa"/>
                  </w:tcMar>
                  <w:vAlign w:val="center"/>
                </w:tcPr>
                <w:p w14:paraId="63A70E2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84" w:type="pct"/>
                  <w:shd w:val="clear" w:color="auto" w:fill="FFFFFF"/>
                  <w:tcMar>
                    <w:top w:w="0" w:type="dxa"/>
                    <w:left w:w="0" w:type="dxa"/>
                    <w:bottom w:w="0" w:type="dxa"/>
                    <w:right w:w="0" w:type="dxa"/>
                  </w:tcMar>
                  <w:vAlign w:val="center"/>
                </w:tcPr>
                <w:p w14:paraId="305514A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184" w:type="pct"/>
                  <w:shd w:val="clear" w:color="auto" w:fill="FFFFFF"/>
                  <w:tcMar>
                    <w:top w:w="0" w:type="dxa"/>
                    <w:left w:w="0" w:type="dxa"/>
                    <w:bottom w:w="0" w:type="dxa"/>
                    <w:right w:w="0" w:type="dxa"/>
                  </w:tcMar>
                  <w:vAlign w:val="center"/>
                </w:tcPr>
                <w:p w14:paraId="74AAA35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27.1</w:t>
                  </w:r>
                </w:p>
              </w:tc>
              <w:tc>
                <w:tcPr>
                  <w:tcW w:w="184" w:type="pct"/>
                  <w:shd w:val="clear" w:color="auto" w:fill="FFFFFF"/>
                  <w:tcMar>
                    <w:top w:w="0" w:type="dxa"/>
                    <w:left w:w="0" w:type="dxa"/>
                    <w:bottom w:w="0" w:type="dxa"/>
                    <w:right w:w="0" w:type="dxa"/>
                  </w:tcMar>
                  <w:vAlign w:val="center"/>
                </w:tcPr>
                <w:p w14:paraId="1CA536D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13.5</w:t>
                  </w:r>
                </w:p>
              </w:tc>
              <w:tc>
                <w:tcPr>
                  <w:tcW w:w="186" w:type="pct"/>
                  <w:shd w:val="clear" w:color="auto" w:fill="FFFFFF"/>
                  <w:tcMar>
                    <w:top w:w="0" w:type="dxa"/>
                    <w:left w:w="0" w:type="dxa"/>
                    <w:bottom w:w="0" w:type="dxa"/>
                    <w:right w:w="0" w:type="dxa"/>
                  </w:tcMar>
                  <w:vAlign w:val="center"/>
                </w:tcPr>
                <w:p w14:paraId="39B93C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50.5</w:t>
                  </w:r>
                </w:p>
              </w:tc>
              <w:tc>
                <w:tcPr>
                  <w:tcW w:w="182" w:type="pct"/>
                  <w:shd w:val="clear" w:color="auto" w:fill="FFFFFF"/>
                  <w:tcMar>
                    <w:top w:w="0" w:type="dxa"/>
                    <w:left w:w="0" w:type="dxa"/>
                    <w:bottom w:w="0" w:type="dxa"/>
                    <w:right w:w="0" w:type="dxa"/>
                  </w:tcMar>
                  <w:vAlign w:val="center"/>
                </w:tcPr>
                <w:p w14:paraId="5EBC517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57.7</w:t>
                  </w:r>
                </w:p>
              </w:tc>
              <w:tc>
                <w:tcPr>
                  <w:tcW w:w="182" w:type="pct"/>
                  <w:shd w:val="clear" w:color="auto" w:fill="FFFFFF"/>
                  <w:tcMar>
                    <w:top w:w="0" w:type="dxa"/>
                    <w:left w:w="0" w:type="dxa"/>
                    <w:bottom w:w="0" w:type="dxa"/>
                    <w:right w:w="0" w:type="dxa"/>
                  </w:tcMar>
                  <w:vAlign w:val="center"/>
                </w:tcPr>
                <w:p w14:paraId="7860D8B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57.6</w:t>
                  </w:r>
                </w:p>
              </w:tc>
              <w:tc>
                <w:tcPr>
                  <w:tcW w:w="182" w:type="pct"/>
                  <w:shd w:val="clear" w:color="auto" w:fill="FFFFFF"/>
                  <w:tcMar>
                    <w:top w:w="0" w:type="dxa"/>
                    <w:left w:w="0" w:type="dxa"/>
                    <w:bottom w:w="0" w:type="dxa"/>
                    <w:right w:w="0" w:type="dxa"/>
                  </w:tcMar>
                  <w:vAlign w:val="center"/>
                </w:tcPr>
                <w:p w14:paraId="3F36014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57.6</w:t>
                  </w:r>
                </w:p>
              </w:tc>
              <w:tc>
                <w:tcPr>
                  <w:tcW w:w="183" w:type="pct"/>
                  <w:shd w:val="clear" w:color="auto" w:fill="FFFFFF"/>
                  <w:tcMar>
                    <w:top w:w="0" w:type="dxa"/>
                    <w:left w:w="0" w:type="dxa"/>
                    <w:bottom w:w="0" w:type="dxa"/>
                    <w:right w:w="0" w:type="dxa"/>
                  </w:tcMar>
                  <w:vAlign w:val="center"/>
                </w:tcPr>
                <w:p w14:paraId="2C454C6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57.6</w:t>
                  </w:r>
                </w:p>
              </w:tc>
              <w:tc>
                <w:tcPr>
                  <w:tcW w:w="158" w:type="pct"/>
                  <w:shd w:val="clear" w:color="auto" w:fill="FFFFFF"/>
                  <w:tcMar>
                    <w:top w:w="0" w:type="dxa"/>
                    <w:left w:w="0" w:type="dxa"/>
                    <w:bottom w:w="0" w:type="dxa"/>
                    <w:right w:w="0" w:type="dxa"/>
                  </w:tcMar>
                  <w:vAlign w:val="center"/>
                </w:tcPr>
                <w:p w14:paraId="598AAD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75" w:type="pct"/>
                  <w:shd w:val="clear" w:color="auto" w:fill="FFFFFF"/>
                  <w:tcMar>
                    <w:top w:w="0" w:type="dxa"/>
                    <w:left w:w="0" w:type="dxa"/>
                    <w:bottom w:w="0" w:type="dxa"/>
                    <w:right w:w="0" w:type="dxa"/>
                  </w:tcMar>
                  <w:vAlign w:val="center"/>
                </w:tcPr>
                <w:p w14:paraId="411F4C1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023C3D7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6B6A211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7" w:type="pct"/>
                  <w:shd w:val="clear" w:color="auto" w:fill="FFFFFF"/>
                  <w:tcMar>
                    <w:top w:w="0" w:type="dxa"/>
                    <w:left w:w="0" w:type="dxa"/>
                    <w:bottom w:w="0" w:type="dxa"/>
                    <w:right w:w="0" w:type="dxa"/>
                  </w:tcMar>
                  <w:vAlign w:val="center"/>
                </w:tcPr>
                <w:p w14:paraId="6060A33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87" w:type="pct"/>
                  <w:shd w:val="clear" w:color="auto" w:fill="FFFFFF"/>
                  <w:tcMar>
                    <w:top w:w="0" w:type="dxa"/>
                    <w:left w:w="0" w:type="dxa"/>
                    <w:bottom w:w="0" w:type="dxa"/>
                    <w:right w:w="0" w:type="dxa"/>
                  </w:tcMar>
                  <w:vAlign w:val="center"/>
                </w:tcPr>
                <w:p w14:paraId="7A231AC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26.7</w:t>
                  </w:r>
                </w:p>
              </w:tc>
              <w:tc>
                <w:tcPr>
                  <w:tcW w:w="187" w:type="pct"/>
                  <w:shd w:val="clear" w:color="auto" w:fill="FFFFFF"/>
                  <w:tcMar>
                    <w:top w:w="0" w:type="dxa"/>
                    <w:left w:w="0" w:type="dxa"/>
                    <w:bottom w:w="0" w:type="dxa"/>
                    <w:right w:w="0" w:type="dxa"/>
                  </w:tcMar>
                  <w:vAlign w:val="center"/>
                </w:tcPr>
                <w:p w14:paraId="5B8D27F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26.6</w:t>
                  </w:r>
                </w:p>
              </w:tc>
              <w:tc>
                <w:tcPr>
                  <w:tcW w:w="187" w:type="pct"/>
                  <w:shd w:val="clear" w:color="auto" w:fill="FFFFFF"/>
                  <w:tcMar>
                    <w:top w:w="0" w:type="dxa"/>
                    <w:left w:w="0" w:type="dxa"/>
                    <w:bottom w:w="0" w:type="dxa"/>
                    <w:right w:w="0" w:type="dxa"/>
                  </w:tcMar>
                  <w:vAlign w:val="center"/>
                </w:tcPr>
                <w:p w14:paraId="75B3210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26.6</w:t>
                  </w:r>
                </w:p>
              </w:tc>
              <w:tc>
                <w:tcPr>
                  <w:tcW w:w="188" w:type="pct"/>
                  <w:shd w:val="clear" w:color="auto" w:fill="FFFFFF"/>
                  <w:tcMar>
                    <w:top w:w="0" w:type="dxa"/>
                    <w:left w:w="0" w:type="dxa"/>
                    <w:bottom w:w="0" w:type="dxa"/>
                    <w:right w:w="0" w:type="dxa"/>
                  </w:tcMar>
                  <w:vAlign w:val="center"/>
                </w:tcPr>
                <w:p w14:paraId="1FA3801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26.6</w:t>
                  </w:r>
                </w:p>
              </w:tc>
              <w:tc>
                <w:tcPr>
                  <w:tcW w:w="260" w:type="pct"/>
                  <w:shd w:val="clear" w:color="auto" w:fill="FFFFFF"/>
                  <w:tcMar>
                    <w:top w:w="0" w:type="dxa"/>
                    <w:left w:w="0" w:type="dxa"/>
                    <w:bottom w:w="0" w:type="dxa"/>
                    <w:right w:w="0" w:type="dxa"/>
                  </w:tcMar>
                  <w:vAlign w:val="center"/>
                </w:tcPr>
                <w:p w14:paraId="73057D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2517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473FC4B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w:t>
                  </w:r>
                </w:p>
              </w:tc>
              <w:tc>
                <w:tcPr>
                  <w:tcW w:w="206" w:type="pct"/>
                  <w:shd w:val="clear" w:color="auto" w:fill="FFFFFF"/>
                  <w:tcMar>
                    <w:top w:w="0" w:type="dxa"/>
                    <w:left w:w="0" w:type="dxa"/>
                    <w:bottom w:w="0" w:type="dxa"/>
                    <w:right w:w="0" w:type="dxa"/>
                  </w:tcMar>
                  <w:vAlign w:val="center"/>
                </w:tcPr>
                <w:p w14:paraId="60863D5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w:t>
                  </w:r>
                </w:p>
              </w:tc>
              <w:tc>
                <w:tcPr>
                  <w:tcW w:w="196" w:type="pct"/>
                  <w:shd w:val="clear" w:color="auto" w:fill="FFFFFF"/>
                  <w:tcMar>
                    <w:top w:w="0" w:type="dxa"/>
                    <w:left w:w="0" w:type="dxa"/>
                    <w:bottom w:w="0" w:type="dxa"/>
                    <w:right w:w="0" w:type="dxa"/>
                  </w:tcMar>
                  <w:vAlign w:val="center"/>
                </w:tcPr>
                <w:p w14:paraId="4C21EC5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粉碎机,2台（按点声源组预测）</w:t>
                  </w:r>
                </w:p>
              </w:tc>
              <w:tc>
                <w:tcPr>
                  <w:tcW w:w="237" w:type="pct"/>
                  <w:shd w:val="clear" w:color="auto" w:fill="FFFFFF"/>
                  <w:tcMar>
                    <w:top w:w="0" w:type="dxa"/>
                    <w:left w:w="0" w:type="dxa"/>
                    <w:bottom w:w="0" w:type="dxa"/>
                    <w:right w:w="0" w:type="dxa"/>
                  </w:tcMar>
                  <w:vAlign w:val="center"/>
                </w:tcPr>
                <w:p w14:paraId="54E85CE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75（等效后：78.0)</w:t>
                  </w:r>
                </w:p>
              </w:tc>
              <w:tc>
                <w:tcPr>
                  <w:tcW w:w="202" w:type="pct"/>
                  <w:shd w:val="clear" w:color="auto" w:fill="FFFFFF"/>
                  <w:tcMar>
                    <w:top w:w="0" w:type="dxa"/>
                    <w:left w:w="0" w:type="dxa"/>
                    <w:bottom w:w="0" w:type="dxa"/>
                    <w:right w:w="0" w:type="dxa"/>
                  </w:tcMar>
                  <w:vAlign w:val="center"/>
                </w:tcPr>
                <w:p w14:paraId="226D60F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22" w:type="pct"/>
                  <w:shd w:val="clear" w:color="auto" w:fill="FFFFFF"/>
                  <w:tcMar>
                    <w:top w:w="0" w:type="dxa"/>
                    <w:left w:w="0" w:type="dxa"/>
                    <w:bottom w:w="0" w:type="dxa"/>
                    <w:right w:w="0" w:type="dxa"/>
                  </w:tcMar>
                  <w:vAlign w:val="center"/>
                </w:tcPr>
                <w:p w14:paraId="03FA5EF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11.9</w:t>
                  </w:r>
                </w:p>
              </w:tc>
              <w:tc>
                <w:tcPr>
                  <w:tcW w:w="222" w:type="pct"/>
                  <w:shd w:val="clear" w:color="auto" w:fill="FFFFFF"/>
                  <w:tcMar>
                    <w:top w:w="0" w:type="dxa"/>
                    <w:left w:w="0" w:type="dxa"/>
                    <w:bottom w:w="0" w:type="dxa"/>
                    <w:right w:w="0" w:type="dxa"/>
                  </w:tcMar>
                  <w:vAlign w:val="center"/>
                </w:tcPr>
                <w:p w14:paraId="1B85DD2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w:t>
                  </w:r>
                </w:p>
              </w:tc>
              <w:tc>
                <w:tcPr>
                  <w:tcW w:w="223" w:type="pct"/>
                  <w:shd w:val="clear" w:color="auto" w:fill="FFFFFF"/>
                  <w:tcMar>
                    <w:top w:w="0" w:type="dxa"/>
                    <w:left w:w="0" w:type="dxa"/>
                    <w:bottom w:w="0" w:type="dxa"/>
                    <w:right w:w="0" w:type="dxa"/>
                  </w:tcMar>
                  <w:vAlign w:val="center"/>
                </w:tcPr>
                <w:p w14:paraId="6613DDD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84" w:type="pct"/>
                  <w:shd w:val="clear" w:color="auto" w:fill="FFFFFF"/>
                  <w:tcMar>
                    <w:top w:w="0" w:type="dxa"/>
                    <w:left w:w="0" w:type="dxa"/>
                    <w:bottom w:w="0" w:type="dxa"/>
                    <w:right w:w="0" w:type="dxa"/>
                  </w:tcMar>
                  <w:vAlign w:val="center"/>
                </w:tcPr>
                <w:p w14:paraId="2E1FAEE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w:t>
                  </w:r>
                </w:p>
              </w:tc>
              <w:tc>
                <w:tcPr>
                  <w:tcW w:w="184" w:type="pct"/>
                  <w:shd w:val="clear" w:color="auto" w:fill="FFFFFF"/>
                  <w:tcMar>
                    <w:top w:w="0" w:type="dxa"/>
                    <w:left w:w="0" w:type="dxa"/>
                    <w:bottom w:w="0" w:type="dxa"/>
                    <w:right w:w="0" w:type="dxa"/>
                  </w:tcMar>
                  <w:vAlign w:val="center"/>
                </w:tcPr>
                <w:p w14:paraId="6F3DAAC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w:t>
                  </w:r>
                </w:p>
              </w:tc>
              <w:tc>
                <w:tcPr>
                  <w:tcW w:w="184" w:type="pct"/>
                  <w:shd w:val="clear" w:color="auto" w:fill="FFFFFF"/>
                  <w:tcMar>
                    <w:top w:w="0" w:type="dxa"/>
                    <w:left w:w="0" w:type="dxa"/>
                    <w:bottom w:w="0" w:type="dxa"/>
                    <w:right w:w="0" w:type="dxa"/>
                  </w:tcMar>
                  <w:vAlign w:val="center"/>
                </w:tcPr>
                <w:p w14:paraId="47EEA60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86" w:type="pct"/>
                  <w:shd w:val="clear" w:color="auto" w:fill="FFFFFF"/>
                  <w:tcMar>
                    <w:top w:w="0" w:type="dxa"/>
                    <w:left w:w="0" w:type="dxa"/>
                    <w:bottom w:w="0" w:type="dxa"/>
                    <w:right w:w="0" w:type="dxa"/>
                  </w:tcMar>
                  <w:vAlign w:val="center"/>
                </w:tcPr>
                <w:p w14:paraId="763E2B6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72.3</w:t>
                  </w:r>
                </w:p>
              </w:tc>
              <w:tc>
                <w:tcPr>
                  <w:tcW w:w="182" w:type="pct"/>
                  <w:shd w:val="clear" w:color="auto" w:fill="FFFFFF"/>
                  <w:tcMar>
                    <w:top w:w="0" w:type="dxa"/>
                    <w:left w:w="0" w:type="dxa"/>
                    <w:bottom w:w="0" w:type="dxa"/>
                    <w:right w:w="0" w:type="dxa"/>
                  </w:tcMar>
                  <w:vAlign w:val="center"/>
                </w:tcPr>
                <w:p w14:paraId="11B4B47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63.1</w:t>
                  </w:r>
                </w:p>
              </w:tc>
              <w:tc>
                <w:tcPr>
                  <w:tcW w:w="182" w:type="pct"/>
                  <w:shd w:val="clear" w:color="auto" w:fill="FFFFFF"/>
                  <w:tcMar>
                    <w:top w:w="0" w:type="dxa"/>
                    <w:left w:w="0" w:type="dxa"/>
                    <w:bottom w:w="0" w:type="dxa"/>
                    <w:right w:w="0" w:type="dxa"/>
                  </w:tcMar>
                  <w:vAlign w:val="center"/>
                </w:tcPr>
                <w:p w14:paraId="1EE2A92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63.2</w:t>
                  </w:r>
                </w:p>
              </w:tc>
              <w:tc>
                <w:tcPr>
                  <w:tcW w:w="182" w:type="pct"/>
                  <w:shd w:val="clear" w:color="auto" w:fill="FFFFFF"/>
                  <w:tcMar>
                    <w:top w:w="0" w:type="dxa"/>
                    <w:left w:w="0" w:type="dxa"/>
                    <w:bottom w:w="0" w:type="dxa"/>
                    <w:right w:w="0" w:type="dxa"/>
                  </w:tcMar>
                  <w:vAlign w:val="center"/>
                </w:tcPr>
                <w:p w14:paraId="3D852E9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62.8</w:t>
                  </w:r>
                </w:p>
              </w:tc>
              <w:tc>
                <w:tcPr>
                  <w:tcW w:w="183" w:type="pct"/>
                  <w:shd w:val="clear" w:color="auto" w:fill="FFFFFF"/>
                  <w:tcMar>
                    <w:top w:w="0" w:type="dxa"/>
                    <w:left w:w="0" w:type="dxa"/>
                    <w:bottom w:w="0" w:type="dxa"/>
                    <w:right w:w="0" w:type="dxa"/>
                  </w:tcMar>
                  <w:vAlign w:val="center"/>
                </w:tcPr>
                <w:p w14:paraId="5A476F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62.8</w:t>
                  </w:r>
                </w:p>
              </w:tc>
              <w:tc>
                <w:tcPr>
                  <w:tcW w:w="158" w:type="pct"/>
                  <w:shd w:val="clear" w:color="auto" w:fill="FFFFFF"/>
                  <w:tcMar>
                    <w:top w:w="0" w:type="dxa"/>
                    <w:left w:w="0" w:type="dxa"/>
                    <w:bottom w:w="0" w:type="dxa"/>
                    <w:right w:w="0" w:type="dxa"/>
                  </w:tcMar>
                  <w:vAlign w:val="center"/>
                </w:tcPr>
                <w:p w14:paraId="0D38D9A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75" w:type="pct"/>
                  <w:shd w:val="clear" w:color="auto" w:fill="FFFFFF"/>
                  <w:tcMar>
                    <w:top w:w="0" w:type="dxa"/>
                    <w:left w:w="0" w:type="dxa"/>
                    <w:bottom w:w="0" w:type="dxa"/>
                    <w:right w:w="0" w:type="dxa"/>
                  </w:tcMar>
                  <w:vAlign w:val="center"/>
                </w:tcPr>
                <w:p w14:paraId="6282AC8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3AABA4A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1562D33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7" w:type="pct"/>
                  <w:shd w:val="clear" w:color="auto" w:fill="FFFFFF"/>
                  <w:tcMar>
                    <w:top w:w="0" w:type="dxa"/>
                    <w:left w:w="0" w:type="dxa"/>
                    <w:bottom w:w="0" w:type="dxa"/>
                    <w:right w:w="0" w:type="dxa"/>
                  </w:tcMar>
                  <w:vAlign w:val="center"/>
                </w:tcPr>
                <w:p w14:paraId="4E27E23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87" w:type="pct"/>
                  <w:shd w:val="clear" w:color="auto" w:fill="FFFFFF"/>
                  <w:tcMar>
                    <w:top w:w="0" w:type="dxa"/>
                    <w:left w:w="0" w:type="dxa"/>
                    <w:bottom w:w="0" w:type="dxa"/>
                    <w:right w:w="0" w:type="dxa"/>
                  </w:tcMar>
                  <w:vAlign w:val="center"/>
                </w:tcPr>
                <w:p w14:paraId="06A6AE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32.1</w:t>
                  </w:r>
                </w:p>
              </w:tc>
              <w:tc>
                <w:tcPr>
                  <w:tcW w:w="187" w:type="pct"/>
                  <w:shd w:val="clear" w:color="auto" w:fill="FFFFFF"/>
                  <w:tcMar>
                    <w:top w:w="0" w:type="dxa"/>
                    <w:left w:w="0" w:type="dxa"/>
                    <w:bottom w:w="0" w:type="dxa"/>
                    <w:right w:w="0" w:type="dxa"/>
                  </w:tcMar>
                  <w:vAlign w:val="center"/>
                </w:tcPr>
                <w:p w14:paraId="4F04471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32.2</w:t>
                  </w:r>
                </w:p>
              </w:tc>
              <w:tc>
                <w:tcPr>
                  <w:tcW w:w="187" w:type="pct"/>
                  <w:shd w:val="clear" w:color="auto" w:fill="FFFFFF"/>
                  <w:tcMar>
                    <w:top w:w="0" w:type="dxa"/>
                    <w:left w:w="0" w:type="dxa"/>
                    <w:bottom w:w="0" w:type="dxa"/>
                    <w:right w:w="0" w:type="dxa"/>
                  </w:tcMar>
                  <w:vAlign w:val="center"/>
                </w:tcPr>
                <w:p w14:paraId="587A2EA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31.8</w:t>
                  </w:r>
                </w:p>
              </w:tc>
              <w:tc>
                <w:tcPr>
                  <w:tcW w:w="188" w:type="pct"/>
                  <w:shd w:val="clear" w:color="auto" w:fill="FFFFFF"/>
                  <w:tcMar>
                    <w:top w:w="0" w:type="dxa"/>
                    <w:left w:w="0" w:type="dxa"/>
                    <w:bottom w:w="0" w:type="dxa"/>
                    <w:right w:w="0" w:type="dxa"/>
                  </w:tcMar>
                  <w:vAlign w:val="center"/>
                </w:tcPr>
                <w:p w14:paraId="596F239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31.8</w:t>
                  </w:r>
                </w:p>
              </w:tc>
              <w:tc>
                <w:tcPr>
                  <w:tcW w:w="260" w:type="pct"/>
                  <w:shd w:val="clear" w:color="auto" w:fill="FFFFFF"/>
                  <w:tcMar>
                    <w:top w:w="0" w:type="dxa"/>
                    <w:left w:w="0" w:type="dxa"/>
                    <w:bottom w:w="0" w:type="dxa"/>
                    <w:right w:w="0" w:type="dxa"/>
                  </w:tcMar>
                  <w:vAlign w:val="center"/>
                </w:tcPr>
                <w:p w14:paraId="004A4F9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0FC6C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38EE35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w:t>
                  </w:r>
                </w:p>
              </w:tc>
              <w:tc>
                <w:tcPr>
                  <w:tcW w:w="206" w:type="pct"/>
                  <w:shd w:val="clear" w:color="auto" w:fill="FFFFFF"/>
                  <w:tcMar>
                    <w:top w:w="0" w:type="dxa"/>
                    <w:left w:w="0" w:type="dxa"/>
                    <w:bottom w:w="0" w:type="dxa"/>
                    <w:right w:w="0" w:type="dxa"/>
                  </w:tcMar>
                  <w:vAlign w:val="center"/>
                </w:tcPr>
                <w:p w14:paraId="7C6D5C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w:t>
                  </w:r>
                </w:p>
              </w:tc>
              <w:tc>
                <w:tcPr>
                  <w:tcW w:w="196" w:type="pct"/>
                  <w:shd w:val="clear" w:color="auto" w:fill="FFFFFF"/>
                  <w:tcMar>
                    <w:top w:w="0" w:type="dxa"/>
                    <w:left w:w="0" w:type="dxa"/>
                    <w:bottom w:w="0" w:type="dxa"/>
                    <w:right w:w="0" w:type="dxa"/>
                  </w:tcMar>
                  <w:vAlign w:val="center"/>
                </w:tcPr>
                <w:p w14:paraId="2595826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w:t>
                  </w:r>
                </w:p>
              </w:tc>
              <w:tc>
                <w:tcPr>
                  <w:tcW w:w="237" w:type="pct"/>
                  <w:shd w:val="clear" w:color="auto" w:fill="FFFFFF"/>
                  <w:tcMar>
                    <w:top w:w="0" w:type="dxa"/>
                    <w:left w:w="0" w:type="dxa"/>
                    <w:bottom w:w="0" w:type="dxa"/>
                    <w:right w:w="0" w:type="dxa"/>
                  </w:tcMar>
                  <w:vAlign w:val="center"/>
                </w:tcPr>
                <w:p w14:paraId="60CCFD4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02" w:type="pct"/>
                  <w:shd w:val="clear" w:color="auto" w:fill="FFFFFF"/>
                  <w:tcMar>
                    <w:top w:w="0" w:type="dxa"/>
                    <w:left w:w="0" w:type="dxa"/>
                    <w:bottom w:w="0" w:type="dxa"/>
                    <w:right w:w="0" w:type="dxa"/>
                  </w:tcMar>
                  <w:vAlign w:val="center"/>
                </w:tcPr>
                <w:p w14:paraId="26BB40D2">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22" w:type="pct"/>
                  <w:shd w:val="clear" w:color="auto" w:fill="FFFFFF"/>
                  <w:tcMar>
                    <w:top w:w="0" w:type="dxa"/>
                    <w:left w:w="0" w:type="dxa"/>
                    <w:bottom w:w="0" w:type="dxa"/>
                    <w:right w:w="0" w:type="dxa"/>
                  </w:tcMar>
                  <w:vAlign w:val="center"/>
                </w:tcPr>
                <w:p w14:paraId="5CFAC39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10.3</w:t>
                  </w:r>
                </w:p>
              </w:tc>
              <w:tc>
                <w:tcPr>
                  <w:tcW w:w="222" w:type="pct"/>
                  <w:shd w:val="clear" w:color="auto" w:fill="FFFFFF"/>
                  <w:tcMar>
                    <w:top w:w="0" w:type="dxa"/>
                    <w:left w:w="0" w:type="dxa"/>
                    <w:bottom w:w="0" w:type="dxa"/>
                    <w:right w:w="0" w:type="dxa"/>
                  </w:tcMar>
                  <w:vAlign w:val="center"/>
                </w:tcPr>
                <w:p w14:paraId="5A1420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7.9</w:t>
                  </w:r>
                </w:p>
              </w:tc>
              <w:tc>
                <w:tcPr>
                  <w:tcW w:w="223" w:type="pct"/>
                  <w:shd w:val="clear" w:color="auto" w:fill="FFFFFF"/>
                  <w:tcMar>
                    <w:top w:w="0" w:type="dxa"/>
                    <w:left w:w="0" w:type="dxa"/>
                    <w:bottom w:w="0" w:type="dxa"/>
                    <w:right w:w="0" w:type="dxa"/>
                  </w:tcMar>
                  <w:vAlign w:val="center"/>
                </w:tcPr>
                <w:p w14:paraId="4ABA0A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84" w:type="pct"/>
                  <w:shd w:val="clear" w:color="auto" w:fill="FFFFFF"/>
                  <w:tcMar>
                    <w:top w:w="0" w:type="dxa"/>
                    <w:left w:w="0" w:type="dxa"/>
                    <w:bottom w:w="0" w:type="dxa"/>
                    <w:right w:w="0" w:type="dxa"/>
                  </w:tcMar>
                  <w:vAlign w:val="center"/>
                </w:tcPr>
                <w:p w14:paraId="5745C03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2.3</w:t>
                  </w:r>
                </w:p>
              </w:tc>
              <w:tc>
                <w:tcPr>
                  <w:tcW w:w="184" w:type="pct"/>
                  <w:shd w:val="clear" w:color="auto" w:fill="FFFFFF"/>
                  <w:tcMar>
                    <w:top w:w="0" w:type="dxa"/>
                    <w:left w:w="0" w:type="dxa"/>
                    <w:bottom w:w="0" w:type="dxa"/>
                    <w:right w:w="0" w:type="dxa"/>
                  </w:tcMar>
                  <w:vAlign w:val="center"/>
                </w:tcPr>
                <w:p w14:paraId="6A7244B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45.0</w:t>
                  </w:r>
                </w:p>
              </w:tc>
              <w:tc>
                <w:tcPr>
                  <w:tcW w:w="184" w:type="pct"/>
                  <w:shd w:val="clear" w:color="auto" w:fill="FFFFFF"/>
                  <w:tcMar>
                    <w:top w:w="0" w:type="dxa"/>
                    <w:left w:w="0" w:type="dxa"/>
                    <w:bottom w:w="0" w:type="dxa"/>
                    <w:right w:w="0" w:type="dxa"/>
                  </w:tcMar>
                  <w:vAlign w:val="center"/>
                </w:tcPr>
                <w:p w14:paraId="12FCF36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24.5</w:t>
                  </w:r>
                </w:p>
              </w:tc>
              <w:tc>
                <w:tcPr>
                  <w:tcW w:w="186" w:type="pct"/>
                  <w:shd w:val="clear" w:color="auto" w:fill="FFFFFF"/>
                  <w:tcMar>
                    <w:top w:w="0" w:type="dxa"/>
                    <w:left w:w="0" w:type="dxa"/>
                    <w:bottom w:w="0" w:type="dxa"/>
                    <w:right w:w="0" w:type="dxa"/>
                  </w:tcMar>
                  <w:vAlign w:val="center"/>
                </w:tcPr>
                <w:p w14:paraId="1188C1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32.5</w:t>
                  </w:r>
                </w:p>
              </w:tc>
              <w:tc>
                <w:tcPr>
                  <w:tcW w:w="182" w:type="pct"/>
                  <w:shd w:val="clear" w:color="auto" w:fill="FFFFFF"/>
                  <w:tcMar>
                    <w:top w:w="0" w:type="dxa"/>
                    <w:left w:w="0" w:type="dxa"/>
                    <w:bottom w:w="0" w:type="dxa"/>
                    <w:right w:w="0" w:type="dxa"/>
                  </w:tcMar>
                  <w:vAlign w:val="center"/>
                </w:tcPr>
                <w:p w14:paraId="2C28C7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66.5</w:t>
                  </w:r>
                </w:p>
              </w:tc>
              <w:tc>
                <w:tcPr>
                  <w:tcW w:w="182" w:type="pct"/>
                  <w:shd w:val="clear" w:color="auto" w:fill="FFFFFF"/>
                  <w:tcMar>
                    <w:top w:w="0" w:type="dxa"/>
                    <w:left w:w="0" w:type="dxa"/>
                    <w:bottom w:w="0" w:type="dxa"/>
                    <w:right w:w="0" w:type="dxa"/>
                  </w:tcMar>
                  <w:vAlign w:val="center"/>
                </w:tcPr>
                <w:p w14:paraId="18FE5E7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64.8</w:t>
                  </w:r>
                </w:p>
              </w:tc>
              <w:tc>
                <w:tcPr>
                  <w:tcW w:w="182" w:type="pct"/>
                  <w:shd w:val="clear" w:color="auto" w:fill="FFFFFF"/>
                  <w:tcMar>
                    <w:top w:w="0" w:type="dxa"/>
                    <w:left w:w="0" w:type="dxa"/>
                    <w:bottom w:w="0" w:type="dxa"/>
                    <w:right w:w="0" w:type="dxa"/>
                  </w:tcMar>
                  <w:vAlign w:val="center"/>
                </w:tcPr>
                <w:p w14:paraId="79B39DC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64.8</w:t>
                  </w:r>
                </w:p>
              </w:tc>
              <w:tc>
                <w:tcPr>
                  <w:tcW w:w="183" w:type="pct"/>
                  <w:shd w:val="clear" w:color="auto" w:fill="FFFFFF"/>
                  <w:tcMar>
                    <w:top w:w="0" w:type="dxa"/>
                    <w:left w:w="0" w:type="dxa"/>
                    <w:bottom w:w="0" w:type="dxa"/>
                    <w:right w:w="0" w:type="dxa"/>
                  </w:tcMar>
                  <w:vAlign w:val="center"/>
                </w:tcPr>
                <w:p w14:paraId="4C0D11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64.8</w:t>
                  </w:r>
                </w:p>
              </w:tc>
              <w:tc>
                <w:tcPr>
                  <w:tcW w:w="158" w:type="pct"/>
                  <w:shd w:val="clear" w:color="auto" w:fill="FFFFFF"/>
                  <w:tcMar>
                    <w:top w:w="0" w:type="dxa"/>
                    <w:left w:w="0" w:type="dxa"/>
                    <w:bottom w:w="0" w:type="dxa"/>
                    <w:right w:w="0" w:type="dxa"/>
                  </w:tcMar>
                  <w:vAlign w:val="center"/>
                </w:tcPr>
                <w:p w14:paraId="27A8514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75" w:type="pct"/>
                  <w:shd w:val="clear" w:color="auto" w:fill="FFFFFF"/>
                  <w:tcMar>
                    <w:top w:w="0" w:type="dxa"/>
                    <w:left w:w="0" w:type="dxa"/>
                    <w:bottom w:w="0" w:type="dxa"/>
                    <w:right w:w="0" w:type="dxa"/>
                  </w:tcMar>
                  <w:vAlign w:val="center"/>
                </w:tcPr>
                <w:p w14:paraId="390228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4E40616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5" w:type="pct"/>
                  <w:shd w:val="clear" w:color="auto" w:fill="FFFFFF"/>
                  <w:tcMar>
                    <w:top w:w="0" w:type="dxa"/>
                    <w:left w:w="0" w:type="dxa"/>
                    <w:bottom w:w="0" w:type="dxa"/>
                    <w:right w:w="0" w:type="dxa"/>
                  </w:tcMar>
                  <w:vAlign w:val="center"/>
                </w:tcPr>
                <w:p w14:paraId="7DB5C12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77" w:type="pct"/>
                  <w:shd w:val="clear" w:color="auto" w:fill="FFFFFF"/>
                  <w:tcMar>
                    <w:top w:w="0" w:type="dxa"/>
                    <w:left w:w="0" w:type="dxa"/>
                    <w:bottom w:w="0" w:type="dxa"/>
                    <w:right w:w="0" w:type="dxa"/>
                  </w:tcMar>
                  <w:vAlign w:val="center"/>
                </w:tcPr>
                <w:p w14:paraId="7743583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87" w:type="pct"/>
                  <w:shd w:val="clear" w:color="auto" w:fill="FFFFFF"/>
                  <w:tcMar>
                    <w:top w:w="0" w:type="dxa"/>
                    <w:left w:w="0" w:type="dxa"/>
                    <w:bottom w:w="0" w:type="dxa"/>
                    <w:right w:w="0" w:type="dxa"/>
                  </w:tcMar>
                  <w:vAlign w:val="center"/>
                </w:tcPr>
                <w:p w14:paraId="7FB12A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35.5</w:t>
                  </w:r>
                </w:p>
              </w:tc>
              <w:tc>
                <w:tcPr>
                  <w:tcW w:w="187" w:type="pct"/>
                  <w:shd w:val="clear" w:color="auto" w:fill="FFFFFF"/>
                  <w:tcMar>
                    <w:top w:w="0" w:type="dxa"/>
                    <w:left w:w="0" w:type="dxa"/>
                    <w:bottom w:w="0" w:type="dxa"/>
                    <w:right w:w="0" w:type="dxa"/>
                  </w:tcMar>
                  <w:vAlign w:val="center"/>
                </w:tcPr>
                <w:p w14:paraId="76BCE0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33.8</w:t>
                  </w:r>
                </w:p>
              </w:tc>
              <w:tc>
                <w:tcPr>
                  <w:tcW w:w="187" w:type="pct"/>
                  <w:shd w:val="clear" w:color="auto" w:fill="FFFFFF"/>
                  <w:tcMar>
                    <w:top w:w="0" w:type="dxa"/>
                    <w:left w:w="0" w:type="dxa"/>
                    <w:bottom w:w="0" w:type="dxa"/>
                    <w:right w:w="0" w:type="dxa"/>
                  </w:tcMar>
                  <w:vAlign w:val="center"/>
                </w:tcPr>
                <w:p w14:paraId="32A49C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33.8</w:t>
                  </w:r>
                </w:p>
              </w:tc>
              <w:tc>
                <w:tcPr>
                  <w:tcW w:w="188" w:type="pct"/>
                  <w:shd w:val="clear" w:color="auto" w:fill="FFFFFF"/>
                  <w:tcMar>
                    <w:top w:w="0" w:type="dxa"/>
                    <w:left w:w="0" w:type="dxa"/>
                    <w:bottom w:w="0" w:type="dxa"/>
                    <w:right w:w="0" w:type="dxa"/>
                  </w:tcMar>
                  <w:vAlign w:val="center"/>
                </w:tcPr>
                <w:p w14:paraId="7BF457C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33.8</w:t>
                  </w:r>
                </w:p>
              </w:tc>
              <w:tc>
                <w:tcPr>
                  <w:tcW w:w="260" w:type="pct"/>
                  <w:shd w:val="clear" w:color="auto" w:fill="FFFFFF"/>
                  <w:tcMar>
                    <w:top w:w="0" w:type="dxa"/>
                    <w:left w:w="0" w:type="dxa"/>
                    <w:bottom w:w="0" w:type="dxa"/>
                    <w:right w:w="0" w:type="dxa"/>
                  </w:tcMar>
                  <w:vAlign w:val="center"/>
                </w:tcPr>
                <w:p w14:paraId="7C78611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44BED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36F5D27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w:t>
                  </w:r>
                </w:p>
              </w:tc>
              <w:tc>
                <w:tcPr>
                  <w:tcW w:w="206" w:type="pct"/>
                  <w:shd w:val="clear" w:color="auto" w:fill="FFFFFF"/>
                  <w:tcMar>
                    <w:top w:w="0" w:type="dxa"/>
                    <w:left w:w="0" w:type="dxa"/>
                    <w:bottom w:w="0" w:type="dxa"/>
                    <w:right w:w="0" w:type="dxa"/>
                  </w:tcMar>
                  <w:vAlign w:val="center"/>
                </w:tcPr>
                <w:p w14:paraId="03DA59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w:t>
                  </w:r>
                </w:p>
              </w:tc>
              <w:tc>
                <w:tcPr>
                  <w:tcW w:w="196" w:type="pct"/>
                  <w:shd w:val="clear" w:color="auto" w:fill="FFFFFF"/>
                  <w:tcMar>
                    <w:top w:w="0" w:type="dxa"/>
                    <w:left w:w="0" w:type="dxa"/>
                    <w:bottom w:w="0" w:type="dxa"/>
                    <w:right w:w="0" w:type="dxa"/>
                  </w:tcMar>
                  <w:vAlign w:val="center"/>
                </w:tcPr>
                <w:p w14:paraId="181E300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w:t>
                  </w:r>
                </w:p>
              </w:tc>
              <w:tc>
                <w:tcPr>
                  <w:tcW w:w="237" w:type="pct"/>
                  <w:shd w:val="clear" w:color="auto" w:fill="FFFFFF"/>
                  <w:tcMar>
                    <w:top w:w="0" w:type="dxa"/>
                    <w:left w:w="0" w:type="dxa"/>
                    <w:bottom w:w="0" w:type="dxa"/>
                    <w:right w:w="0" w:type="dxa"/>
                  </w:tcMar>
                  <w:vAlign w:val="center"/>
                </w:tcPr>
                <w:p w14:paraId="08496A3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w:t>
                  </w:r>
                </w:p>
              </w:tc>
              <w:tc>
                <w:tcPr>
                  <w:tcW w:w="202" w:type="pct"/>
                  <w:shd w:val="clear" w:color="auto" w:fill="FFFFFF"/>
                  <w:tcMar>
                    <w:top w:w="0" w:type="dxa"/>
                    <w:left w:w="0" w:type="dxa"/>
                    <w:bottom w:w="0" w:type="dxa"/>
                    <w:right w:w="0" w:type="dxa"/>
                  </w:tcMar>
                  <w:vAlign w:val="center"/>
                </w:tcPr>
                <w:p w14:paraId="072398AC">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546" w:type="dxa"/>
                  <w:shd w:val="clear" w:color="auto" w:fill="FFFFFF"/>
                  <w:tcMar>
                    <w:top w:w="0" w:type="dxa"/>
                    <w:left w:w="0" w:type="dxa"/>
                    <w:bottom w:w="0" w:type="dxa"/>
                    <w:right w:w="0" w:type="dxa"/>
                  </w:tcMar>
                  <w:vAlign w:val="center"/>
                </w:tcPr>
                <w:p w14:paraId="774D0F9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12.3</w:t>
                  </w:r>
                </w:p>
              </w:tc>
              <w:tc>
                <w:tcPr>
                  <w:tcW w:w="546" w:type="dxa"/>
                  <w:shd w:val="clear" w:color="auto" w:fill="FFFFFF"/>
                  <w:tcMar>
                    <w:top w:w="0" w:type="dxa"/>
                    <w:left w:w="0" w:type="dxa"/>
                    <w:bottom w:w="0" w:type="dxa"/>
                    <w:right w:w="0" w:type="dxa"/>
                  </w:tcMar>
                  <w:vAlign w:val="center"/>
                </w:tcPr>
                <w:p w14:paraId="07559FE1">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-34.5</w:t>
                  </w:r>
                </w:p>
              </w:tc>
              <w:tc>
                <w:tcPr>
                  <w:tcW w:w="553" w:type="dxa"/>
                  <w:shd w:val="clear" w:color="auto" w:fill="FFFFFF"/>
                  <w:tcMar>
                    <w:top w:w="0" w:type="dxa"/>
                    <w:left w:w="0" w:type="dxa"/>
                    <w:bottom w:w="0" w:type="dxa"/>
                    <w:right w:w="0" w:type="dxa"/>
                  </w:tcMar>
                  <w:vAlign w:val="center"/>
                </w:tcPr>
                <w:p w14:paraId="1F29ABDC">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w:t>
                  </w:r>
                </w:p>
              </w:tc>
              <w:tc>
                <w:tcPr>
                  <w:tcW w:w="450" w:type="dxa"/>
                  <w:shd w:val="clear" w:color="auto" w:fill="FFFFFF"/>
                  <w:tcMar>
                    <w:top w:w="0" w:type="dxa"/>
                    <w:left w:w="0" w:type="dxa"/>
                    <w:bottom w:w="0" w:type="dxa"/>
                    <w:right w:w="0" w:type="dxa"/>
                  </w:tcMar>
                  <w:vAlign w:val="center"/>
                </w:tcPr>
                <w:p w14:paraId="73AFC0D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5.7</w:t>
                  </w:r>
                </w:p>
              </w:tc>
              <w:tc>
                <w:tcPr>
                  <w:tcW w:w="450" w:type="dxa"/>
                  <w:shd w:val="clear" w:color="auto" w:fill="FFFFFF"/>
                  <w:tcMar>
                    <w:top w:w="0" w:type="dxa"/>
                    <w:left w:w="0" w:type="dxa"/>
                    <w:bottom w:w="0" w:type="dxa"/>
                    <w:right w:w="0" w:type="dxa"/>
                  </w:tcMar>
                  <w:vAlign w:val="center"/>
                </w:tcPr>
                <w:p w14:paraId="066639B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2.7</w:t>
                  </w:r>
                </w:p>
              </w:tc>
              <w:tc>
                <w:tcPr>
                  <w:tcW w:w="450" w:type="dxa"/>
                  <w:shd w:val="clear" w:color="auto" w:fill="FFFFFF"/>
                  <w:tcMar>
                    <w:top w:w="0" w:type="dxa"/>
                    <w:left w:w="0" w:type="dxa"/>
                    <w:bottom w:w="0" w:type="dxa"/>
                    <w:right w:w="0" w:type="dxa"/>
                  </w:tcMar>
                  <w:vAlign w:val="center"/>
                </w:tcPr>
                <w:p w14:paraId="440369C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21.0</w:t>
                  </w:r>
                </w:p>
              </w:tc>
              <w:tc>
                <w:tcPr>
                  <w:tcW w:w="460" w:type="dxa"/>
                  <w:shd w:val="clear" w:color="auto" w:fill="FFFFFF"/>
                  <w:tcMar>
                    <w:top w:w="0" w:type="dxa"/>
                    <w:left w:w="0" w:type="dxa"/>
                    <w:bottom w:w="0" w:type="dxa"/>
                    <w:right w:w="0" w:type="dxa"/>
                  </w:tcMar>
                  <w:vAlign w:val="center"/>
                </w:tcPr>
                <w:p w14:paraId="6240360E">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74.9</w:t>
                  </w:r>
                </w:p>
              </w:tc>
              <w:tc>
                <w:tcPr>
                  <w:tcW w:w="445" w:type="dxa"/>
                  <w:shd w:val="clear" w:color="auto" w:fill="FFFFFF"/>
                  <w:tcMar>
                    <w:top w:w="0" w:type="dxa"/>
                    <w:left w:w="0" w:type="dxa"/>
                    <w:bottom w:w="0" w:type="dxa"/>
                    <w:right w:w="0" w:type="dxa"/>
                  </w:tcMar>
                  <w:vAlign w:val="center"/>
                </w:tcPr>
                <w:p w14:paraId="14DDCCD9">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60.1</w:t>
                  </w:r>
                </w:p>
              </w:tc>
              <w:tc>
                <w:tcPr>
                  <w:tcW w:w="445" w:type="dxa"/>
                  <w:shd w:val="clear" w:color="auto" w:fill="FFFFFF"/>
                  <w:tcMar>
                    <w:top w:w="0" w:type="dxa"/>
                    <w:left w:w="0" w:type="dxa"/>
                    <w:bottom w:w="0" w:type="dxa"/>
                    <w:right w:w="0" w:type="dxa"/>
                  </w:tcMar>
                  <w:vAlign w:val="center"/>
                </w:tcPr>
                <w:p w14:paraId="5CA9B796">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61.1</w:t>
                  </w:r>
                </w:p>
              </w:tc>
              <w:tc>
                <w:tcPr>
                  <w:tcW w:w="445" w:type="dxa"/>
                  <w:shd w:val="clear" w:color="auto" w:fill="FFFFFF"/>
                  <w:tcMar>
                    <w:top w:w="0" w:type="dxa"/>
                    <w:left w:w="0" w:type="dxa"/>
                    <w:bottom w:w="0" w:type="dxa"/>
                    <w:right w:w="0" w:type="dxa"/>
                  </w:tcMar>
                  <w:vAlign w:val="center"/>
                </w:tcPr>
                <w:p w14:paraId="0BC9FBE2">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59.8</w:t>
                  </w:r>
                </w:p>
              </w:tc>
              <w:tc>
                <w:tcPr>
                  <w:tcW w:w="450" w:type="dxa"/>
                  <w:shd w:val="clear" w:color="auto" w:fill="FFFFFF"/>
                  <w:tcMar>
                    <w:top w:w="0" w:type="dxa"/>
                    <w:left w:w="0" w:type="dxa"/>
                    <w:bottom w:w="0" w:type="dxa"/>
                    <w:right w:w="0" w:type="dxa"/>
                  </w:tcMar>
                  <w:vAlign w:val="center"/>
                </w:tcPr>
                <w:p w14:paraId="63245DB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59.8</w:t>
                  </w:r>
                </w:p>
              </w:tc>
              <w:tc>
                <w:tcPr>
                  <w:tcW w:w="427" w:type="dxa"/>
                  <w:shd w:val="clear" w:color="auto" w:fill="FFFFFF"/>
                  <w:tcMar>
                    <w:top w:w="0" w:type="dxa"/>
                    <w:left w:w="0" w:type="dxa"/>
                    <w:bottom w:w="0" w:type="dxa"/>
                    <w:right w:w="0" w:type="dxa"/>
                  </w:tcMar>
                  <w:vAlign w:val="center"/>
                </w:tcPr>
                <w:p w14:paraId="5E886DA0">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24.0</w:t>
                  </w:r>
                </w:p>
              </w:tc>
              <w:tc>
                <w:tcPr>
                  <w:tcW w:w="427" w:type="dxa"/>
                  <w:shd w:val="clear" w:color="auto" w:fill="FFFFFF"/>
                  <w:tcMar>
                    <w:top w:w="0" w:type="dxa"/>
                    <w:left w:w="0" w:type="dxa"/>
                    <w:bottom w:w="0" w:type="dxa"/>
                    <w:right w:w="0" w:type="dxa"/>
                  </w:tcMar>
                  <w:vAlign w:val="center"/>
                </w:tcPr>
                <w:p w14:paraId="647AD47A">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31.0</w:t>
                  </w:r>
                </w:p>
              </w:tc>
              <w:tc>
                <w:tcPr>
                  <w:tcW w:w="427" w:type="dxa"/>
                  <w:shd w:val="clear" w:color="auto" w:fill="FFFFFF"/>
                  <w:tcMar>
                    <w:top w:w="0" w:type="dxa"/>
                    <w:left w:w="0" w:type="dxa"/>
                    <w:bottom w:w="0" w:type="dxa"/>
                    <w:right w:w="0" w:type="dxa"/>
                  </w:tcMar>
                  <w:vAlign w:val="center"/>
                </w:tcPr>
                <w:p w14:paraId="2C03D0C9">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31.0</w:t>
                  </w:r>
                </w:p>
              </w:tc>
              <w:tc>
                <w:tcPr>
                  <w:tcW w:w="428" w:type="dxa"/>
                  <w:shd w:val="clear" w:color="auto" w:fill="FFFFFF"/>
                  <w:tcMar>
                    <w:top w:w="0" w:type="dxa"/>
                    <w:left w:w="0" w:type="dxa"/>
                    <w:bottom w:w="0" w:type="dxa"/>
                    <w:right w:w="0" w:type="dxa"/>
                  </w:tcMar>
                  <w:vAlign w:val="center"/>
                </w:tcPr>
                <w:p w14:paraId="54BDB70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31.0</w:t>
                  </w:r>
                </w:p>
              </w:tc>
              <w:tc>
                <w:tcPr>
                  <w:tcW w:w="438" w:type="dxa"/>
                  <w:shd w:val="clear" w:color="auto" w:fill="FFFFFF"/>
                  <w:tcMar>
                    <w:top w:w="0" w:type="dxa"/>
                    <w:left w:w="0" w:type="dxa"/>
                    <w:bottom w:w="0" w:type="dxa"/>
                    <w:right w:w="0" w:type="dxa"/>
                  </w:tcMar>
                  <w:vAlign w:val="center"/>
                </w:tcPr>
                <w:p w14:paraId="5B3CFD8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31.0</w:t>
                  </w:r>
                </w:p>
              </w:tc>
              <w:tc>
                <w:tcPr>
                  <w:tcW w:w="458" w:type="dxa"/>
                  <w:shd w:val="clear" w:color="auto" w:fill="FFFFFF"/>
                  <w:tcMar>
                    <w:top w:w="0" w:type="dxa"/>
                    <w:left w:w="0" w:type="dxa"/>
                    <w:bottom w:w="0" w:type="dxa"/>
                    <w:right w:w="0" w:type="dxa"/>
                  </w:tcMar>
                  <w:vAlign w:val="center"/>
                </w:tcPr>
                <w:p w14:paraId="721524EC">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29.1</w:t>
                  </w:r>
                </w:p>
              </w:tc>
              <w:tc>
                <w:tcPr>
                  <w:tcW w:w="458" w:type="dxa"/>
                  <w:shd w:val="clear" w:color="auto" w:fill="FFFFFF"/>
                  <w:tcMar>
                    <w:top w:w="0" w:type="dxa"/>
                    <w:left w:w="0" w:type="dxa"/>
                    <w:bottom w:w="0" w:type="dxa"/>
                    <w:right w:w="0" w:type="dxa"/>
                  </w:tcMar>
                  <w:vAlign w:val="center"/>
                </w:tcPr>
                <w:p w14:paraId="7D42AEE2">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30.1</w:t>
                  </w:r>
                </w:p>
              </w:tc>
              <w:tc>
                <w:tcPr>
                  <w:tcW w:w="458" w:type="dxa"/>
                  <w:shd w:val="clear" w:color="auto" w:fill="FFFFFF"/>
                  <w:tcMar>
                    <w:top w:w="0" w:type="dxa"/>
                    <w:left w:w="0" w:type="dxa"/>
                    <w:bottom w:w="0" w:type="dxa"/>
                    <w:right w:w="0" w:type="dxa"/>
                  </w:tcMar>
                  <w:vAlign w:val="center"/>
                </w:tcPr>
                <w:p w14:paraId="06A7B742">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28.8</w:t>
                  </w:r>
                </w:p>
              </w:tc>
              <w:tc>
                <w:tcPr>
                  <w:tcW w:w="461" w:type="dxa"/>
                  <w:shd w:val="clear" w:color="auto" w:fill="FFFFFF"/>
                  <w:tcMar>
                    <w:top w:w="0" w:type="dxa"/>
                    <w:left w:w="0" w:type="dxa"/>
                    <w:bottom w:w="0" w:type="dxa"/>
                    <w:right w:w="0" w:type="dxa"/>
                  </w:tcMar>
                  <w:vAlign w:val="center"/>
                </w:tcPr>
                <w:p w14:paraId="2AF28F22">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28.8</w:t>
                  </w:r>
                </w:p>
              </w:tc>
              <w:tc>
                <w:tcPr>
                  <w:tcW w:w="650" w:type="dxa"/>
                  <w:shd w:val="clear" w:color="auto" w:fill="FFFFFF"/>
                  <w:tcMar>
                    <w:top w:w="0" w:type="dxa"/>
                    <w:left w:w="0" w:type="dxa"/>
                    <w:bottom w:w="0" w:type="dxa"/>
                    <w:right w:w="0" w:type="dxa"/>
                  </w:tcMar>
                  <w:vAlign w:val="center"/>
                </w:tcPr>
                <w:p w14:paraId="27A5C1D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w:t>
                  </w:r>
                </w:p>
              </w:tc>
            </w:tr>
            <w:tr w14:paraId="665A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53AF65A3">
                  <w:pPr>
                    <w:jc w:val="center"/>
                    <w:rPr>
                      <w:rFonts w:hint="eastAsia" w:ascii="Times New Roman" w:hAnsi="Times New Roman" w:eastAsia="Arial" w:cs="Times New Roman"/>
                      <w:color w:val="auto"/>
                      <w:sz w:val="21"/>
                      <w:szCs w:val="21"/>
                      <w:lang w:val="en-US" w:eastAsia="zh-CN"/>
                    </w:rPr>
                  </w:pPr>
                  <w:r>
                    <w:rPr>
                      <w:rFonts w:hint="eastAsia" w:ascii="Times New Roman" w:hAnsi="Times New Roman" w:eastAsia="Arial" w:cs="Times New Roman"/>
                      <w:color w:val="auto"/>
                      <w:sz w:val="21"/>
                      <w:szCs w:val="21"/>
                      <w:lang w:val="en-US" w:eastAsia="zh-CN"/>
                    </w:rPr>
                    <w:t>6</w:t>
                  </w:r>
                </w:p>
              </w:tc>
              <w:tc>
                <w:tcPr>
                  <w:tcW w:w="505" w:type="dxa"/>
                  <w:shd w:val="clear" w:color="auto" w:fill="FFFFFF"/>
                  <w:tcMar>
                    <w:top w:w="0" w:type="dxa"/>
                    <w:left w:w="0" w:type="dxa"/>
                    <w:bottom w:w="0" w:type="dxa"/>
                    <w:right w:w="0" w:type="dxa"/>
                  </w:tcMar>
                  <w:vAlign w:val="center"/>
                </w:tcPr>
                <w:p w14:paraId="7C8E072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生产车间</w:t>
                  </w:r>
                </w:p>
              </w:tc>
              <w:tc>
                <w:tcPr>
                  <w:tcW w:w="660" w:type="dxa"/>
                  <w:shd w:val="clear" w:color="auto" w:fill="FFFFFF"/>
                  <w:tcMar>
                    <w:top w:w="0" w:type="dxa"/>
                    <w:left w:w="0" w:type="dxa"/>
                    <w:bottom w:w="0" w:type="dxa"/>
                    <w:right w:w="0" w:type="dxa"/>
                  </w:tcMar>
                  <w:vAlign w:val="center"/>
                </w:tcPr>
                <w:p w14:paraId="2FAC4FB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循环冷却机,5台（按点声源组预测）</w:t>
                  </w:r>
                </w:p>
              </w:tc>
              <w:tc>
                <w:tcPr>
                  <w:tcW w:w="605" w:type="dxa"/>
                  <w:shd w:val="clear" w:color="auto" w:fill="FFFFFF"/>
                  <w:tcMar>
                    <w:top w:w="0" w:type="dxa"/>
                    <w:left w:w="0" w:type="dxa"/>
                    <w:bottom w:w="0" w:type="dxa"/>
                    <w:right w:w="0" w:type="dxa"/>
                  </w:tcMar>
                  <w:vAlign w:val="center"/>
                </w:tcPr>
                <w:p w14:paraId="1173348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70（等效后：77.0)</w:t>
                  </w:r>
                </w:p>
              </w:tc>
              <w:tc>
                <w:tcPr>
                  <w:tcW w:w="495" w:type="dxa"/>
                  <w:shd w:val="clear" w:color="auto" w:fill="FFFFFF"/>
                  <w:tcMar>
                    <w:top w:w="0" w:type="dxa"/>
                    <w:left w:w="0" w:type="dxa"/>
                    <w:bottom w:w="0" w:type="dxa"/>
                    <w:right w:w="0" w:type="dxa"/>
                  </w:tcMar>
                  <w:vAlign w:val="center"/>
                </w:tcPr>
                <w:p w14:paraId="05B73CB0">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厂房隔声、减振、消声</w:t>
                  </w:r>
                </w:p>
              </w:tc>
              <w:tc>
                <w:tcPr>
                  <w:tcW w:w="546" w:type="dxa"/>
                  <w:shd w:val="clear" w:color="auto" w:fill="FFFFFF"/>
                  <w:tcMar>
                    <w:top w:w="0" w:type="dxa"/>
                    <w:left w:w="0" w:type="dxa"/>
                    <w:bottom w:w="0" w:type="dxa"/>
                    <w:right w:w="0" w:type="dxa"/>
                  </w:tcMar>
                  <w:vAlign w:val="center"/>
                </w:tcPr>
                <w:p w14:paraId="169D8A4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-1.1</w:t>
                  </w:r>
                </w:p>
              </w:tc>
              <w:tc>
                <w:tcPr>
                  <w:tcW w:w="546" w:type="dxa"/>
                  <w:shd w:val="clear" w:color="auto" w:fill="FFFFFF"/>
                  <w:tcMar>
                    <w:top w:w="0" w:type="dxa"/>
                    <w:left w:w="0" w:type="dxa"/>
                    <w:bottom w:w="0" w:type="dxa"/>
                    <w:right w:w="0" w:type="dxa"/>
                  </w:tcMar>
                  <w:vAlign w:val="center"/>
                </w:tcPr>
                <w:p w14:paraId="077D38A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6.6</w:t>
                  </w:r>
                </w:p>
              </w:tc>
              <w:tc>
                <w:tcPr>
                  <w:tcW w:w="553" w:type="dxa"/>
                  <w:shd w:val="clear" w:color="auto" w:fill="FFFFFF"/>
                  <w:tcMar>
                    <w:top w:w="0" w:type="dxa"/>
                    <w:left w:w="0" w:type="dxa"/>
                    <w:bottom w:w="0" w:type="dxa"/>
                    <w:right w:w="0" w:type="dxa"/>
                  </w:tcMar>
                  <w:vAlign w:val="center"/>
                </w:tcPr>
                <w:p w14:paraId="497420C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450" w:type="dxa"/>
                  <w:shd w:val="clear" w:color="auto" w:fill="FFFFFF"/>
                  <w:tcMar>
                    <w:top w:w="0" w:type="dxa"/>
                    <w:left w:w="0" w:type="dxa"/>
                    <w:bottom w:w="0" w:type="dxa"/>
                    <w:right w:w="0" w:type="dxa"/>
                  </w:tcMar>
                  <w:vAlign w:val="center"/>
                </w:tcPr>
                <w:p w14:paraId="6450B7E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13.7</w:t>
                  </w:r>
                </w:p>
              </w:tc>
              <w:tc>
                <w:tcPr>
                  <w:tcW w:w="450" w:type="dxa"/>
                  <w:shd w:val="clear" w:color="auto" w:fill="FFFFFF"/>
                  <w:tcMar>
                    <w:top w:w="0" w:type="dxa"/>
                    <w:left w:w="0" w:type="dxa"/>
                    <w:bottom w:w="0" w:type="dxa"/>
                    <w:right w:w="0" w:type="dxa"/>
                  </w:tcMar>
                  <w:vAlign w:val="center"/>
                </w:tcPr>
                <w:p w14:paraId="3F973F7E">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45.3</w:t>
                  </w:r>
                </w:p>
              </w:tc>
              <w:tc>
                <w:tcPr>
                  <w:tcW w:w="450" w:type="dxa"/>
                  <w:shd w:val="clear" w:color="auto" w:fill="FFFFFF"/>
                  <w:tcMar>
                    <w:top w:w="0" w:type="dxa"/>
                    <w:left w:w="0" w:type="dxa"/>
                    <w:bottom w:w="0" w:type="dxa"/>
                    <w:right w:w="0" w:type="dxa"/>
                  </w:tcMar>
                  <w:vAlign w:val="center"/>
                </w:tcPr>
                <w:p w14:paraId="6C63A15E">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13.0</w:t>
                  </w:r>
                </w:p>
              </w:tc>
              <w:tc>
                <w:tcPr>
                  <w:tcW w:w="460" w:type="dxa"/>
                  <w:shd w:val="clear" w:color="auto" w:fill="FFFFFF"/>
                  <w:tcMar>
                    <w:top w:w="0" w:type="dxa"/>
                    <w:left w:w="0" w:type="dxa"/>
                    <w:bottom w:w="0" w:type="dxa"/>
                    <w:right w:w="0" w:type="dxa"/>
                  </w:tcMar>
                  <w:vAlign w:val="center"/>
                </w:tcPr>
                <w:p w14:paraId="7448080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32.3</w:t>
                  </w:r>
                </w:p>
              </w:tc>
              <w:tc>
                <w:tcPr>
                  <w:tcW w:w="445" w:type="dxa"/>
                  <w:shd w:val="clear" w:color="auto" w:fill="FFFFFF"/>
                  <w:tcMar>
                    <w:top w:w="0" w:type="dxa"/>
                    <w:left w:w="0" w:type="dxa"/>
                    <w:bottom w:w="0" w:type="dxa"/>
                    <w:right w:w="0" w:type="dxa"/>
                  </w:tcMar>
                  <w:vAlign w:val="center"/>
                </w:tcPr>
                <w:p w14:paraId="35CBE85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61.8</w:t>
                  </w:r>
                </w:p>
              </w:tc>
              <w:tc>
                <w:tcPr>
                  <w:tcW w:w="445" w:type="dxa"/>
                  <w:shd w:val="clear" w:color="auto" w:fill="FFFFFF"/>
                  <w:tcMar>
                    <w:top w:w="0" w:type="dxa"/>
                    <w:left w:w="0" w:type="dxa"/>
                    <w:bottom w:w="0" w:type="dxa"/>
                    <w:right w:w="0" w:type="dxa"/>
                  </w:tcMar>
                  <w:vAlign w:val="center"/>
                </w:tcPr>
                <w:p w14:paraId="6B05ABF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61.8</w:t>
                  </w:r>
                </w:p>
              </w:tc>
              <w:tc>
                <w:tcPr>
                  <w:tcW w:w="445" w:type="dxa"/>
                  <w:shd w:val="clear" w:color="auto" w:fill="FFFFFF"/>
                  <w:tcMar>
                    <w:top w:w="0" w:type="dxa"/>
                    <w:left w:w="0" w:type="dxa"/>
                    <w:bottom w:w="0" w:type="dxa"/>
                    <w:right w:w="0" w:type="dxa"/>
                  </w:tcMar>
                  <w:vAlign w:val="center"/>
                </w:tcPr>
                <w:p w14:paraId="54394F1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61.9</w:t>
                  </w:r>
                </w:p>
              </w:tc>
              <w:tc>
                <w:tcPr>
                  <w:tcW w:w="450" w:type="dxa"/>
                  <w:shd w:val="clear" w:color="auto" w:fill="FFFFFF"/>
                  <w:tcMar>
                    <w:top w:w="0" w:type="dxa"/>
                    <w:left w:w="0" w:type="dxa"/>
                    <w:bottom w:w="0" w:type="dxa"/>
                    <w:right w:w="0" w:type="dxa"/>
                  </w:tcMar>
                  <w:vAlign w:val="center"/>
                </w:tcPr>
                <w:p w14:paraId="70FEDEAB">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61.8</w:t>
                  </w:r>
                </w:p>
              </w:tc>
              <w:tc>
                <w:tcPr>
                  <w:tcW w:w="427" w:type="dxa"/>
                  <w:shd w:val="clear" w:color="auto" w:fill="FFFFFF"/>
                  <w:tcMar>
                    <w:top w:w="0" w:type="dxa"/>
                    <w:left w:w="0" w:type="dxa"/>
                    <w:bottom w:w="0" w:type="dxa"/>
                    <w:right w:w="0" w:type="dxa"/>
                  </w:tcMar>
                  <w:vAlign w:val="center"/>
                </w:tcPr>
                <w:p w14:paraId="37F631B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24.0</w:t>
                  </w:r>
                </w:p>
              </w:tc>
              <w:tc>
                <w:tcPr>
                  <w:tcW w:w="427" w:type="dxa"/>
                  <w:shd w:val="clear" w:color="auto" w:fill="FFFFFF"/>
                  <w:tcMar>
                    <w:top w:w="0" w:type="dxa"/>
                    <w:left w:w="0" w:type="dxa"/>
                    <w:bottom w:w="0" w:type="dxa"/>
                    <w:right w:w="0" w:type="dxa"/>
                  </w:tcMar>
                  <w:vAlign w:val="center"/>
                </w:tcPr>
                <w:p w14:paraId="51D6E44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27" w:type="dxa"/>
                  <w:shd w:val="clear" w:color="auto" w:fill="FFFFFF"/>
                  <w:tcMar>
                    <w:top w:w="0" w:type="dxa"/>
                    <w:left w:w="0" w:type="dxa"/>
                    <w:bottom w:w="0" w:type="dxa"/>
                    <w:right w:w="0" w:type="dxa"/>
                  </w:tcMar>
                  <w:vAlign w:val="center"/>
                </w:tcPr>
                <w:p w14:paraId="5F23540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28" w:type="dxa"/>
                  <w:shd w:val="clear" w:color="auto" w:fill="FFFFFF"/>
                  <w:tcMar>
                    <w:top w:w="0" w:type="dxa"/>
                    <w:left w:w="0" w:type="dxa"/>
                    <w:bottom w:w="0" w:type="dxa"/>
                    <w:right w:w="0" w:type="dxa"/>
                  </w:tcMar>
                  <w:vAlign w:val="center"/>
                </w:tcPr>
                <w:p w14:paraId="526CDBC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38" w:type="dxa"/>
                  <w:shd w:val="clear" w:color="auto" w:fill="FFFFFF"/>
                  <w:tcMar>
                    <w:top w:w="0" w:type="dxa"/>
                    <w:left w:w="0" w:type="dxa"/>
                    <w:bottom w:w="0" w:type="dxa"/>
                    <w:right w:w="0" w:type="dxa"/>
                  </w:tcMar>
                  <w:vAlign w:val="center"/>
                </w:tcPr>
                <w:p w14:paraId="2FA9964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58" w:type="dxa"/>
                  <w:shd w:val="clear" w:color="auto" w:fill="FFFFFF"/>
                  <w:tcMar>
                    <w:top w:w="0" w:type="dxa"/>
                    <w:left w:w="0" w:type="dxa"/>
                    <w:bottom w:w="0" w:type="dxa"/>
                    <w:right w:w="0" w:type="dxa"/>
                  </w:tcMar>
                  <w:vAlign w:val="center"/>
                </w:tcPr>
                <w:p w14:paraId="72E1FD6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30.8</w:t>
                  </w:r>
                </w:p>
              </w:tc>
              <w:tc>
                <w:tcPr>
                  <w:tcW w:w="458" w:type="dxa"/>
                  <w:shd w:val="clear" w:color="auto" w:fill="FFFFFF"/>
                  <w:tcMar>
                    <w:top w:w="0" w:type="dxa"/>
                    <w:left w:w="0" w:type="dxa"/>
                    <w:bottom w:w="0" w:type="dxa"/>
                    <w:right w:w="0" w:type="dxa"/>
                  </w:tcMar>
                  <w:vAlign w:val="center"/>
                </w:tcPr>
                <w:p w14:paraId="32F6AF4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30.8</w:t>
                  </w:r>
                </w:p>
              </w:tc>
              <w:tc>
                <w:tcPr>
                  <w:tcW w:w="458" w:type="dxa"/>
                  <w:shd w:val="clear" w:color="auto" w:fill="FFFFFF"/>
                  <w:tcMar>
                    <w:top w:w="0" w:type="dxa"/>
                    <w:left w:w="0" w:type="dxa"/>
                    <w:bottom w:w="0" w:type="dxa"/>
                    <w:right w:w="0" w:type="dxa"/>
                  </w:tcMar>
                  <w:vAlign w:val="center"/>
                </w:tcPr>
                <w:p w14:paraId="338BC5A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30.9</w:t>
                  </w:r>
                </w:p>
              </w:tc>
              <w:tc>
                <w:tcPr>
                  <w:tcW w:w="461" w:type="dxa"/>
                  <w:shd w:val="clear" w:color="auto" w:fill="FFFFFF"/>
                  <w:tcMar>
                    <w:top w:w="0" w:type="dxa"/>
                    <w:left w:w="0" w:type="dxa"/>
                    <w:bottom w:w="0" w:type="dxa"/>
                    <w:right w:w="0" w:type="dxa"/>
                  </w:tcMar>
                  <w:vAlign w:val="center"/>
                </w:tcPr>
                <w:p w14:paraId="6A5E82E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30.8</w:t>
                  </w:r>
                </w:p>
              </w:tc>
              <w:tc>
                <w:tcPr>
                  <w:tcW w:w="650" w:type="dxa"/>
                  <w:shd w:val="clear" w:color="auto" w:fill="FFFFFF"/>
                  <w:tcMar>
                    <w:top w:w="0" w:type="dxa"/>
                    <w:left w:w="0" w:type="dxa"/>
                    <w:bottom w:w="0" w:type="dxa"/>
                    <w:right w:w="0" w:type="dxa"/>
                  </w:tcMar>
                  <w:vAlign w:val="center"/>
                </w:tcPr>
                <w:p w14:paraId="3CBD09E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w:t>
                  </w:r>
                </w:p>
              </w:tc>
            </w:tr>
            <w:tr w14:paraId="197F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0" w:type="pct"/>
                  <w:shd w:val="clear" w:color="auto" w:fill="FFFFFF"/>
                  <w:tcMar>
                    <w:top w:w="0" w:type="dxa"/>
                    <w:left w:w="0" w:type="dxa"/>
                    <w:bottom w:w="0" w:type="dxa"/>
                    <w:right w:w="0" w:type="dxa"/>
                  </w:tcMar>
                  <w:vAlign w:val="center"/>
                </w:tcPr>
                <w:p w14:paraId="271241E7">
                  <w:pPr>
                    <w:jc w:val="center"/>
                    <w:rPr>
                      <w:rFonts w:hint="eastAsia" w:ascii="Times New Roman" w:hAnsi="Times New Roman" w:eastAsia="Arial" w:cs="Times New Roman"/>
                      <w:color w:val="auto"/>
                      <w:sz w:val="21"/>
                      <w:szCs w:val="21"/>
                      <w:lang w:val="en-US" w:eastAsia="zh-CN"/>
                    </w:rPr>
                  </w:pPr>
                  <w:r>
                    <w:rPr>
                      <w:rFonts w:hint="eastAsia" w:ascii="Times New Roman" w:hAnsi="Times New Roman" w:eastAsia="Arial" w:cs="Times New Roman"/>
                      <w:color w:val="auto"/>
                      <w:sz w:val="21"/>
                      <w:szCs w:val="21"/>
                      <w:lang w:val="en-US" w:eastAsia="zh-CN"/>
                    </w:rPr>
                    <w:t>7</w:t>
                  </w:r>
                </w:p>
              </w:tc>
              <w:tc>
                <w:tcPr>
                  <w:tcW w:w="505" w:type="dxa"/>
                  <w:shd w:val="clear" w:color="auto" w:fill="FFFFFF"/>
                  <w:tcMar>
                    <w:top w:w="0" w:type="dxa"/>
                    <w:left w:w="0" w:type="dxa"/>
                    <w:bottom w:w="0" w:type="dxa"/>
                    <w:right w:w="0" w:type="dxa"/>
                  </w:tcMar>
                  <w:vAlign w:val="center"/>
                </w:tcPr>
                <w:p w14:paraId="3816F02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生产车间</w:t>
                  </w:r>
                </w:p>
              </w:tc>
              <w:tc>
                <w:tcPr>
                  <w:tcW w:w="660" w:type="dxa"/>
                  <w:shd w:val="clear" w:color="auto" w:fill="FFFFFF"/>
                  <w:tcMar>
                    <w:top w:w="0" w:type="dxa"/>
                    <w:left w:w="0" w:type="dxa"/>
                    <w:bottom w:w="0" w:type="dxa"/>
                    <w:right w:w="0" w:type="dxa"/>
                  </w:tcMar>
                  <w:vAlign w:val="center"/>
                </w:tcPr>
                <w:p w14:paraId="690FA57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气泵,2台（按点声源组预测）</w:t>
                  </w:r>
                </w:p>
              </w:tc>
              <w:tc>
                <w:tcPr>
                  <w:tcW w:w="605" w:type="dxa"/>
                  <w:shd w:val="clear" w:color="auto" w:fill="FFFFFF"/>
                  <w:tcMar>
                    <w:top w:w="0" w:type="dxa"/>
                    <w:left w:w="0" w:type="dxa"/>
                    <w:bottom w:w="0" w:type="dxa"/>
                    <w:right w:w="0" w:type="dxa"/>
                  </w:tcMar>
                  <w:vAlign w:val="center"/>
                </w:tcPr>
                <w:p w14:paraId="60513D1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80（等效后：83.0)</w:t>
                  </w:r>
                </w:p>
              </w:tc>
              <w:tc>
                <w:tcPr>
                  <w:tcW w:w="495" w:type="dxa"/>
                  <w:shd w:val="clear" w:color="auto" w:fill="FFFFFF"/>
                  <w:tcMar>
                    <w:top w:w="0" w:type="dxa"/>
                    <w:left w:w="0" w:type="dxa"/>
                    <w:bottom w:w="0" w:type="dxa"/>
                    <w:right w:w="0" w:type="dxa"/>
                  </w:tcMar>
                  <w:vAlign w:val="center"/>
                </w:tcPr>
                <w:p w14:paraId="4E17616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厂房隔声、减振、消声</w:t>
                  </w:r>
                </w:p>
              </w:tc>
              <w:tc>
                <w:tcPr>
                  <w:tcW w:w="546" w:type="dxa"/>
                  <w:shd w:val="clear" w:color="auto" w:fill="FFFFFF"/>
                  <w:tcMar>
                    <w:top w:w="0" w:type="dxa"/>
                    <w:left w:w="0" w:type="dxa"/>
                    <w:bottom w:w="0" w:type="dxa"/>
                    <w:right w:w="0" w:type="dxa"/>
                  </w:tcMar>
                  <w:vAlign w:val="center"/>
                </w:tcPr>
                <w:p w14:paraId="7BDE409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2.8</w:t>
                  </w:r>
                </w:p>
              </w:tc>
              <w:tc>
                <w:tcPr>
                  <w:tcW w:w="546" w:type="dxa"/>
                  <w:shd w:val="clear" w:color="auto" w:fill="FFFFFF"/>
                  <w:tcMar>
                    <w:top w:w="0" w:type="dxa"/>
                    <w:left w:w="0" w:type="dxa"/>
                    <w:bottom w:w="0" w:type="dxa"/>
                    <w:right w:w="0" w:type="dxa"/>
                  </w:tcMar>
                  <w:vAlign w:val="center"/>
                </w:tcPr>
                <w:p w14:paraId="0B8C086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-18</w:t>
                  </w:r>
                </w:p>
              </w:tc>
              <w:tc>
                <w:tcPr>
                  <w:tcW w:w="553" w:type="dxa"/>
                  <w:shd w:val="clear" w:color="auto" w:fill="FFFFFF"/>
                  <w:tcMar>
                    <w:top w:w="0" w:type="dxa"/>
                    <w:left w:w="0" w:type="dxa"/>
                    <w:bottom w:w="0" w:type="dxa"/>
                    <w:right w:w="0" w:type="dxa"/>
                  </w:tcMar>
                  <w:vAlign w:val="center"/>
                </w:tcPr>
                <w:p w14:paraId="091A498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450" w:type="dxa"/>
                  <w:shd w:val="clear" w:color="auto" w:fill="FFFFFF"/>
                  <w:tcMar>
                    <w:top w:w="0" w:type="dxa"/>
                    <w:left w:w="0" w:type="dxa"/>
                    <w:bottom w:w="0" w:type="dxa"/>
                    <w:right w:w="0" w:type="dxa"/>
                  </w:tcMar>
                  <w:vAlign w:val="center"/>
                </w:tcPr>
                <w:p w14:paraId="4753C24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13.0</w:t>
                  </w:r>
                </w:p>
              </w:tc>
              <w:tc>
                <w:tcPr>
                  <w:tcW w:w="450" w:type="dxa"/>
                  <w:shd w:val="clear" w:color="auto" w:fill="FFFFFF"/>
                  <w:tcMar>
                    <w:top w:w="0" w:type="dxa"/>
                    <w:left w:w="0" w:type="dxa"/>
                    <w:bottom w:w="0" w:type="dxa"/>
                    <w:right w:w="0" w:type="dxa"/>
                  </w:tcMar>
                  <w:vAlign w:val="center"/>
                </w:tcPr>
                <w:p w14:paraId="1D86235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20.4</w:t>
                  </w:r>
                </w:p>
              </w:tc>
              <w:tc>
                <w:tcPr>
                  <w:tcW w:w="450" w:type="dxa"/>
                  <w:shd w:val="clear" w:color="auto" w:fill="FFFFFF"/>
                  <w:tcMar>
                    <w:top w:w="0" w:type="dxa"/>
                    <w:left w:w="0" w:type="dxa"/>
                    <w:bottom w:w="0" w:type="dxa"/>
                    <w:right w:w="0" w:type="dxa"/>
                  </w:tcMar>
                  <w:vAlign w:val="center"/>
                </w:tcPr>
                <w:p w14:paraId="61BF6AF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13.7</w:t>
                  </w:r>
                </w:p>
              </w:tc>
              <w:tc>
                <w:tcPr>
                  <w:tcW w:w="460" w:type="dxa"/>
                  <w:shd w:val="clear" w:color="auto" w:fill="FFFFFF"/>
                  <w:tcMar>
                    <w:top w:w="0" w:type="dxa"/>
                    <w:left w:w="0" w:type="dxa"/>
                    <w:bottom w:w="0" w:type="dxa"/>
                    <w:right w:w="0" w:type="dxa"/>
                  </w:tcMar>
                  <w:vAlign w:val="center"/>
                </w:tcPr>
                <w:p w14:paraId="0EF4B1B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57.2</w:t>
                  </w:r>
                </w:p>
              </w:tc>
              <w:tc>
                <w:tcPr>
                  <w:tcW w:w="445" w:type="dxa"/>
                  <w:shd w:val="clear" w:color="auto" w:fill="FFFFFF"/>
                  <w:tcMar>
                    <w:top w:w="0" w:type="dxa"/>
                    <w:left w:w="0" w:type="dxa"/>
                    <w:bottom w:w="0" w:type="dxa"/>
                    <w:right w:w="0" w:type="dxa"/>
                  </w:tcMar>
                  <w:vAlign w:val="center"/>
                </w:tcPr>
                <w:p w14:paraId="009FC0F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67.9</w:t>
                  </w:r>
                </w:p>
              </w:tc>
              <w:tc>
                <w:tcPr>
                  <w:tcW w:w="445" w:type="dxa"/>
                  <w:shd w:val="clear" w:color="auto" w:fill="FFFFFF"/>
                  <w:tcMar>
                    <w:top w:w="0" w:type="dxa"/>
                    <w:left w:w="0" w:type="dxa"/>
                    <w:bottom w:w="0" w:type="dxa"/>
                    <w:right w:w="0" w:type="dxa"/>
                  </w:tcMar>
                  <w:vAlign w:val="center"/>
                </w:tcPr>
                <w:p w14:paraId="3449AF32">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67.8</w:t>
                  </w:r>
                </w:p>
              </w:tc>
              <w:tc>
                <w:tcPr>
                  <w:tcW w:w="445" w:type="dxa"/>
                  <w:shd w:val="clear" w:color="auto" w:fill="FFFFFF"/>
                  <w:tcMar>
                    <w:top w:w="0" w:type="dxa"/>
                    <w:left w:w="0" w:type="dxa"/>
                    <w:bottom w:w="0" w:type="dxa"/>
                    <w:right w:w="0" w:type="dxa"/>
                  </w:tcMar>
                  <w:vAlign w:val="center"/>
                </w:tcPr>
                <w:p w14:paraId="03F0C67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67.8</w:t>
                  </w:r>
                </w:p>
              </w:tc>
              <w:tc>
                <w:tcPr>
                  <w:tcW w:w="450" w:type="dxa"/>
                  <w:shd w:val="clear" w:color="auto" w:fill="FFFFFF"/>
                  <w:tcMar>
                    <w:top w:w="0" w:type="dxa"/>
                    <w:left w:w="0" w:type="dxa"/>
                    <w:bottom w:w="0" w:type="dxa"/>
                    <w:right w:w="0" w:type="dxa"/>
                  </w:tcMar>
                  <w:vAlign w:val="center"/>
                </w:tcPr>
                <w:p w14:paraId="155F0A1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67.8</w:t>
                  </w:r>
                </w:p>
              </w:tc>
              <w:tc>
                <w:tcPr>
                  <w:tcW w:w="427" w:type="dxa"/>
                  <w:shd w:val="clear" w:color="auto" w:fill="FFFFFF"/>
                  <w:tcMar>
                    <w:top w:w="0" w:type="dxa"/>
                    <w:left w:w="0" w:type="dxa"/>
                    <w:bottom w:w="0" w:type="dxa"/>
                    <w:right w:w="0" w:type="dxa"/>
                  </w:tcMar>
                  <w:vAlign w:val="center"/>
                </w:tcPr>
                <w:p w14:paraId="0B08850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24.0</w:t>
                  </w:r>
                </w:p>
              </w:tc>
              <w:tc>
                <w:tcPr>
                  <w:tcW w:w="427" w:type="dxa"/>
                  <w:shd w:val="clear" w:color="auto" w:fill="FFFFFF"/>
                  <w:tcMar>
                    <w:top w:w="0" w:type="dxa"/>
                    <w:left w:w="0" w:type="dxa"/>
                    <w:bottom w:w="0" w:type="dxa"/>
                    <w:right w:w="0" w:type="dxa"/>
                  </w:tcMar>
                  <w:vAlign w:val="center"/>
                </w:tcPr>
                <w:p w14:paraId="0C0A6BB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27" w:type="dxa"/>
                  <w:shd w:val="clear" w:color="auto" w:fill="FFFFFF"/>
                  <w:tcMar>
                    <w:top w:w="0" w:type="dxa"/>
                    <w:left w:w="0" w:type="dxa"/>
                    <w:bottom w:w="0" w:type="dxa"/>
                    <w:right w:w="0" w:type="dxa"/>
                  </w:tcMar>
                  <w:vAlign w:val="center"/>
                </w:tcPr>
                <w:p w14:paraId="1D679B5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28" w:type="dxa"/>
                  <w:shd w:val="clear" w:color="auto" w:fill="FFFFFF"/>
                  <w:tcMar>
                    <w:top w:w="0" w:type="dxa"/>
                    <w:left w:w="0" w:type="dxa"/>
                    <w:bottom w:w="0" w:type="dxa"/>
                    <w:right w:w="0" w:type="dxa"/>
                  </w:tcMar>
                  <w:vAlign w:val="center"/>
                </w:tcPr>
                <w:p w14:paraId="01E5893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38" w:type="dxa"/>
                  <w:shd w:val="clear" w:color="auto" w:fill="FFFFFF"/>
                  <w:tcMar>
                    <w:top w:w="0" w:type="dxa"/>
                    <w:left w:w="0" w:type="dxa"/>
                    <w:bottom w:w="0" w:type="dxa"/>
                    <w:right w:w="0" w:type="dxa"/>
                  </w:tcMar>
                  <w:vAlign w:val="center"/>
                </w:tcPr>
                <w:p w14:paraId="132A6E5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458" w:type="dxa"/>
                  <w:shd w:val="clear" w:color="auto" w:fill="FFFFFF"/>
                  <w:tcMar>
                    <w:top w:w="0" w:type="dxa"/>
                    <w:left w:w="0" w:type="dxa"/>
                    <w:bottom w:w="0" w:type="dxa"/>
                    <w:right w:w="0" w:type="dxa"/>
                  </w:tcMar>
                  <w:vAlign w:val="center"/>
                </w:tcPr>
                <w:p w14:paraId="1CE5B99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36.9</w:t>
                  </w:r>
                </w:p>
              </w:tc>
              <w:tc>
                <w:tcPr>
                  <w:tcW w:w="458" w:type="dxa"/>
                  <w:shd w:val="clear" w:color="auto" w:fill="FFFFFF"/>
                  <w:tcMar>
                    <w:top w:w="0" w:type="dxa"/>
                    <w:left w:w="0" w:type="dxa"/>
                    <w:bottom w:w="0" w:type="dxa"/>
                    <w:right w:w="0" w:type="dxa"/>
                  </w:tcMar>
                  <w:vAlign w:val="center"/>
                </w:tcPr>
                <w:p w14:paraId="79CE2532">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36.8</w:t>
                  </w:r>
                </w:p>
              </w:tc>
              <w:tc>
                <w:tcPr>
                  <w:tcW w:w="458" w:type="dxa"/>
                  <w:shd w:val="clear" w:color="auto" w:fill="FFFFFF"/>
                  <w:tcMar>
                    <w:top w:w="0" w:type="dxa"/>
                    <w:left w:w="0" w:type="dxa"/>
                    <w:bottom w:w="0" w:type="dxa"/>
                    <w:right w:w="0" w:type="dxa"/>
                  </w:tcMar>
                  <w:vAlign w:val="center"/>
                </w:tcPr>
                <w:p w14:paraId="3A9D979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36.8</w:t>
                  </w:r>
                </w:p>
              </w:tc>
              <w:tc>
                <w:tcPr>
                  <w:tcW w:w="461" w:type="dxa"/>
                  <w:shd w:val="clear" w:color="auto" w:fill="FFFFFF"/>
                  <w:tcMar>
                    <w:top w:w="0" w:type="dxa"/>
                    <w:left w:w="0" w:type="dxa"/>
                    <w:bottom w:w="0" w:type="dxa"/>
                    <w:right w:w="0" w:type="dxa"/>
                  </w:tcMar>
                  <w:vAlign w:val="center"/>
                </w:tcPr>
                <w:p w14:paraId="3670AD2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36.8</w:t>
                  </w:r>
                </w:p>
              </w:tc>
              <w:tc>
                <w:tcPr>
                  <w:tcW w:w="650" w:type="dxa"/>
                  <w:shd w:val="clear" w:color="auto" w:fill="FFFFFF"/>
                  <w:tcMar>
                    <w:top w:w="0" w:type="dxa"/>
                    <w:left w:w="0" w:type="dxa"/>
                    <w:bottom w:w="0" w:type="dxa"/>
                    <w:right w:w="0" w:type="dxa"/>
                  </w:tcMar>
                  <w:vAlign w:val="center"/>
                </w:tcPr>
                <w:p w14:paraId="5A63FD8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w:t>
                  </w:r>
                </w:p>
              </w:tc>
            </w:tr>
            <w:bookmarkEnd w:id="3"/>
          </w:tbl>
          <w:p w14:paraId="2AFFB6C7">
            <w:pPr>
              <w:pStyle w:val="83"/>
              <w:ind w:left="0" w:leftChars="0" w:firstLine="0" w:firstLineChars="0"/>
              <w:rPr>
                <w:rFonts w:hint="default" w:ascii="Times New Roman" w:hAnsi="Times New Roman" w:cs="Times New Roman"/>
                <w:color w:val="000000" w:themeColor="text1"/>
                <w14:textFill>
                  <w14:solidFill>
                    <w14:schemeClr w14:val="tx1"/>
                  </w14:solidFill>
                </w14:textFill>
              </w:rPr>
            </w:pPr>
          </w:p>
        </w:tc>
      </w:tr>
    </w:tbl>
    <w:p w14:paraId="0A28776F">
      <w:pPr>
        <w:pStyle w:val="25"/>
        <w:ind w:left="0" w:leftChars="0" w:firstLine="0" w:firstLineChars="0"/>
      </w:pPr>
    </w:p>
    <w:p w14:paraId="7B1A96B2">
      <w:pPr>
        <w:sectPr>
          <w:pgSz w:w="16840" w:h="11915" w:orient="landscape"/>
          <w:pgMar w:top="1531" w:right="1702" w:bottom="1531" w:left="2127" w:header="851" w:footer="851" w:gutter="0"/>
          <w:cols w:space="425" w:num="1"/>
          <w:docGrid w:type="lines" w:linePitch="312" w:charSpace="0"/>
        </w:sectPr>
      </w:pPr>
    </w:p>
    <w:tbl>
      <w:tblPr>
        <w:tblStyle w:val="37"/>
        <w:tblW w:w="89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5"/>
        <w:gridCol w:w="8645"/>
      </w:tblGrid>
      <w:tr w14:paraId="4C2B49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63" w:hRule="atLeast"/>
          <w:jc w:val="center"/>
        </w:trPr>
        <w:tc>
          <w:tcPr>
            <w:tcW w:w="295" w:type="dxa"/>
            <w:tcBorders>
              <w:top w:val="single" w:color="auto" w:sz="8" w:space="0"/>
              <w:left w:val="single" w:color="auto" w:sz="8" w:space="0"/>
              <w:right w:val="single" w:color="auto" w:sz="4" w:space="0"/>
            </w:tcBorders>
            <w:shd w:val="clear" w:color="auto" w:fill="auto"/>
            <w:tcMar>
              <w:left w:w="28" w:type="dxa"/>
              <w:right w:w="28" w:type="dxa"/>
            </w:tcMar>
            <w:vAlign w:val="center"/>
          </w:tcPr>
          <w:p w14:paraId="0A641BB9">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运营</w:t>
            </w:r>
          </w:p>
          <w:p w14:paraId="419DCFDA">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期环</w:t>
            </w:r>
          </w:p>
          <w:p w14:paraId="6FC3829D">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境影</w:t>
            </w:r>
          </w:p>
          <w:p w14:paraId="583B3F66">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响和</w:t>
            </w:r>
          </w:p>
          <w:p w14:paraId="64C84242">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保护</w:t>
            </w:r>
          </w:p>
          <w:p w14:paraId="7F5AD59E">
            <w:pPr>
              <w:pStyle w:val="27"/>
              <w:adjustRightInd w:val="0"/>
              <w:snapToGrid w:val="0"/>
              <w:spacing w:beforeAutospacing="0" w:afterAutospacing="0"/>
              <w:jc w:val="center"/>
              <w:rPr>
                <w:rFonts w:hint="default" w:ascii="Times New Roman" w:hAnsi="Times New Roman"/>
                <w:color w:val="000000" w:themeColor="text1"/>
                <w:kern w:val="2"/>
                <w:szCs w:val="24"/>
                <w14:textFill>
                  <w14:solidFill>
                    <w14:schemeClr w14:val="tx1"/>
                  </w14:solidFill>
                </w14:textFill>
              </w:rPr>
            </w:pPr>
            <w:r>
              <w:rPr>
                <w:rFonts w:hint="default" w:ascii="Times New Roman" w:hAnsi="Times New Roman"/>
                <w:bCs/>
                <w:color w:val="000000" w:themeColor="text1"/>
                <w:szCs w:val="24"/>
                <w:lang w:bidi="ar"/>
                <w14:textFill>
                  <w14:solidFill>
                    <w14:schemeClr w14:val="tx1"/>
                  </w14:solidFill>
                </w14:textFill>
              </w:rPr>
              <w:t>措施</w:t>
            </w:r>
          </w:p>
        </w:tc>
        <w:tc>
          <w:tcPr>
            <w:tcW w:w="8645" w:type="dxa"/>
            <w:tcBorders>
              <w:top w:val="single" w:color="auto" w:sz="8" w:space="0"/>
              <w:left w:val="single" w:color="auto" w:sz="4" w:space="0"/>
              <w:bottom w:val="single" w:color="auto" w:sz="4" w:space="0"/>
              <w:right w:val="single" w:color="auto" w:sz="8" w:space="0"/>
            </w:tcBorders>
            <w:shd w:val="clear" w:color="auto" w:fill="auto"/>
          </w:tcPr>
          <w:p w14:paraId="67061D80">
            <w:pPr>
              <w:pStyle w:val="113"/>
              <w:rPr>
                <w:rFonts w:ascii="Times New Roman" w:hAnsi="Times New Roman" w:cs="Times New Roman"/>
                <w:color w:val="000000" w:themeColor="text1"/>
                <w:sz w:val="24"/>
                <w:szCs w:val="24"/>
                <w14:textFill>
                  <w14:solidFill>
                    <w14:schemeClr w14:val="tx1"/>
                  </w14:solidFill>
                </w14:textFill>
              </w:rPr>
            </w:pPr>
          </w:p>
          <w:p w14:paraId="138C4626">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为使最大程度降低企业生产噪声对周围声环境的影响，本评价提出以下噪声防治措施：</w:t>
            </w:r>
          </w:p>
          <w:p w14:paraId="5823D115">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①企业在</w:t>
            </w:r>
            <w:r>
              <w:rPr>
                <w:rFonts w:hint="eastAsia" w:ascii="Times New Roman" w:hAnsi="Times New Roman" w:eastAsia="宋体" w:cs="Times New Roman"/>
                <w:kern w:val="0"/>
                <w:sz w:val="24"/>
                <w:szCs w:val="21"/>
                <w:lang w:eastAsia="zh-CN"/>
              </w:rPr>
              <w:t>设计</w:t>
            </w:r>
            <w:r>
              <w:rPr>
                <w:rFonts w:hint="eastAsia" w:ascii="Times New Roman" w:hAnsi="Times New Roman" w:eastAsia="宋体" w:cs="Times New Roman"/>
                <w:kern w:val="0"/>
                <w:sz w:val="24"/>
                <w:szCs w:val="21"/>
              </w:rPr>
              <w:t>、采购设备时，选用先进的低噪声设备；</w:t>
            </w:r>
          </w:p>
          <w:p w14:paraId="7DE60E63">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②合理布置设备位置，设备做好基础减振处理，安装减振垫；</w:t>
            </w:r>
          </w:p>
          <w:p w14:paraId="259CD14D">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③对风机底座采用减振基础，柔性连接，风机单独设置隔音房等；</w:t>
            </w:r>
          </w:p>
          <w:p w14:paraId="69B92782">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④建设单位应加强设备日常检修和维护，以保证各设备正常运转，以免由于设备故障原因产生较大噪声；</w:t>
            </w:r>
          </w:p>
          <w:p w14:paraId="34DAFA00">
            <w:pPr>
              <w:adjustRightInd w:val="0"/>
              <w:snapToGrid w:val="0"/>
              <w:spacing w:line="360" w:lineRule="auto"/>
              <w:ind w:firstLine="480" w:firstLineChars="200"/>
              <w:jc w:val="left"/>
              <w:rPr>
                <w:rFonts w:hint="eastAsia" w:ascii="Times New Roman" w:hAnsi="Times New Roman" w:eastAsia="宋体" w:cs="Times New Roman"/>
                <w:b/>
                <w:color w:val="000000" w:themeColor="text1"/>
                <w:sz w:val="24"/>
                <w:lang w:eastAsia="zh-CN"/>
                <w14:textFill>
                  <w14:solidFill>
                    <w14:schemeClr w14:val="tx1"/>
                  </w14:solidFill>
                </w14:textFill>
              </w:rPr>
            </w:pPr>
            <w:r>
              <w:rPr>
                <w:rFonts w:hint="eastAsia" w:ascii="Times New Roman" w:hAnsi="Times New Roman" w:eastAsia="宋体" w:cs="Times New Roman"/>
                <w:kern w:val="0"/>
                <w:sz w:val="24"/>
                <w:szCs w:val="21"/>
              </w:rPr>
              <w:t>⑤要求企业在生产时尽量执行关门、窗作业，并严格控制生产时间，确保夜间不组织生产</w:t>
            </w:r>
            <w:r>
              <w:rPr>
                <w:rFonts w:hint="eastAsia" w:ascii="Times New Roman" w:hAnsi="Times New Roman" w:eastAsia="宋体" w:cs="Times New Roman"/>
                <w:kern w:val="0"/>
                <w:sz w:val="24"/>
                <w:szCs w:val="21"/>
                <w:lang w:eastAsia="zh-CN"/>
              </w:rPr>
              <w:t>。</w:t>
            </w:r>
          </w:p>
          <w:p w14:paraId="198A5B33">
            <w:pPr>
              <w:adjustRightInd w:val="0"/>
              <w:snapToGrid w:val="0"/>
              <w:spacing w:line="360" w:lineRule="auto"/>
              <w:ind w:firstLine="482" w:firstLineChars="200"/>
              <w:jc w:val="left"/>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2、预测模式</w:t>
            </w:r>
          </w:p>
          <w:p w14:paraId="73D08631">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）室内声源</w:t>
            </w:r>
            <w:r>
              <w:rPr>
                <w:rFonts w:hint="eastAsia" w:ascii="Times New Roman" w:hAnsi="Times New Roman" w:cs="Times New Roman"/>
                <w:color w:val="000000" w:themeColor="text1"/>
                <w:sz w:val="24"/>
                <w14:textFill>
                  <w14:solidFill>
                    <w14:schemeClr w14:val="tx1"/>
                  </w14:solidFill>
                </w14:textFill>
              </w:rPr>
              <w:t>等效室外声功率级计算方法</w:t>
            </w:r>
          </w:p>
          <w:p w14:paraId="4BD0AD93">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声源位于室内，室内声源可采用等效室外声功率级法进行计算。</w:t>
            </w:r>
          </w:p>
          <w:p w14:paraId="1AACA206">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①首先计算出某</w:t>
            </w:r>
            <w:r>
              <w:rPr>
                <w:rFonts w:hint="eastAsia" w:ascii="Times New Roman" w:hAnsi="Times New Roman" w:cs="Times New Roman"/>
                <w:color w:val="000000" w:themeColor="text1"/>
                <w:sz w:val="24"/>
                <w14:textFill>
                  <w14:solidFill>
                    <w14:schemeClr w14:val="tx1"/>
                  </w14:solidFill>
                </w14:textFill>
              </w:rPr>
              <w:t>一</w:t>
            </w:r>
            <w:r>
              <w:rPr>
                <w:rFonts w:ascii="Times New Roman" w:hAnsi="Times New Roman" w:cs="Times New Roman"/>
                <w:color w:val="000000" w:themeColor="text1"/>
                <w:sz w:val="24"/>
                <w14:textFill>
                  <w14:solidFill>
                    <w14:schemeClr w14:val="tx1"/>
                  </w14:solidFill>
                </w14:textFill>
              </w:rPr>
              <w:t>室内声源靠近围护结构处的倍频带声压级</w:t>
            </w:r>
            <w:r>
              <w:rPr>
                <w:rFonts w:hint="eastAsia" w:ascii="Times New Roman" w:hAnsi="Times New Roman" w:cs="Times New Roman"/>
                <w:color w:val="000000" w:themeColor="text1"/>
                <w:sz w:val="24"/>
                <w14:textFill>
                  <w14:solidFill>
                    <w14:schemeClr w14:val="tx1"/>
                  </w14:solidFill>
                </w14:textFill>
              </w:rPr>
              <w:t>或A声级</w:t>
            </w:r>
            <w:r>
              <w:rPr>
                <w:rFonts w:ascii="Times New Roman" w:hAnsi="Times New Roman" w:cs="Times New Roman"/>
                <w:color w:val="000000" w:themeColor="text1"/>
                <w:sz w:val="24"/>
                <w14:textFill>
                  <w14:solidFill>
                    <w14:schemeClr w14:val="tx1"/>
                  </w14:solidFill>
                </w14:textFill>
              </w:rPr>
              <w:t>：</w:t>
            </w:r>
          </w:p>
          <w:p w14:paraId="0B90349A">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2"/>
                <w:sz w:val="24"/>
                <w14:textFill>
                  <w14:solidFill>
                    <w14:schemeClr w14:val="tx1"/>
                  </w14:solidFill>
                </w14:textFill>
              </w:rPr>
              <w:object>
                <v:shape id="_x0000_i1027" o:spt="75" type="#_x0000_t75" style="height:35pt;width:130.5pt;" o:ole="t" filled="f" coordsize="21600,21600">
                  <v:path/>
                  <v:fill on="f" focussize="0,0"/>
                  <v:stroke/>
                  <v:imagedata r:id="rId12" o:title=""/>
                  <o:lock v:ext="edit" aspectratio="t"/>
                  <w10:wrap type="none"/>
                  <w10:anchorlock/>
                </v:shape>
                <o:OLEObject Type="Embed" ProgID="Equation.3" ShapeID="_x0000_i1027" DrawAspect="Content" ObjectID="_1468075727" r:id="rId11">
                  <o:LockedField>false</o:LockedField>
                </o:OLEObject>
              </w:object>
            </w:r>
          </w:p>
          <w:p w14:paraId="30C41510">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1</w:t>
            </w:r>
            <w:r>
              <w:rPr>
                <w:rFonts w:hint="eastAsia" w:ascii="Times New Roman" w:hAnsi="Times New Roman" w:cs="Times New Roman"/>
                <w:color w:val="000000" w:themeColor="text1"/>
                <w:sz w:val="24"/>
                <w14:textFill>
                  <w14:solidFill>
                    <w14:schemeClr w14:val="tx1"/>
                  </w14:solidFill>
                </w14:textFill>
              </w:rPr>
              <w:t>--靠近开口处（或窗户）室内某倍频带的声压级或A声级，dB；</w:t>
            </w:r>
          </w:p>
          <w:p w14:paraId="0D2A8FE3">
            <w:pPr>
              <w:adjustRightInd w:val="0"/>
              <w:snapToGrid w:val="0"/>
              <w:spacing w:line="360" w:lineRule="auto"/>
              <w:ind w:firstLine="1200" w:firstLineChars="5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w:t>
            </w:r>
            <w:r>
              <w:rPr>
                <w:rFonts w:hint="eastAsia" w:ascii="Times New Roman" w:hAnsi="Times New Roman" w:cs="Times New Roman"/>
                <w:color w:val="000000" w:themeColor="text1"/>
                <w:sz w:val="24"/>
                <w14:textFill>
                  <w14:solidFill>
                    <w14:schemeClr w14:val="tx1"/>
                  </w14:solidFill>
                </w14:textFill>
              </w:rPr>
              <w:t>--点声源声功率级（A计权或倍频带），dB；</w:t>
            </w:r>
          </w:p>
          <w:p w14:paraId="15C02B7E">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Q--指向性因数；通常对无指向性声源，当声源放在房间中心时，Q=1；当放在一面墙的中心时，Q=2；当放在两面墙夹角处时，Q=4；当放在三面墙夹角处时，Q=8；</w:t>
            </w:r>
          </w:p>
          <w:p w14:paraId="65DA68A8">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R</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房间常数</w:t>
            </w:r>
            <w:r>
              <w:rPr>
                <w:rFonts w:hint="eastAsia" w:ascii="Times New Roman" w:hAnsi="Times New Roman" w:cs="Times New Roman"/>
                <w:color w:val="000000" w:themeColor="text1"/>
                <w:sz w:val="24"/>
                <w14:textFill>
                  <w14:solidFill>
                    <w14:schemeClr w14:val="tx1"/>
                  </w14:solidFill>
                </w14:textFill>
              </w:rPr>
              <w:t>；R=Sα/（1-α），S为房间内表面面积，m</w:t>
            </w:r>
            <w:r>
              <w:rPr>
                <w:rFonts w:hint="eastAsia" w:ascii="Times New Roman" w:hAnsi="Times New Roman" w:cs="Times New Roman"/>
                <w:color w:val="000000" w:themeColor="text1"/>
                <w:sz w:val="24"/>
                <w:vertAlign w:val="superscript"/>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；α为平均吸声系数；</w:t>
            </w:r>
          </w:p>
          <w:p w14:paraId="1D8255F2">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r--声源到靠近围护结构某点处的距离，m</w:t>
            </w:r>
            <w:r>
              <w:rPr>
                <w:rFonts w:ascii="Times New Roman" w:hAnsi="Times New Roman" w:cs="Times New Roman"/>
                <w:color w:val="000000" w:themeColor="text1"/>
                <w:sz w:val="24"/>
                <w14:textFill>
                  <w14:solidFill>
                    <w14:schemeClr w14:val="tx1"/>
                  </w14:solidFill>
                </w14:textFill>
              </w:rPr>
              <w:t>。</w:t>
            </w:r>
          </w:p>
          <w:p w14:paraId="7F0C6BE2">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②计算出所有室内声源的靠近围护结构处产生的</w:t>
            </w:r>
            <w:r>
              <w:rPr>
                <w:rFonts w:hint="eastAsia" w:ascii="Times New Roman" w:hAnsi="Times New Roman" w:cs="Times New Roman"/>
                <w:color w:val="000000" w:themeColor="text1"/>
                <w:sz w:val="24"/>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倍频带</w:t>
            </w:r>
            <w:r>
              <w:rPr>
                <w:rFonts w:hint="eastAsia" w:ascii="Times New Roman" w:hAnsi="Times New Roman" w:cs="Times New Roman"/>
                <w:color w:val="000000" w:themeColor="text1"/>
                <w:sz w:val="24"/>
                <w14:textFill>
                  <w14:solidFill>
                    <w14:schemeClr w14:val="tx1"/>
                  </w14:solidFill>
                </w14:textFill>
              </w:rPr>
              <w:t>叠加</w:t>
            </w:r>
            <w:r>
              <w:rPr>
                <w:rFonts w:ascii="Times New Roman" w:hAnsi="Times New Roman" w:cs="Times New Roman"/>
                <w:color w:val="000000" w:themeColor="text1"/>
                <w:sz w:val="24"/>
                <w14:textFill>
                  <w14:solidFill>
                    <w14:schemeClr w14:val="tx1"/>
                  </w14:solidFill>
                </w14:textFill>
              </w:rPr>
              <w:t>声压级：</w:t>
            </w:r>
          </w:p>
          <w:p w14:paraId="585C43C6">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0"/>
                <w:sz w:val="24"/>
                <w14:textFill>
                  <w14:solidFill>
                    <w14:schemeClr w14:val="tx1"/>
                  </w14:solidFill>
                </w14:textFill>
              </w:rPr>
              <w:object>
                <v:shape id="_x0000_i1028" o:spt="75" type="#_x0000_t75" style="height:35pt;width:127.5pt;" o:ole="t" filled="f" coordsize="21600,21600">
                  <v:path/>
                  <v:fill on="f" focussize="0,0"/>
                  <v:stroke/>
                  <v:imagedata r:id="rId14" o:title=""/>
                  <o:lock v:ext="edit" aspectratio="t"/>
                  <w10:wrap type="none"/>
                  <w10:anchorlock/>
                </v:shape>
                <o:OLEObject Type="Embed" ProgID="Equation.3" ShapeID="_x0000_i1028" DrawAspect="Content" ObjectID="_1468075728" r:id="rId13">
                  <o:LockedField>false</o:LockedField>
                </o:OLEObject>
              </w:object>
            </w:r>
          </w:p>
          <w:p w14:paraId="6A7E9D3F">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为靠近围护结构处室内N个声源i倍频带的叠加声压级，dB；</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p1ij</w:t>
            </w:r>
            <w:r>
              <w:rPr>
                <w:rFonts w:hint="eastAsia" w:ascii="Times New Roman" w:hAnsi="Times New Roman" w:cs="Times New Roman"/>
                <w:color w:val="000000" w:themeColor="text1"/>
                <w:sz w:val="24"/>
                <w14:textFill>
                  <w14:solidFill>
                    <w14:schemeClr w14:val="tx1"/>
                  </w14:solidFill>
                </w14:textFill>
              </w:rPr>
              <w:t>为室内j声源i倍频带的声压级，dB；N为室内声源总数。</w:t>
            </w:r>
          </w:p>
          <w:p w14:paraId="7DF8ED02">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③计算出靠近室外围护结构处的声压级：</w:t>
            </w:r>
          </w:p>
          <w:p w14:paraId="02BE922A">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p2i</w:t>
            </w:r>
            <w:r>
              <w:rPr>
                <w:rFonts w:ascii="Times New Roman" w:hAnsi="Times New Roman" w:cs="Times New Roman"/>
                <w:color w:val="000000" w:themeColor="text1"/>
                <w:sz w:val="24"/>
                <w14:textFill>
                  <w14:solidFill>
                    <w14:schemeClr w14:val="tx1"/>
                  </w14:solidFill>
                </w14:textFill>
              </w:rPr>
              <w:t>（T）=L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（T）－（TL</w:t>
            </w:r>
            <w:r>
              <w:rPr>
                <w:rFonts w:hint="eastAsia" w:ascii="Times New Roman" w:hAnsi="Times New Roman" w:cs="Times New Roman"/>
                <w:color w:val="000000" w:themeColor="text1"/>
                <w:sz w:val="24"/>
                <w:vertAlign w:val="subscript"/>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+6）</w:t>
            </w:r>
          </w:p>
          <w:p w14:paraId="78F7E150">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hint="eastAsia" w:ascii="Times New Roman" w:hAnsi="Times New Roman" w:cs="Times New Roman"/>
                <w:color w:val="000000" w:themeColor="text1"/>
                <w:sz w:val="24"/>
                <w:vertAlign w:val="subscript"/>
                <w14:textFill>
                  <w14:solidFill>
                    <w14:schemeClr w14:val="tx1"/>
                  </w14:solidFill>
                </w14:textFill>
              </w:rPr>
              <w:t>p2i</w:t>
            </w:r>
            <w:r>
              <w:rPr>
                <w:rFonts w:ascii="Times New Roman" w:hAnsi="Times New Roman" w:cs="Times New Roman"/>
                <w:color w:val="000000" w:themeColor="text1"/>
                <w:sz w:val="24"/>
                <w14:textFill>
                  <w14:solidFill>
                    <w14:schemeClr w14:val="tx1"/>
                  </w14:solidFill>
                </w14:textFill>
              </w:rPr>
              <w:t>（T）为</w:t>
            </w:r>
            <w:r>
              <w:rPr>
                <w:rFonts w:hint="eastAsia" w:ascii="Times New Roman" w:hAnsi="Times New Roman" w:cs="Times New Roman"/>
                <w:color w:val="000000" w:themeColor="text1"/>
                <w:sz w:val="24"/>
                <w14:textFill>
                  <w14:solidFill>
                    <w14:schemeClr w14:val="tx1"/>
                  </w14:solidFill>
                </w14:textFill>
              </w:rPr>
              <w:t>靠近围护结构处室外</w:t>
            </w:r>
            <w:r>
              <w:rPr>
                <w:rFonts w:ascii="Times New Roman" w:hAnsi="Times New Roman" w:cs="Times New Roman"/>
                <w:color w:val="000000" w:themeColor="text1"/>
                <w:sz w:val="24"/>
                <w14:textFill>
                  <w14:solidFill>
                    <w14:schemeClr w14:val="tx1"/>
                  </w14:solidFill>
                </w14:textFill>
              </w:rPr>
              <w:t>N</w:t>
            </w:r>
            <w:r>
              <w:rPr>
                <w:rFonts w:hint="eastAsia" w:ascii="Times New Roman" w:hAnsi="Times New Roman" w:cs="Times New Roman"/>
                <w:color w:val="000000" w:themeColor="text1"/>
                <w:sz w:val="24"/>
                <w14:textFill>
                  <w14:solidFill>
                    <w14:schemeClr w14:val="tx1"/>
                  </w14:solidFill>
                </w14:textFill>
              </w:rPr>
              <w:t>个声源</w:t>
            </w:r>
            <w:r>
              <w:rPr>
                <w:rFonts w:ascii="Times New Roman" w:hAnsi="Times New Roman" w:cs="Times New Roman"/>
                <w:color w:val="000000" w:themeColor="text1"/>
                <w:sz w:val="24"/>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倍频带的叠加声压级，</w:t>
            </w:r>
            <w:r>
              <w:rPr>
                <w:rFonts w:ascii="Times New Roman" w:hAnsi="Times New Roman" w:cs="Times New Roman"/>
                <w:color w:val="000000" w:themeColor="text1"/>
                <w:sz w:val="24"/>
                <w14:textFill>
                  <w14:solidFill>
                    <w14:schemeClr w14:val="tx1"/>
                  </w14:solidFill>
                </w14:textFill>
              </w:rPr>
              <w:t>dB</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为靠近围护结构处室内 N 个声源 i 倍频带的叠加声压级，dB；</w:t>
            </w:r>
            <w:r>
              <w:rPr>
                <w:rFonts w:ascii="Times New Roman" w:hAnsi="Times New Roman" w:cs="Times New Roman"/>
                <w:color w:val="000000" w:themeColor="text1"/>
                <w:sz w:val="24"/>
                <w14:textFill>
                  <w14:solidFill>
                    <w14:schemeClr w14:val="tx1"/>
                  </w14:solidFill>
                </w14:textFill>
              </w:rPr>
              <w:t>TL</w:t>
            </w:r>
            <w:r>
              <w:rPr>
                <w:rFonts w:hint="eastAsia" w:ascii="Times New Roman" w:hAnsi="Times New Roman" w:cs="Times New Roman"/>
                <w:color w:val="000000" w:themeColor="text1"/>
                <w:sz w:val="24"/>
                <w:vertAlign w:val="subscript"/>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为围护结构i倍频带的隔声量，dB。</w:t>
            </w:r>
          </w:p>
          <w:p w14:paraId="39E3C815">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④将室外</w:t>
            </w:r>
            <w:r>
              <w:rPr>
                <w:rFonts w:hint="eastAsia" w:ascii="Times New Roman" w:hAnsi="Times New Roman" w:cs="Times New Roman"/>
                <w:color w:val="000000" w:themeColor="text1"/>
                <w:sz w:val="24"/>
                <w14:textFill>
                  <w14:solidFill>
                    <w14:schemeClr w14:val="tx1"/>
                  </w14:solidFill>
                </w14:textFill>
              </w:rPr>
              <w:t>声源的声压级</w:t>
            </w:r>
            <w:r>
              <w:rPr>
                <w:rFonts w:ascii="Times New Roman" w:hAnsi="Times New Roman" w:cs="Times New Roman"/>
                <w:color w:val="000000" w:themeColor="text1"/>
                <w:sz w:val="24"/>
                <w14:textFill>
                  <w14:solidFill>
                    <w14:schemeClr w14:val="tx1"/>
                  </w14:solidFill>
                </w14:textFill>
              </w:rPr>
              <w:t>和透</w:t>
            </w:r>
            <w:r>
              <w:rPr>
                <w:rFonts w:hint="eastAsia" w:ascii="Times New Roman" w:hAnsi="Times New Roman" w:cs="Times New Roman"/>
                <w:color w:val="000000" w:themeColor="text1"/>
                <w:sz w:val="24"/>
                <w14:textFill>
                  <w14:solidFill>
                    <w14:schemeClr w14:val="tx1"/>
                  </w14:solidFill>
                </w14:textFill>
              </w:rPr>
              <w:t>过</w:t>
            </w:r>
            <w:r>
              <w:rPr>
                <w:rFonts w:ascii="Times New Roman" w:hAnsi="Times New Roman" w:cs="Times New Roman"/>
                <w:color w:val="000000" w:themeColor="text1"/>
                <w:sz w:val="24"/>
                <w14:textFill>
                  <w14:solidFill>
                    <w14:schemeClr w14:val="tx1"/>
                  </w14:solidFill>
                </w14:textFill>
              </w:rPr>
              <w:t>面积换算成等效的室外声源，计算出</w:t>
            </w:r>
            <w:r>
              <w:rPr>
                <w:rFonts w:hint="eastAsia" w:ascii="Times New Roman" w:hAnsi="Times New Roman" w:cs="Times New Roman"/>
                <w:color w:val="000000" w:themeColor="text1"/>
                <w:sz w:val="24"/>
                <w14:textFill>
                  <w14:solidFill>
                    <w14:schemeClr w14:val="tx1"/>
                  </w14:solidFill>
                </w14:textFill>
              </w:rPr>
              <w:t>中心位置位于透声面积S处的</w:t>
            </w:r>
            <w:r>
              <w:rPr>
                <w:rFonts w:ascii="Times New Roman" w:hAnsi="Times New Roman" w:cs="Times New Roman"/>
                <w:color w:val="000000" w:themeColor="text1"/>
                <w:sz w:val="24"/>
                <w14:textFill>
                  <w14:solidFill>
                    <w14:schemeClr w14:val="tx1"/>
                  </w14:solidFill>
                </w14:textFill>
              </w:rPr>
              <w:t>等效声源</w:t>
            </w:r>
            <w:r>
              <w:rPr>
                <w:rFonts w:hint="eastAsia" w:ascii="Times New Roman" w:hAnsi="Times New Roman" w:cs="Times New Roman"/>
                <w:color w:val="000000" w:themeColor="text1"/>
                <w:sz w:val="24"/>
                <w14:textFill>
                  <w14:solidFill>
                    <w14:schemeClr w14:val="tx1"/>
                  </w14:solidFill>
                </w14:textFill>
              </w:rPr>
              <w:t>的</w:t>
            </w:r>
            <w:r>
              <w:rPr>
                <w:rFonts w:ascii="Times New Roman" w:hAnsi="Times New Roman" w:cs="Times New Roman"/>
                <w:color w:val="000000" w:themeColor="text1"/>
                <w:sz w:val="24"/>
                <w14:textFill>
                  <w14:solidFill>
                    <w14:schemeClr w14:val="tx1"/>
                  </w14:solidFill>
                </w14:textFill>
              </w:rPr>
              <w:t>倍频带的声功率级</w:t>
            </w:r>
            <w:r>
              <w:rPr>
                <w:rFonts w:hint="eastAsia" w:ascii="Times New Roman" w:hAnsi="Times New Roman" w:cs="Times New Roman"/>
                <w:color w:val="000000" w:themeColor="text1"/>
                <w:sz w:val="24"/>
                <w14:textFill>
                  <w14:solidFill>
                    <w14:schemeClr w14:val="tx1"/>
                  </w14:solidFill>
                </w14:textFill>
              </w:rPr>
              <w:t>：</w:t>
            </w:r>
          </w:p>
          <w:p w14:paraId="3893A507">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w</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（T）+10lgS</w:t>
            </w:r>
          </w:p>
          <w:p w14:paraId="43463D2B">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ascii="Times New Roman" w:hAnsi="Times New Roman" w:cs="Times New Roman"/>
                <w:color w:val="000000" w:themeColor="text1"/>
                <w:sz w:val="24"/>
                <w:vertAlign w:val="subscript"/>
                <w14:textFill>
                  <w14:solidFill>
                    <w14:schemeClr w14:val="tx1"/>
                  </w14:solidFill>
                </w14:textFill>
              </w:rPr>
              <w:t>w</w:t>
            </w:r>
            <w:r>
              <w:rPr>
                <w:rFonts w:hint="eastAsia" w:ascii="Times New Roman" w:hAnsi="Times New Roman" w:cs="Times New Roman"/>
                <w:color w:val="000000" w:themeColor="text1"/>
                <w:sz w:val="24"/>
                <w14:textFill>
                  <w14:solidFill>
                    <w14:schemeClr w14:val="tx1"/>
                  </w14:solidFill>
                </w14:textFill>
              </w:rPr>
              <w:t>为中心位置位于透声面积（S）处的等效声源的倍频带声功率级，dB；</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为靠近围护结构处室外声源的声压级，dB；</w:t>
            </w:r>
            <w:r>
              <w:rPr>
                <w:rFonts w:ascii="Times New Roman" w:hAnsi="Times New Roman" w:cs="Times New Roman"/>
                <w:color w:val="000000" w:themeColor="text1"/>
                <w:sz w:val="24"/>
                <w14:textFill>
                  <w14:solidFill>
                    <w14:schemeClr w14:val="tx1"/>
                  </w14:solidFill>
                </w14:textFill>
              </w:rPr>
              <w:t>S为透声面积，m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14:paraId="3A0707CE">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然后按室外声源预测方法计算预测点处的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w:t>
            </w:r>
          </w:p>
          <w:p w14:paraId="1D9EEBDD">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）工业企业噪声计算</w:t>
            </w:r>
          </w:p>
          <w:p w14:paraId="04754349">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设第</w:t>
            </w:r>
            <w:r>
              <w:rPr>
                <w:rFonts w:ascii="Times New Roman" w:hAnsi="Times New Roman" w:cs="Times New Roman"/>
                <w:color w:val="000000" w:themeColor="text1"/>
                <w:sz w:val="24"/>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个室外声源在预测点产生的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声级为</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Ai</w:t>
            </w:r>
            <w:r>
              <w:rPr>
                <w:rFonts w:hint="eastAsia" w:ascii="Times New Roman" w:hAnsi="Times New Roman" w:cs="Times New Roman"/>
                <w:color w:val="000000" w:themeColor="text1"/>
                <w:sz w:val="24"/>
                <w14:textFill>
                  <w14:solidFill>
                    <w14:schemeClr w14:val="tx1"/>
                  </w14:solidFill>
                </w14:textFill>
              </w:rPr>
              <w:t>，在</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时间内该声源工作时间为</w:t>
            </w:r>
            <w:r>
              <w:rPr>
                <w:rFonts w:ascii="Times New Roman" w:hAnsi="Times New Roman" w:cs="Times New Roman"/>
                <w:color w:val="000000" w:themeColor="text1"/>
                <w:sz w:val="24"/>
                <w14:textFill>
                  <w14:solidFill>
                    <w14:schemeClr w14:val="tx1"/>
                  </w14:solidFill>
                </w14:textFill>
              </w:rPr>
              <w:t>t</w:t>
            </w:r>
            <w:r>
              <w:rPr>
                <w:rFonts w:ascii="Times New Roman" w:hAnsi="Times New Roman" w:cs="Times New Roman"/>
                <w:color w:val="000000" w:themeColor="text1"/>
                <w:sz w:val="24"/>
                <w:vertAlign w:val="subscript"/>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；第</w:t>
            </w:r>
            <w:r>
              <w:rPr>
                <w:rFonts w:ascii="Times New Roman" w:hAnsi="Times New Roman" w:cs="Times New Roman"/>
                <w:color w:val="000000" w:themeColor="text1"/>
                <w:sz w:val="24"/>
                <w14:textFill>
                  <w14:solidFill>
                    <w14:schemeClr w14:val="tx1"/>
                  </w14:solidFill>
                </w14:textFill>
              </w:rPr>
              <w:t>j</w:t>
            </w:r>
            <w:r>
              <w:rPr>
                <w:rFonts w:hint="eastAsia" w:ascii="Times New Roman" w:hAnsi="Times New Roman" w:cs="Times New Roman"/>
                <w:color w:val="000000" w:themeColor="text1"/>
                <w:sz w:val="24"/>
                <w14:textFill>
                  <w14:solidFill>
                    <w14:schemeClr w14:val="tx1"/>
                  </w14:solidFill>
                </w14:textFill>
              </w:rPr>
              <w:t>个等效室外声源在预测点产生的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声级为</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Aj</w:t>
            </w:r>
            <w:r>
              <w:rPr>
                <w:rFonts w:hint="eastAsia" w:ascii="Times New Roman" w:hAnsi="Times New Roman" w:cs="Times New Roman"/>
                <w:color w:val="000000" w:themeColor="text1"/>
                <w:sz w:val="24"/>
                <w14:textFill>
                  <w14:solidFill>
                    <w14:schemeClr w14:val="tx1"/>
                  </w14:solidFill>
                </w14:textFill>
              </w:rPr>
              <w:t>，在</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时间内该声源工作时间为</w:t>
            </w:r>
            <w:r>
              <w:rPr>
                <w:rFonts w:ascii="Times New Roman" w:hAnsi="Times New Roman" w:cs="Times New Roman"/>
                <w:color w:val="000000" w:themeColor="text1"/>
                <w:sz w:val="24"/>
                <w14:textFill>
                  <w14:solidFill>
                    <w14:schemeClr w14:val="tx1"/>
                  </w14:solidFill>
                </w14:textFill>
              </w:rPr>
              <w:t>t</w:t>
            </w:r>
            <w:r>
              <w:rPr>
                <w:rFonts w:ascii="Times New Roman" w:hAnsi="Times New Roman" w:cs="Times New Roman"/>
                <w:color w:val="000000" w:themeColor="text1"/>
                <w:sz w:val="24"/>
                <w:vertAlign w:val="subscript"/>
                <w14:textFill>
                  <w14:solidFill>
                    <w14:schemeClr w14:val="tx1"/>
                  </w14:solidFill>
                </w14:textFill>
              </w:rPr>
              <w:t>j</w:t>
            </w:r>
            <w:r>
              <w:rPr>
                <w:rFonts w:hint="eastAsia" w:ascii="Times New Roman" w:hAnsi="Times New Roman" w:cs="Times New Roman"/>
                <w:color w:val="000000" w:themeColor="text1"/>
                <w:sz w:val="24"/>
                <w14:textFill>
                  <w14:solidFill>
                    <w14:schemeClr w14:val="tx1"/>
                  </w14:solidFill>
                </w14:textFill>
              </w:rPr>
              <w:t>，则拟建工程声源对预测点产生的贡献值（</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eqg</w:t>
            </w:r>
            <w:r>
              <w:rPr>
                <w:rFonts w:hint="eastAsia" w:ascii="Times New Roman" w:hAnsi="Times New Roman" w:cs="Times New Roman"/>
                <w:color w:val="000000" w:themeColor="text1"/>
                <w:sz w:val="24"/>
                <w14:textFill>
                  <w14:solidFill>
                    <w14:schemeClr w14:val="tx1"/>
                  </w14:solidFill>
                </w14:textFill>
              </w:rPr>
              <w:t>）为：</w:t>
            </w:r>
          </w:p>
          <w:p w14:paraId="36A583B9">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0"/>
                <w:sz w:val="24"/>
                <w14:textFill>
                  <w14:solidFill>
                    <w14:schemeClr w14:val="tx1"/>
                  </w14:solidFill>
                </w14:textFill>
              </w:rPr>
              <w:object>
                <v:shape id="_x0000_i1029" o:spt="75" type="#_x0000_t75" style="height:35pt;width:198pt;" o:ole="t" filled="f" coordsize="21600,21600">
                  <v:path/>
                  <v:fill on="f" focussize="0,0"/>
                  <v:stroke/>
                  <v:imagedata r:id="rId16" o:title=""/>
                  <o:lock v:ext="edit" aspectratio="t"/>
                  <w10:wrap type="none"/>
                  <w10:anchorlock/>
                </v:shape>
                <o:OLEObject Type="Embed" ProgID="Equation.3" ShapeID="_x0000_i1029" DrawAspect="Content" ObjectID="_1468075729" r:id="rId15">
                  <o:LockedField>false</o:LockedField>
                </o:OLEObject>
              </w:object>
            </w:r>
          </w:p>
          <w:p w14:paraId="57580FD2">
            <w:pPr>
              <w:pStyle w:val="30"/>
              <w:tabs>
                <w:tab w:val="left" w:pos="4500"/>
              </w:tabs>
              <w:snapToGrid w:val="0"/>
              <w:spacing w:after="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式中：L</w:t>
            </w:r>
            <w:r>
              <w:rPr>
                <w:rFonts w:hint="eastAsia" w:cs="Times New Roman"/>
                <w:color w:val="000000" w:themeColor="text1"/>
                <w:vertAlign w:val="subscript"/>
                <w14:textFill>
                  <w14:solidFill>
                    <w14:schemeClr w14:val="tx1"/>
                  </w14:solidFill>
                </w14:textFill>
              </w:rPr>
              <w:t>eqg</w:t>
            </w:r>
            <w:r>
              <w:rPr>
                <w:rFonts w:hint="eastAsia" w:cs="Times New Roman"/>
                <w:color w:val="000000" w:themeColor="text1"/>
                <w14:textFill>
                  <w14:solidFill>
                    <w14:schemeClr w14:val="tx1"/>
                  </w14:solidFill>
                </w14:textFill>
              </w:rPr>
              <w:t>--建设项目声源在预测点产生的噪声贡献值，dB；</w:t>
            </w:r>
          </w:p>
          <w:p w14:paraId="145B539C">
            <w:pPr>
              <w:pStyle w:val="30"/>
              <w:numPr>
                <w:ilvl w:val="0"/>
                <w:numId w:val="7"/>
              </w:numPr>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-用于计算等效声级的时间，s；</w:t>
            </w:r>
          </w:p>
          <w:p w14:paraId="6A51099D">
            <w:pPr>
              <w:pStyle w:val="30"/>
              <w:numPr>
                <w:ilvl w:val="0"/>
                <w:numId w:val="8"/>
              </w:numPr>
              <w:tabs>
                <w:tab w:val="left" w:pos="4500"/>
              </w:tabs>
              <w:snapToGrid w:val="0"/>
              <w:spacing w:after="0"/>
              <w:ind w:left="1050" w:left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-室外声源个数；</w:t>
            </w:r>
          </w:p>
          <w:p w14:paraId="4D1B1260">
            <w:pPr>
              <w:pStyle w:val="30"/>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t</w:t>
            </w:r>
            <w:r>
              <w:rPr>
                <w:rFonts w:hint="eastAsia" w:cs="Times New Roman"/>
                <w:color w:val="000000" w:themeColor="text1"/>
                <w:vertAlign w:val="subscript"/>
                <w14:textFill>
                  <w14:solidFill>
                    <w14:schemeClr w14:val="tx1"/>
                  </w14:solidFill>
                </w14:textFill>
              </w:rPr>
              <w:t>i</w:t>
            </w:r>
            <w:r>
              <w:rPr>
                <w:rFonts w:hint="eastAsia" w:cs="Times New Roman"/>
                <w:color w:val="000000" w:themeColor="text1"/>
                <w14:textFill>
                  <w14:solidFill>
                    <w14:schemeClr w14:val="tx1"/>
                  </w14:solidFill>
                </w14:textFill>
              </w:rPr>
              <w:t>--在T时间内i声源工作时间，s；</w:t>
            </w:r>
          </w:p>
          <w:p w14:paraId="6CD8DBF4">
            <w:pPr>
              <w:pStyle w:val="30"/>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M--等效室外声源个数；</w:t>
            </w:r>
          </w:p>
          <w:p w14:paraId="3026B244">
            <w:pPr>
              <w:pStyle w:val="30"/>
              <w:tabs>
                <w:tab w:val="left" w:pos="4500"/>
              </w:tabs>
              <w:snapToGrid w:val="0"/>
              <w:spacing w:after="0"/>
              <w:ind w:left="0" w:leftChars="0" w:firstLine="1200" w:firstLineChars="500"/>
              <w:textAlignment w:val="auto"/>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t</w:t>
            </w:r>
            <w:r>
              <w:rPr>
                <w:rFonts w:hint="eastAsia" w:cs="Times New Roman"/>
                <w:color w:val="000000" w:themeColor="text1"/>
                <w:vertAlign w:val="subscript"/>
                <w14:textFill>
                  <w14:solidFill>
                    <w14:schemeClr w14:val="tx1"/>
                  </w14:solidFill>
                </w14:textFill>
              </w:rPr>
              <w:t>j</w:t>
            </w:r>
            <w:r>
              <w:rPr>
                <w:rFonts w:hint="eastAsia" w:cs="Times New Roman"/>
                <w:color w:val="000000" w:themeColor="text1"/>
                <w14:textFill>
                  <w14:solidFill>
                    <w14:schemeClr w14:val="tx1"/>
                  </w14:solidFill>
                </w14:textFill>
              </w:rPr>
              <w:t>--在T时间内j声源工作时间，s。</w:t>
            </w:r>
          </w:p>
          <w:p w14:paraId="6B2137E6">
            <w:pPr>
              <w:tabs>
                <w:tab w:val="left" w:pos="720"/>
                <w:tab w:val="left" w:pos="1080"/>
              </w:tabs>
              <w:spacing w:line="460" w:lineRule="exact"/>
              <w:ind w:firstLine="480" w:firstLineChars="200"/>
              <w:jc w:val="both"/>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本次</w:t>
            </w:r>
            <w:r>
              <w:rPr>
                <w:rFonts w:hint="default" w:ascii="Times New Roman" w:hAnsi="Times New Roman" w:cs="Times New Roman"/>
                <w:color w:val="000000" w:themeColor="text1"/>
                <w:sz w:val="24"/>
                <w:szCs w:val="24"/>
                <w:highlight w:val="none"/>
                <w14:textFill>
                  <w14:solidFill>
                    <w14:schemeClr w14:val="tx1"/>
                  </w14:solidFill>
                </w14:textFill>
              </w:rPr>
              <w:t>评价预测结果见下表</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1612001C">
            <w:pPr>
              <w:spacing w:before="156" w:beforeLines="50"/>
              <w:jc w:val="center"/>
              <w:rPr>
                <w:rFonts w:hint="default" w:ascii="Times New Roman" w:hAnsi="Times New Roman" w:eastAsia="宋体" w:cs="Times New Roman"/>
                <w:b/>
                <w:bCs/>
                <w:color w:val="auto"/>
                <w:sz w:val="24"/>
                <w:highlight w:val="none"/>
              </w:rPr>
            </w:pPr>
          </w:p>
          <w:p w14:paraId="2F711022">
            <w:pPr>
              <w:spacing w:before="156" w:beforeLines="50"/>
              <w:jc w:val="center"/>
              <w:rPr>
                <w:rFonts w:hint="default" w:ascii="Times New Roman" w:hAnsi="Times New Roman" w:eastAsia="宋体" w:cs="Times New Roman"/>
                <w:b/>
                <w:bCs/>
                <w:color w:val="auto"/>
                <w:sz w:val="24"/>
                <w:highlight w:val="none"/>
              </w:rPr>
            </w:pPr>
          </w:p>
          <w:p w14:paraId="0CB29DFA">
            <w:pPr>
              <w:spacing w:before="156" w:beforeLines="5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表4-</w:t>
            </w:r>
            <w:r>
              <w:rPr>
                <w:rFonts w:hint="eastAsia" w:ascii="Times New Roman" w:hAnsi="Times New Roman" w:eastAsia="宋体" w:cs="Times New Roman"/>
                <w:b/>
                <w:bCs/>
                <w:color w:val="auto"/>
                <w:sz w:val="24"/>
                <w:highlight w:val="none"/>
                <w:lang w:val="en-US" w:eastAsia="zh-CN"/>
              </w:rPr>
              <w:t>11</w:t>
            </w:r>
            <w:r>
              <w:rPr>
                <w:rFonts w:hint="default" w:ascii="Times New Roman" w:hAnsi="Times New Roman" w:eastAsia="宋体" w:cs="Times New Roman"/>
                <w:b/>
                <w:bCs/>
                <w:color w:val="auto"/>
                <w:sz w:val="24"/>
                <w:highlight w:val="none"/>
              </w:rPr>
              <w:t xml:space="preserve">  厂界噪声预测结果</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95"/>
              <w:gridCol w:w="795"/>
              <w:gridCol w:w="795"/>
              <w:gridCol w:w="975"/>
              <w:gridCol w:w="1405"/>
              <w:gridCol w:w="1405"/>
              <w:gridCol w:w="1169"/>
            </w:tblGrid>
            <w:tr w14:paraId="6FCF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641" w:type="pct"/>
                  <w:vMerge w:val="restart"/>
                  <w:vAlign w:val="center"/>
                </w:tcPr>
                <w:p w14:paraId="4465D6CD">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预测方位</w:t>
                  </w:r>
                </w:p>
              </w:tc>
              <w:tc>
                <w:tcPr>
                  <w:tcW w:w="1416" w:type="pct"/>
                  <w:gridSpan w:val="3"/>
                  <w:vAlign w:val="center"/>
                </w:tcPr>
                <w:p w14:paraId="541C3D2D">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lang w:val="en-US" w:eastAsia="zh-CN"/>
                    </w:rPr>
                    <w:t>最大值点</w:t>
                  </w:r>
                  <w:r>
                    <w:rPr>
                      <w:rFonts w:hint="default" w:ascii="Times New Roman" w:hAnsi="Times New Roman" w:cs="Times New Roman" w:eastAsiaTheme="minorEastAsia"/>
                      <w:b/>
                      <w:bCs w:val="0"/>
                      <w:sz w:val="21"/>
                      <w:szCs w:val="21"/>
                    </w:rPr>
                    <w:t>空间相对位置/m</w:t>
                  </w:r>
                </w:p>
              </w:tc>
              <w:tc>
                <w:tcPr>
                  <w:tcW w:w="579" w:type="pct"/>
                  <w:vMerge w:val="restart"/>
                  <w:vAlign w:val="center"/>
                </w:tcPr>
                <w:p w14:paraId="79AB7AD7">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时段</w:t>
                  </w:r>
                </w:p>
              </w:tc>
              <w:tc>
                <w:tcPr>
                  <w:tcW w:w="834" w:type="pct"/>
                  <w:vMerge w:val="restart"/>
                  <w:vAlign w:val="center"/>
                </w:tcPr>
                <w:p w14:paraId="11D02F86">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贡献值（dB(A)）</w:t>
                  </w:r>
                </w:p>
              </w:tc>
              <w:tc>
                <w:tcPr>
                  <w:tcW w:w="834" w:type="pct"/>
                  <w:vMerge w:val="restart"/>
                  <w:vAlign w:val="center"/>
                </w:tcPr>
                <w:p w14:paraId="1B39333A">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标准限值（dB(A)）</w:t>
                  </w:r>
                </w:p>
              </w:tc>
              <w:tc>
                <w:tcPr>
                  <w:tcW w:w="693" w:type="pct"/>
                  <w:vMerge w:val="restart"/>
                  <w:vAlign w:val="center"/>
                </w:tcPr>
                <w:p w14:paraId="6A1BEB4F">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达标情况</w:t>
                  </w:r>
                </w:p>
              </w:tc>
            </w:tr>
            <w:tr w14:paraId="1004D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641" w:type="pct"/>
                  <w:vMerge w:val="continue"/>
                  <w:shd w:val="clear" w:color="auto" w:fill="FFFFFF"/>
                  <w:vAlign w:val="center"/>
                </w:tcPr>
                <w:p w14:paraId="1E93EE3C">
                  <w:pPr>
                    <w:jc w:val="center"/>
                    <w:rPr>
                      <w:rFonts w:hint="default" w:ascii="Times New Roman" w:hAnsi="Times New Roman" w:cs="Times New Roman" w:eastAsiaTheme="minorEastAsia"/>
                      <w:b w:val="0"/>
                      <w:bCs/>
                      <w:sz w:val="21"/>
                      <w:szCs w:val="21"/>
                    </w:rPr>
                  </w:pPr>
                </w:p>
              </w:tc>
              <w:tc>
                <w:tcPr>
                  <w:tcW w:w="472" w:type="pct"/>
                  <w:shd w:val="clear" w:color="auto" w:fill="FFFFFF"/>
                  <w:vAlign w:val="center"/>
                </w:tcPr>
                <w:p w14:paraId="5986DA94">
                  <w:pPr>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X</w:t>
                  </w:r>
                </w:p>
              </w:tc>
              <w:tc>
                <w:tcPr>
                  <w:tcW w:w="472" w:type="pct"/>
                  <w:shd w:val="clear" w:color="auto" w:fill="FFFFFF"/>
                  <w:vAlign w:val="center"/>
                </w:tcPr>
                <w:p w14:paraId="13D54D66">
                  <w:pPr>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Y</w:t>
                  </w:r>
                </w:p>
              </w:tc>
              <w:tc>
                <w:tcPr>
                  <w:tcW w:w="470" w:type="pct"/>
                  <w:shd w:val="clear" w:color="auto" w:fill="FFFFFF"/>
                  <w:vAlign w:val="center"/>
                </w:tcPr>
                <w:p w14:paraId="2EA2578C">
                  <w:pPr>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Z</w:t>
                  </w:r>
                </w:p>
              </w:tc>
              <w:tc>
                <w:tcPr>
                  <w:tcW w:w="579" w:type="pct"/>
                  <w:vMerge w:val="continue"/>
                  <w:shd w:val="clear" w:color="auto" w:fill="FFFFFF"/>
                  <w:vAlign w:val="center"/>
                </w:tcPr>
                <w:p w14:paraId="1D0AA619">
                  <w:pPr>
                    <w:jc w:val="center"/>
                    <w:rPr>
                      <w:rFonts w:hint="default" w:ascii="Times New Roman" w:hAnsi="Times New Roman" w:cs="Times New Roman" w:eastAsiaTheme="minorEastAsia"/>
                      <w:b w:val="0"/>
                      <w:bCs/>
                      <w:sz w:val="21"/>
                      <w:szCs w:val="21"/>
                    </w:rPr>
                  </w:pPr>
                </w:p>
              </w:tc>
              <w:tc>
                <w:tcPr>
                  <w:tcW w:w="834" w:type="pct"/>
                  <w:vMerge w:val="continue"/>
                  <w:shd w:val="clear" w:color="auto" w:fill="FFFFFF"/>
                  <w:vAlign w:val="center"/>
                </w:tcPr>
                <w:p w14:paraId="3A7BCA7D">
                  <w:pPr>
                    <w:jc w:val="center"/>
                    <w:rPr>
                      <w:rFonts w:hint="default" w:ascii="Times New Roman" w:hAnsi="Times New Roman" w:cs="Times New Roman" w:eastAsiaTheme="minorEastAsia"/>
                      <w:b w:val="0"/>
                      <w:bCs/>
                      <w:sz w:val="21"/>
                      <w:szCs w:val="21"/>
                    </w:rPr>
                  </w:pPr>
                </w:p>
              </w:tc>
              <w:tc>
                <w:tcPr>
                  <w:tcW w:w="834" w:type="pct"/>
                  <w:vMerge w:val="continue"/>
                  <w:shd w:val="clear" w:color="auto" w:fill="FFFFFF"/>
                  <w:vAlign w:val="center"/>
                </w:tcPr>
                <w:p w14:paraId="5393C98C">
                  <w:pPr>
                    <w:jc w:val="center"/>
                    <w:rPr>
                      <w:rFonts w:hint="default" w:ascii="Times New Roman" w:hAnsi="Times New Roman" w:cs="Times New Roman" w:eastAsiaTheme="minorEastAsia"/>
                      <w:b w:val="0"/>
                      <w:bCs/>
                      <w:sz w:val="21"/>
                      <w:szCs w:val="21"/>
                    </w:rPr>
                  </w:pPr>
                </w:p>
              </w:tc>
              <w:tc>
                <w:tcPr>
                  <w:tcW w:w="693" w:type="pct"/>
                  <w:vMerge w:val="continue"/>
                  <w:shd w:val="clear" w:color="auto" w:fill="FFFFFF"/>
                  <w:vAlign w:val="center"/>
                </w:tcPr>
                <w:p w14:paraId="0D1C7580">
                  <w:pPr>
                    <w:jc w:val="center"/>
                    <w:rPr>
                      <w:rFonts w:hint="default" w:ascii="Times New Roman" w:hAnsi="Times New Roman" w:cs="Times New Roman" w:eastAsiaTheme="minorEastAsia"/>
                      <w:b w:val="0"/>
                      <w:bCs/>
                      <w:sz w:val="21"/>
                      <w:szCs w:val="21"/>
                    </w:rPr>
                  </w:pPr>
                </w:p>
              </w:tc>
            </w:tr>
            <w:tr w14:paraId="2ECEF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restart"/>
                  <w:shd w:val="clear" w:color="auto" w:fill="FFFFFF"/>
                  <w:vAlign w:val="center"/>
                </w:tcPr>
                <w:p w14:paraId="36D7E8E1">
                  <w:pPr>
                    <w:jc w:val="center"/>
                    <w:rPr>
                      <w:rFonts w:hint="default" w:ascii="Times New Roman" w:hAnsi="Times New Roman" w:cs="Times New Roman"/>
                      <w:b w:val="0"/>
                      <w:bCs/>
                    </w:rPr>
                  </w:pPr>
                  <w:r>
                    <w:rPr>
                      <w:rFonts w:hint="default" w:ascii="Times New Roman" w:hAnsi="Times New Roman" w:eastAsia="Arial" w:cs="Times New Roman"/>
                      <w:b w:val="0"/>
                      <w:bCs/>
                      <w:sz w:val="20"/>
                    </w:rPr>
                    <w:t>东侧</w:t>
                  </w:r>
                </w:p>
              </w:tc>
              <w:tc>
                <w:tcPr>
                  <w:tcW w:w="472" w:type="pct"/>
                  <w:shd w:val="clear" w:color="auto" w:fill="FFFFFF"/>
                  <w:vAlign w:val="center"/>
                </w:tcPr>
                <w:p w14:paraId="17220B2A">
                  <w:pPr>
                    <w:jc w:val="center"/>
                    <w:rPr>
                      <w:rFonts w:hint="default" w:ascii="Times New Roman" w:hAnsi="Times New Roman" w:cs="Times New Roman"/>
                      <w:b w:val="0"/>
                      <w:bCs/>
                    </w:rPr>
                  </w:pPr>
                  <w:r>
                    <w:rPr>
                      <w:rFonts w:hint="default" w:ascii="Times New Roman" w:hAnsi="Times New Roman" w:eastAsia="Arial" w:cs="Times New Roman"/>
                      <w:b w:val="0"/>
                      <w:bCs/>
                      <w:sz w:val="20"/>
                    </w:rPr>
                    <w:t>14.5</w:t>
                  </w:r>
                </w:p>
              </w:tc>
              <w:tc>
                <w:tcPr>
                  <w:tcW w:w="472" w:type="pct"/>
                  <w:shd w:val="clear" w:color="auto" w:fill="FFFFFF"/>
                  <w:vAlign w:val="center"/>
                </w:tcPr>
                <w:p w14:paraId="265D8217">
                  <w:pPr>
                    <w:jc w:val="center"/>
                    <w:rPr>
                      <w:rFonts w:hint="default" w:ascii="Times New Roman" w:hAnsi="Times New Roman" w:cs="Times New Roman"/>
                      <w:b w:val="0"/>
                      <w:bCs/>
                    </w:rPr>
                  </w:pPr>
                  <w:r>
                    <w:rPr>
                      <w:rFonts w:hint="default" w:ascii="Times New Roman" w:hAnsi="Times New Roman" w:eastAsia="Arial" w:cs="Times New Roman"/>
                      <w:b w:val="0"/>
                      <w:bCs/>
                      <w:sz w:val="20"/>
                    </w:rPr>
                    <w:t>7.4</w:t>
                  </w:r>
                </w:p>
              </w:tc>
              <w:tc>
                <w:tcPr>
                  <w:tcW w:w="470" w:type="pct"/>
                  <w:shd w:val="clear" w:color="auto" w:fill="FFFFFF"/>
                  <w:vAlign w:val="center"/>
                </w:tcPr>
                <w:p w14:paraId="31782955">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4D9D3EDF">
                  <w:pPr>
                    <w:jc w:val="center"/>
                    <w:rPr>
                      <w:rFonts w:hint="default" w:ascii="Times New Roman" w:hAnsi="Times New Roman" w:cs="Times New Roman"/>
                      <w:b w:val="0"/>
                      <w:bCs/>
                    </w:rPr>
                  </w:pPr>
                  <w:r>
                    <w:rPr>
                      <w:rFonts w:hint="default" w:ascii="Times New Roman" w:hAnsi="Times New Roman" w:eastAsia="Arial" w:cs="Times New Roman"/>
                      <w:b w:val="0"/>
                      <w:bCs/>
                      <w:sz w:val="20"/>
                    </w:rPr>
                    <w:t>昼间</w:t>
                  </w:r>
                </w:p>
              </w:tc>
              <w:tc>
                <w:tcPr>
                  <w:tcW w:w="1405" w:type="dxa"/>
                  <w:shd w:val="clear" w:color="auto" w:fill="FFFFFF"/>
                  <w:vAlign w:val="center"/>
                </w:tcPr>
                <w:p w14:paraId="5CAFBDDC">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49.7</w:t>
                  </w:r>
                </w:p>
              </w:tc>
              <w:tc>
                <w:tcPr>
                  <w:tcW w:w="834" w:type="pct"/>
                  <w:shd w:val="clear" w:color="auto" w:fill="FFFFFF"/>
                  <w:vAlign w:val="center"/>
                </w:tcPr>
                <w:p w14:paraId="396AC40E">
                  <w:pPr>
                    <w:jc w:val="center"/>
                    <w:rPr>
                      <w:rFonts w:hint="default" w:ascii="Times New Roman" w:hAnsi="Times New Roman" w:cs="Times New Roman"/>
                      <w:b w:val="0"/>
                      <w:bCs/>
                    </w:rPr>
                  </w:pPr>
                  <w:r>
                    <w:rPr>
                      <w:rFonts w:hint="default" w:ascii="Times New Roman" w:hAnsi="Times New Roman" w:eastAsia="Arial" w:cs="Times New Roman"/>
                      <w:b w:val="0"/>
                      <w:bCs/>
                      <w:sz w:val="20"/>
                    </w:rPr>
                    <w:t>60</w:t>
                  </w:r>
                </w:p>
              </w:tc>
              <w:tc>
                <w:tcPr>
                  <w:tcW w:w="693" w:type="pct"/>
                  <w:shd w:val="clear" w:color="auto" w:fill="FFFFFF"/>
                  <w:vAlign w:val="center"/>
                </w:tcPr>
                <w:p w14:paraId="5D97B6C0">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58165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continue"/>
                  <w:shd w:val="clear" w:color="auto" w:fill="FFFFFF"/>
                  <w:vAlign w:val="center"/>
                </w:tcPr>
                <w:p w14:paraId="6FD5E20C">
                  <w:pPr>
                    <w:jc w:val="center"/>
                    <w:rPr>
                      <w:rFonts w:hint="default" w:ascii="Times New Roman" w:hAnsi="Times New Roman" w:cs="Times New Roman"/>
                      <w:b w:val="0"/>
                      <w:bCs/>
                    </w:rPr>
                  </w:pPr>
                </w:p>
              </w:tc>
              <w:tc>
                <w:tcPr>
                  <w:tcW w:w="472" w:type="pct"/>
                  <w:shd w:val="clear" w:color="auto" w:fill="FFFFFF"/>
                  <w:vAlign w:val="center"/>
                </w:tcPr>
                <w:p w14:paraId="3F2F6563">
                  <w:pPr>
                    <w:jc w:val="center"/>
                    <w:rPr>
                      <w:rFonts w:hint="default" w:ascii="Times New Roman" w:hAnsi="Times New Roman" w:cs="Times New Roman"/>
                      <w:b w:val="0"/>
                      <w:bCs/>
                    </w:rPr>
                  </w:pPr>
                  <w:r>
                    <w:rPr>
                      <w:rFonts w:hint="default" w:ascii="Times New Roman" w:hAnsi="Times New Roman" w:eastAsia="Arial" w:cs="Times New Roman"/>
                      <w:b w:val="0"/>
                      <w:bCs/>
                      <w:sz w:val="20"/>
                    </w:rPr>
                    <w:t>14.5</w:t>
                  </w:r>
                </w:p>
              </w:tc>
              <w:tc>
                <w:tcPr>
                  <w:tcW w:w="472" w:type="pct"/>
                  <w:shd w:val="clear" w:color="auto" w:fill="FFFFFF"/>
                  <w:vAlign w:val="center"/>
                </w:tcPr>
                <w:p w14:paraId="739F2E5B">
                  <w:pPr>
                    <w:jc w:val="center"/>
                    <w:rPr>
                      <w:rFonts w:hint="default" w:ascii="Times New Roman" w:hAnsi="Times New Roman" w:cs="Times New Roman"/>
                      <w:b w:val="0"/>
                      <w:bCs/>
                    </w:rPr>
                  </w:pPr>
                  <w:r>
                    <w:rPr>
                      <w:rFonts w:hint="default" w:ascii="Times New Roman" w:hAnsi="Times New Roman" w:eastAsia="Arial" w:cs="Times New Roman"/>
                      <w:b w:val="0"/>
                      <w:bCs/>
                      <w:sz w:val="20"/>
                    </w:rPr>
                    <w:t>7.4</w:t>
                  </w:r>
                </w:p>
              </w:tc>
              <w:tc>
                <w:tcPr>
                  <w:tcW w:w="470" w:type="pct"/>
                  <w:shd w:val="clear" w:color="auto" w:fill="FFFFFF"/>
                  <w:vAlign w:val="center"/>
                </w:tcPr>
                <w:p w14:paraId="11CB3B61">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79D453F9">
                  <w:pPr>
                    <w:jc w:val="center"/>
                    <w:rPr>
                      <w:rFonts w:hint="default" w:ascii="Times New Roman" w:hAnsi="Times New Roman" w:cs="Times New Roman"/>
                      <w:b w:val="0"/>
                      <w:bCs/>
                    </w:rPr>
                  </w:pPr>
                  <w:r>
                    <w:rPr>
                      <w:rFonts w:hint="default" w:ascii="Times New Roman" w:hAnsi="Times New Roman" w:eastAsia="Arial" w:cs="Times New Roman"/>
                      <w:b w:val="0"/>
                      <w:bCs/>
                      <w:sz w:val="20"/>
                    </w:rPr>
                    <w:t>夜间</w:t>
                  </w:r>
                </w:p>
              </w:tc>
              <w:tc>
                <w:tcPr>
                  <w:tcW w:w="1405" w:type="dxa"/>
                  <w:shd w:val="clear" w:color="auto" w:fill="FFFFFF"/>
                  <w:vAlign w:val="center"/>
                </w:tcPr>
                <w:p w14:paraId="285D6ED2">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49.7</w:t>
                  </w:r>
                </w:p>
              </w:tc>
              <w:tc>
                <w:tcPr>
                  <w:tcW w:w="834" w:type="pct"/>
                  <w:shd w:val="clear" w:color="auto" w:fill="FFFFFF"/>
                  <w:vAlign w:val="center"/>
                </w:tcPr>
                <w:p w14:paraId="08233202">
                  <w:pPr>
                    <w:jc w:val="center"/>
                    <w:rPr>
                      <w:rFonts w:hint="default" w:ascii="Times New Roman" w:hAnsi="Times New Roman" w:cs="Times New Roman"/>
                      <w:b w:val="0"/>
                      <w:bCs/>
                    </w:rPr>
                  </w:pPr>
                  <w:r>
                    <w:rPr>
                      <w:rFonts w:hint="default" w:ascii="Times New Roman" w:hAnsi="Times New Roman" w:eastAsia="Arial" w:cs="Times New Roman"/>
                      <w:b w:val="0"/>
                      <w:bCs/>
                      <w:sz w:val="20"/>
                    </w:rPr>
                    <w:t>50</w:t>
                  </w:r>
                </w:p>
              </w:tc>
              <w:tc>
                <w:tcPr>
                  <w:tcW w:w="693" w:type="pct"/>
                  <w:shd w:val="clear" w:color="auto" w:fill="FFFFFF"/>
                  <w:vAlign w:val="center"/>
                </w:tcPr>
                <w:p w14:paraId="08244970">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455CA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restart"/>
                  <w:shd w:val="clear" w:color="auto" w:fill="FFFFFF"/>
                  <w:vAlign w:val="center"/>
                </w:tcPr>
                <w:p w14:paraId="1D1B1588">
                  <w:pPr>
                    <w:jc w:val="center"/>
                    <w:rPr>
                      <w:rFonts w:hint="default" w:ascii="Times New Roman" w:hAnsi="Times New Roman" w:cs="Times New Roman"/>
                      <w:b w:val="0"/>
                      <w:bCs/>
                    </w:rPr>
                  </w:pPr>
                  <w:r>
                    <w:rPr>
                      <w:rFonts w:hint="default" w:ascii="Times New Roman" w:hAnsi="Times New Roman" w:eastAsia="Arial" w:cs="Times New Roman"/>
                      <w:b w:val="0"/>
                      <w:bCs/>
                      <w:sz w:val="20"/>
                    </w:rPr>
                    <w:t>南侧</w:t>
                  </w:r>
                </w:p>
              </w:tc>
              <w:tc>
                <w:tcPr>
                  <w:tcW w:w="472" w:type="pct"/>
                  <w:shd w:val="clear" w:color="auto" w:fill="FFFFFF"/>
                  <w:vAlign w:val="center"/>
                </w:tcPr>
                <w:p w14:paraId="22FD03E2">
                  <w:pPr>
                    <w:jc w:val="center"/>
                    <w:rPr>
                      <w:rFonts w:hint="default" w:ascii="Times New Roman" w:hAnsi="Times New Roman" w:cs="Times New Roman"/>
                      <w:b w:val="0"/>
                      <w:bCs/>
                    </w:rPr>
                  </w:pPr>
                  <w:r>
                    <w:rPr>
                      <w:rFonts w:hint="default" w:ascii="Times New Roman" w:hAnsi="Times New Roman" w:eastAsia="Arial" w:cs="Times New Roman"/>
                      <w:b w:val="0"/>
                      <w:bCs/>
                      <w:sz w:val="20"/>
                    </w:rPr>
                    <w:t>20.8</w:t>
                  </w:r>
                </w:p>
              </w:tc>
              <w:tc>
                <w:tcPr>
                  <w:tcW w:w="472" w:type="pct"/>
                  <w:shd w:val="clear" w:color="auto" w:fill="FFFFFF"/>
                  <w:vAlign w:val="center"/>
                </w:tcPr>
                <w:p w14:paraId="7749312A">
                  <w:pPr>
                    <w:jc w:val="center"/>
                    <w:rPr>
                      <w:rFonts w:hint="default" w:ascii="Times New Roman" w:hAnsi="Times New Roman" w:cs="Times New Roman"/>
                      <w:b w:val="0"/>
                      <w:bCs/>
                    </w:rPr>
                  </w:pPr>
                  <w:r>
                    <w:rPr>
                      <w:rFonts w:hint="default" w:ascii="Times New Roman" w:hAnsi="Times New Roman" w:eastAsia="Arial" w:cs="Times New Roman"/>
                      <w:b w:val="0"/>
                      <w:bCs/>
                      <w:sz w:val="20"/>
                    </w:rPr>
                    <w:t>-38.7</w:t>
                  </w:r>
                </w:p>
              </w:tc>
              <w:tc>
                <w:tcPr>
                  <w:tcW w:w="470" w:type="pct"/>
                  <w:shd w:val="clear" w:color="auto" w:fill="FFFFFF"/>
                  <w:vAlign w:val="center"/>
                </w:tcPr>
                <w:p w14:paraId="7CD3DAE9">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1111A76D">
                  <w:pPr>
                    <w:jc w:val="center"/>
                    <w:rPr>
                      <w:rFonts w:hint="default" w:ascii="Times New Roman" w:hAnsi="Times New Roman" w:cs="Times New Roman"/>
                      <w:b w:val="0"/>
                      <w:bCs/>
                    </w:rPr>
                  </w:pPr>
                  <w:r>
                    <w:rPr>
                      <w:rFonts w:hint="default" w:ascii="Times New Roman" w:hAnsi="Times New Roman" w:eastAsia="Arial" w:cs="Times New Roman"/>
                      <w:b w:val="0"/>
                      <w:bCs/>
                      <w:sz w:val="20"/>
                    </w:rPr>
                    <w:t>昼间</w:t>
                  </w:r>
                </w:p>
              </w:tc>
              <w:tc>
                <w:tcPr>
                  <w:tcW w:w="1405" w:type="dxa"/>
                  <w:shd w:val="clear" w:color="auto" w:fill="FFFFFF"/>
                  <w:vAlign w:val="center"/>
                </w:tcPr>
                <w:p w14:paraId="418AF7DB">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42.3</w:t>
                  </w:r>
                </w:p>
              </w:tc>
              <w:tc>
                <w:tcPr>
                  <w:tcW w:w="834" w:type="pct"/>
                  <w:shd w:val="clear" w:color="auto" w:fill="FFFFFF"/>
                  <w:vAlign w:val="center"/>
                </w:tcPr>
                <w:p w14:paraId="7A83BE28">
                  <w:pPr>
                    <w:jc w:val="center"/>
                    <w:rPr>
                      <w:rFonts w:hint="default" w:ascii="Times New Roman" w:hAnsi="Times New Roman" w:cs="Times New Roman"/>
                      <w:b w:val="0"/>
                      <w:bCs/>
                    </w:rPr>
                  </w:pPr>
                  <w:r>
                    <w:rPr>
                      <w:rFonts w:hint="default" w:ascii="Times New Roman" w:hAnsi="Times New Roman" w:eastAsia="Arial" w:cs="Times New Roman"/>
                      <w:b w:val="0"/>
                      <w:bCs/>
                      <w:sz w:val="20"/>
                    </w:rPr>
                    <w:t>60</w:t>
                  </w:r>
                </w:p>
              </w:tc>
              <w:tc>
                <w:tcPr>
                  <w:tcW w:w="693" w:type="pct"/>
                  <w:shd w:val="clear" w:color="auto" w:fill="FFFFFF"/>
                  <w:vAlign w:val="center"/>
                </w:tcPr>
                <w:p w14:paraId="1212BBC3">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5F5A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continue"/>
                  <w:shd w:val="clear" w:color="auto" w:fill="FFFFFF"/>
                  <w:vAlign w:val="center"/>
                </w:tcPr>
                <w:p w14:paraId="14545A03">
                  <w:pPr>
                    <w:jc w:val="center"/>
                    <w:rPr>
                      <w:rFonts w:hint="default" w:ascii="Times New Roman" w:hAnsi="Times New Roman" w:cs="Times New Roman"/>
                      <w:b w:val="0"/>
                      <w:bCs/>
                    </w:rPr>
                  </w:pPr>
                </w:p>
              </w:tc>
              <w:tc>
                <w:tcPr>
                  <w:tcW w:w="472" w:type="pct"/>
                  <w:shd w:val="clear" w:color="auto" w:fill="FFFFFF"/>
                  <w:vAlign w:val="center"/>
                </w:tcPr>
                <w:p w14:paraId="741D89DA">
                  <w:pPr>
                    <w:jc w:val="center"/>
                    <w:rPr>
                      <w:rFonts w:hint="default" w:ascii="Times New Roman" w:hAnsi="Times New Roman" w:cs="Times New Roman"/>
                      <w:b w:val="0"/>
                      <w:bCs/>
                    </w:rPr>
                  </w:pPr>
                  <w:r>
                    <w:rPr>
                      <w:rFonts w:hint="default" w:ascii="Times New Roman" w:hAnsi="Times New Roman" w:eastAsia="Arial" w:cs="Times New Roman"/>
                      <w:b w:val="0"/>
                      <w:bCs/>
                      <w:sz w:val="20"/>
                    </w:rPr>
                    <w:t>20.8</w:t>
                  </w:r>
                </w:p>
              </w:tc>
              <w:tc>
                <w:tcPr>
                  <w:tcW w:w="472" w:type="pct"/>
                  <w:shd w:val="clear" w:color="auto" w:fill="FFFFFF"/>
                  <w:vAlign w:val="center"/>
                </w:tcPr>
                <w:p w14:paraId="5954BA42">
                  <w:pPr>
                    <w:jc w:val="center"/>
                    <w:rPr>
                      <w:rFonts w:hint="default" w:ascii="Times New Roman" w:hAnsi="Times New Roman" w:cs="Times New Roman"/>
                      <w:b w:val="0"/>
                      <w:bCs/>
                    </w:rPr>
                  </w:pPr>
                  <w:r>
                    <w:rPr>
                      <w:rFonts w:hint="default" w:ascii="Times New Roman" w:hAnsi="Times New Roman" w:eastAsia="Arial" w:cs="Times New Roman"/>
                      <w:b w:val="0"/>
                      <w:bCs/>
                      <w:sz w:val="20"/>
                    </w:rPr>
                    <w:t>-38.7</w:t>
                  </w:r>
                </w:p>
              </w:tc>
              <w:tc>
                <w:tcPr>
                  <w:tcW w:w="470" w:type="pct"/>
                  <w:shd w:val="clear" w:color="auto" w:fill="FFFFFF"/>
                  <w:vAlign w:val="center"/>
                </w:tcPr>
                <w:p w14:paraId="20E7CA06">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2EF17BAA">
                  <w:pPr>
                    <w:jc w:val="center"/>
                    <w:rPr>
                      <w:rFonts w:hint="default" w:ascii="Times New Roman" w:hAnsi="Times New Roman" w:cs="Times New Roman"/>
                      <w:b w:val="0"/>
                      <w:bCs/>
                    </w:rPr>
                  </w:pPr>
                  <w:r>
                    <w:rPr>
                      <w:rFonts w:hint="default" w:ascii="Times New Roman" w:hAnsi="Times New Roman" w:eastAsia="Arial" w:cs="Times New Roman"/>
                      <w:b w:val="0"/>
                      <w:bCs/>
                      <w:sz w:val="20"/>
                    </w:rPr>
                    <w:t>夜间</w:t>
                  </w:r>
                </w:p>
              </w:tc>
              <w:tc>
                <w:tcPr>
                  <w:tcW w:w="1405" w:type="dxa"/>
                  <w:shd w:val="clear" w:color="auto" w:fill="FFFFFF"/>
                  <w:vAlign w:val="center"/>
                </w:tcPr>
                <w:p w14:paraId="1FBE8641">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42.3</w:t>
                  </w:r>
                </w:p>
              </w:tc>
              <w:tc>
                <w:tcPr>
                  <w:tcW w:w="834" w:type="pct"/>
                  <w:shd w:val="clear" w:color="auto" w:fill="FFFFFF"/>
                  <w:vAlign w:val="center"/>
                </w:tcPr>
                <w:p w14:paraId="59E5AE66">
                  <w:pPr>
                    <w:jc w:val="center"/>
                    <w:rPr>
                      <w:rFonts w:hint="default" w:ascii="Times New Roman" w:hAnsi="Times New Roman" w:cs="Times New Roman"/>
                      <w:b w:val="0"/>
                      <w:bCs/>
                    </w:rPr>
                  </w:pPr>
                  <w:r>
                    <w:rPr>
                      <w:rFonts w:hint="default" w:ascii="Times New Roman" w:hAnsi="Times New Roman" w:eastAsia="Arial" w:cs="Times New Roman"/>
                      <w:b w:val="0"/>
                      <w:bCs/>
                      <w:sz w:val="20"/>
                    </w:rPr>
                    <w:t>50</w:t>
                  </w:r>
                </w:p>
              </w:tc>
              <w:tc>
                <w:tcPr>
                  <w:tcW w:w="693" w:type="pct"/>
                  <w:shd w:val="clear" w:color="auto" w:fill="FFFFFF"/>
                  <w:vAlign w:val="center"/>
                </w:tcPr>
                <w:p w14:paraId="22F3439F">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7294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restart"/>
                  <w:shd w:val="clear" w:color="auto" w:fill="FFFFFF"/>
                  <w:vAlign w:val="center"/>
                </w:tcPr>
                <w:p w14:paraId="6F9884DB">
                  <w:pPr>
                    <w:jc w:val="center"/>
                    <w:rPr>
                      <w:rFonts w:hint="default" w:ascii="Times New Roman" w:hAnsi="Times New Roman" w:cs="Times New Roman"/>
                      <w:b w:val="0"/>
                      <w:bCs/>
                    </w:rPr>
                  </w:pPr>
                  <w:r>
                    <w:rPr>
                      <w:rFonts w:hint="default" w:ascii="Times New Roman" w:hAnsi="Times New Roman" w:eastAsia="Arial" w:cs="Times New Roman"/>
                      <w:b w:val="0"/>
                      <w:bCs/>
                      <w:sz w:val="20"/>
                    </w:rPr>
                    <w:t>西侧</w:t>
                  </w:r>
                </w:p>
              </w:tc>
              <w:tc>
                <w:tcPr>
                  <w:tcW w:w="472" w:type="pct"/>
                  <w:shd w:val="clear" w:color="auto" w:fill="FFFFFF"/>
                  <w:vAlign w:val="center"/>
                </w:tcPr>
                <w:p w14:paraId="0C0521A5">
                  <w:pPr>
                    <w:jc w:val="center"/>
                    <w:rPr>
                      <w:rFonts w:hint="default" w:ascii="Times New Roman" w:hAnsi="Times New Roman" w:cs="Times New Roman"/>
                      <w:b w:val="0"/>
                      <w:bCs/>
                    </w:rPr>
                  </w:pPr>
                  <w:r>
                    <w:rPr>
                      <w:rFonts w:hint="default" w:ascii="Times New Roman" w:hAnsi="Times New Roman" w:eastAsia="Arial" w:cs="Times New Roman"/>
                      <w:b w:val="0"/>
                      <w:bCs/>
                      <w:sz w:val="20"/>
                    </w:rPr>
                    <w:t>-16.1</w:t>
                  </w:r>
                </w:p>
              </w:tc>
              <w:tc>
                <w:tcPr>
                  <w:tcW w:w="472" w:type="pct"/>
                  <w:shd w:val="clear" w:color="auto" w:fill="FFFFFF"/>
                  <w:vAlign w:val="center"/>
                </w:tcPr>
                <w:p w14:paraId="34A80B39">
                  <w:pPr>
                    <w:jc w:val="center"/>
                    <w:rPr>
                      <w:rFonts w:hint="default" w:ascii="Times New Roman" w:hAnsi="Times New Roman" w:cs="Times New Roman"/>
                      <w:b w:val="0"/>
                      <w:bCs/>
                    </w:rPr>
                  </w:pPr>
                  <w:r>
                    <w:rPr>
                      <w:rFonts w:hint="default" w:ascii="Times New Roman" w:hAnsi="Times New Roman" w:eastAsia="Arial" w:cs="Times New Roman"/>
                      <w:b w:val="0"/>
                      <w:bCs/>
                      <w:sz w:val="20"/>
                    </w:rPr>
                    <w:t>4.5</w:t>
                  </w:r>
                </w:p>
              </w:tc>
              <w:tc>
                <w:tcPr>
                  <w:tcW w:w="470" w:type="pct"/>
                  <w:shd w:val="clear" w:color="auto" w:fill="FFFFFF"/>
                  <w:vAlign w:val="center"/>
                </w:tcPr>
                <w:p w14:paraId="32D0964D">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0F22D9FB">
                  <w:pPr>
                    <w:jc w:val="center"/>
                    <w:rPr>
                      <w:rFonts w:hint="default" w:ascii="Times New Roman" w:hAnsi="Times New Roman" w:cs="Times New Roman"/>
                      <w:b w:val="0"/>
                      <w:bCs/>
                    </w:rPr>
                  </w:pPr>
                  <w:r>
                    <w:rPr>
                      <w:rFonts w:hint="default" w:ascii="Times New Roman" w:hAnsi="Times New Roman" w:eastAsia="Arial" w:cs="Times New Roman"/>
                      <w:b w:val="0"/>
                      <w:bCs/>
                      <w:sz w:val="20"/>
                    </w:rPr>
                    <w:t>昼间</w:t>
                  </w:r>
                </w:p>
              </w:tc>
              <w:tc>
                <w:tcPr>
                  <w:tcW w:w="1405" w:type="dxa"/>
                  <w:shd w:val="clear" w:color="auto" w:fill="FFFFFF"/>
                  <w:vAlign w:val="center"/>
                </w:tcPr>
                <w:p w14:paraId="6C42139A">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47.3</w:t>
                  </w:r>
                </w:p>
              </w:tc>
              <w:tc>
                <w:tcPr>
                  <w:tcW w:w="834" w:type="pct"/>
                  <w:shd w:val="clear" w:color="auto" w:fill="FFFFFF"/>
                  <w:vAlign w:val="center"/>
                </w:tcPr>
                <w:p w14:paraId="73973D88">
                  <w:pPr>
                    <w:jc w:val="center"/>
                    <w:rPr>
                      <w:rFonts w:hint="default" w:ascii="Times New Roman" w:hAnsi="Times New Roman" w:cs="Times New Roman"/>
                      <w:b w:val="0"/>
                      <w:bCs/>
                    </w:rPr>
                  </w:pPr>
                  <w:r>
                    <w:rPr>
                      <w:rFonts w:hint="default" w:ascii="Times New Roman" w:hAnsi="Times New Roman" w:eastAsia="Arial" w:cs="Times New Roman"/>
                      <w:b w:val="0"/>
                      <w:bCs/>
                      <w:sz w:val="20"/>
                    </w:rPr>
                    <w:t>60</w:t>
                  </w:r>
                </w:p>
              </w:tc>
              <w:tc>
                <w:tcPr>
                  <w:tcW w:w="693" w:type="pct"/>
                  <w:shd w:val="clear" w:color="auto" w:fill="FFFFFF"/>
                  <w:vAlign w:val="center"/>
                </w:tcPr>
                <w:p w14:paraId="6BB595DF">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69B9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continue"/>
                  <w:shd w:val="clear" w:color="auto" w:fill="FFFFFF"/>
                  <w:vAlign w:val="center"/>
                </w:tcPr>
                <w:p w14:paraId="040D838B">
                  <w:pPr>
                    <w:jc w:val="center"/>
                    <w:rPr>
                      <w:rFonts w:hint="default" w:ascii="Times New Roman" w:hAnsi="Times New Roman" w:cs="Times New Roman"/>
                      <w:b w:val="0"/>
                      <w:bCs/>
                    </w:rPr>
                  </w:pPr>
                </w:p>
              </w:tc>
              <w:tc>
                <w:tcPr>
                  <w:tcW w:w="472" w:type="pct"/>
                  <w:shd w:val="clear" w:color="auto" w:fill="FFFFFF"/>
                  <w:vAlign w:val="center"/>
                </w:tcPr>
                <w:p w14:paraId="2A14F37E">
                  <w:pPr>
                    <w:jc w:val="center"/>
                    <w:rPr>
                      <w:rFonts w:hint="default" w:ascii="Times New Roman" w:hAnsi="Times New Roman" w:cs="Times New Roman"/>
                      <w:b w:val="0"/>
                      <w:bCs/>
                    </w:rPr>
                  </w:pPr>
                  <w:r>
                    <w:rPr>
                      <w:rFonts w:hint="default" w:ascii="Times New Roman" w:hAnsi="Times New Roman" w:eastAsia="Arial" w:cs="Times New Roman"/>
                      <w:b w:val="0"/>
                      <w:bCs/>
                      <w:sz w:val="20"/>
                    </w:rPr>
                    <w:t>-16.1</w:t>
                  </w:r>
                </w:p>
              </w:tc>
              <w:tc>
                <w:tcPr>
                  <w:tcW w:w="472" w:type="pct"/>
                  <w:shd w:val="clear" w:color="auto" w:fill="FFFFFF"/>
                  <w:vAlign w:val="center"/>
                </w:tcPr>
                <w:p w14:paraId="7763EF72">
                  <w:pPr>
                    <w:jc w:val="center"/>
                    <w:rPr>
                      <w:rFonts w:hint="default" w:ascii="Times New Roman" w:hAnsi="Times New Roman" w:cs="Times New Roman"/>
                      <w:b w:val="0"/>
                      <w:bCs/>
                    </w:rPr>
                  </w:pPr>
                  <w:r>
                    <w:rPr>
                      <w:rFonts w:hint="default" w:ascii="Times New Roman" w:hAnsi="Times New Roman" w:eastAsia="Arial" w:cs="Times New Roman"/>
                      <w:b w:val="0"/>
                      <w:bCs/>
                      <w:sz w:val="20"/>
                    </w:rPr>
                    <w:t>4.5</w:t>
                  </w:r>
                </w:p>
              </w:tc>
              <w:tc>
                <w:tcPr>
                  <w:tcW w:w="470" w:type="pct"/>
                  <w:shd w:val="clear" w:color="auto" w:fill="FFFFFF"/>
                  <w:vAlign w:val="center"/>
                </w:tcPr>
                <w:p w14:paraId="21A266EF">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0B0DF2ED">
                  <w:pPr>
                    <w:jc w:val="center"/>
                    <w:rPr>
                      <w:rFonts w:hint="default" w:ascii="Times New Roman" w:hAnsi="Times New Roman" w:cs="Times New Roman"/>
                      <w:b w:val="0"/>
                      <w:bCs/>
                    </w:rPr>
                  </w:pPr>
                  <w:r>
                    <w:rPr>
                      <w:rFonts w:hint="default" w:ascii="Times New Roman" w:hAnsi="Times New Roman" w:eastAsia="Arial" w:cs="Times New Roman"/>
                      <w:b w:val="0"/>
                      <w:bCs/>
                      <w:sz w:val="20"/>
                    </w:rPr>
                    <w:t>夜间</w:t>
                  </w:r>
                </w:p>
              </w:tc>
              <w:tc>
                <w:tcPr>
                  <w:tcW w:w="1405" w:type="dxa"/>
                  <w:shd w:val="clear" w:color="auto" w:fill="FFFFFF"/>
                  <w:vAlign w:val="center"/>
                </w:tcPr>
                <w:p w14:paraId="655CD559">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47.3</w:t>
                  </w:r>
                </w:p>
              </w:tc>
              <w:tc>
                <w:tcPr>
                  <w:tcW w:w="834" w:type="pct"/>
                  <w:shd w:val="clear" w:color="auto" w:fill="FFFFFF"/>
                  <w:vAlign w:val="center"/>
                </w:tcPr>
                <w:p w14:paraId="753B7299">
                  <w:pPr>
                    <w:jc w:val="center"/>
                    <w:rPr>
                      <w:rFonts w:hint="default" w:ascii="Times New Roman" w:hAnsi="Times New Roman" w:cs="Times New Roman"/>
                      <w:b w:val="0"/>
                      <w:bCs/>
                    </w:rPr>
                  </w:pPr>
                  <w:r>
                    <w:rPr>
                      <w:rFonts w:hint="default" w:ascii="Times New Roman" w:hAnsi="Times New Roman" w:eastAsia="Arial" w:cs="Times New Roman"/>
                      <w:b w:val="0"/>
                      <w:bCs/>
                      <w:sz w:val="20"/>
                    </w:rPr>
                    <w:t>50</w:t>
                  </w:r>
                </w:p>
              </w:tc>
              <w:tc>
                <w:tcPr>
                  <w:tcW w:w="693" w:type="pct"/>
                  <w:shd w:val="clear" w:color="auto" w:fill="FFFFFF"/>
                  <w:vAlign w:val="center"/>
                </w:tcPr>
                <w:p w14:paraId="74386138">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09ACB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restart"/>
                  <w:shd w:val="clear" w:color="auto" w:fill="FFFFFF"/>
                  <w:vAlign w:val="center"/>
                </w:tcPr>
                <w:p w14:paraId="5F996495">
                  <w:pPr>
                    <w:jc w:val="center"/>
                    <w:rPr>
                      <w:rFonts w:hint="default" w:ascii="Times New Roman" w:hAnsi="Times New Roman" w:cs="Times New Roman"/>
                      <w:b w:val="0"/>
                      <w:bCs/>
                    </w:rPr>
                  </w:pPr>
                  <w:r>
                    <w:rPr>
                      <w:rFonts w:hint="default" w:ascii="Times New Roman" w:hAnsi="Times New Roman" w:eastAsia="Arial" w:cs="Times New Roman"/>
                      <w:b w:val="0"/>
                      <w:bCs/>
                      <w:sz w:val="20"/>
                    </w:rPr>
                    <w:t>北侧</w:t>
                  </w:r>
                </w:p>
              </w:tc>
              <w:tc>
                <w:tcPr>
                  <w:tcW w:w="472" w:type="pct"/>
                  <w:shd w:val="clear" w:color="auto" w:fill="FFFFFF"/>
                  <w:vAlign w:val="center"/>
                </w:tcPr>
                <w:p w14:paraId="4AEB65D3">
                  <w:pPr>
                    <w:jc w:val="center"/>
                    <w:rPr>
                      <w:rFonts w:hint="default" w:ascii="Times New Roman" w:hAnsi="Times New Roman" w:cs="Times New Roman"/>
                      <w:b w:val="0"/>
                      <w:bCs/>
                    </w:rPr>
                  </w:pPr>
                  <w:r>
                    <w:rPr>
                      <w:rFonts w:hint="default" w:ascii="Times New Roman" w:hAnsi="Times New Roman" w:eastAsia="Arial" w:cs="Times New Roman"/>
                      <w:b w:val="0"/>
                      <w:bCs/>
                      <w:sz w:val="20"/>
                    </w:rPr>
                    <w:t>-6</w:t>
                  </w:r>
                </w:p>
              </w:tc>
              <w:tc>
                <w:tcPr>
                  <w:tcW w:w="472" w:type="pct"/>
                  <w:shd w:val="clear" w:color="auto" w:fill="FFFFFF"/>
                  <w:vAlign w:val="center"/>
                </w:tcPr>
                <w:p w14:paraId="50A9FA22">
                  <w:pPr>
                    <w:jc w:val="center"/>
                    <w:rPr>
                      <w:rFonts w:hint="default" w:ascii="Times New Roman" w:hAnsi="Times New Roman" w:cs="Times New Roman"/>
                      <w:b w:val="0"/>
                      <w:bCs/>
                    </w:rPr>
                  </w:pPr>
                  <w:r>
                    <w:rPr>
                      <w:rFonts w:hint="default" w:ascii="Times New Roman" w:hAnsi="Times New Roman" w:eastAsia="Arial" w:cs="Times New Roman"/>
                      <w:b w:val="0"/>
                      <w:bCs/>
                      <w:sz w:val="20"/>
                    </w:rPr>
                    <w:t>40.8</w:t>
                  </w:r>
                </w:p>
              </w:tc>
              <w:tc>
                <w:tcPr>
                  <w:tcW w:w="470" w:type="pct"/>
                  <w:shd w:val="clear" w:color="auto" w:fill="FFFFFF"/>
                  <w:vAlign w:val="center"/>
                </w:tcPr>
                <w:p w14:paraId="1749CA82">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5F945B58">
                  <w:pPr>
                    <w:jc w:val="center"/>
                    <w:rPr>
                      <w:rFonts w:hint="default" w:ascii="Times New Roman" w:hAnsi="Times New Roman" w:cs="Times New Roman"/>
                      <w:b w:val="0"/>
                      <w:bCs/>
                    </w:rPr>
                  </w:pPr>
                  <w:r>
                    <w:rPr>
                      <w:rFonts w:hint="default" w:ascii="Times New Roman" w:hAnsi="Times New Roman" w:eastAsia="Arial" w:cs="Times New Roman"/>
                      <w:b w:val="0"/>
                      <w:bCs/>
                      <w:sz w:val="20"/>
                    </w:rPr>
                    <w:t>昼间</w:t>
                  </w:r>
                </w:p>
              </w:tc>
              <w:tc>
                <w:tcPr>
                  <w:tcW w:w="1405" w:type="dxa"/>
                  <w:shd w:val="clear" w:color="auto" w:fill="FFFFFF"/>
                  <w:vAlign w:val="center"/>
                </w:tcPr>
                <w:p w14:paraId="4F708A76">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40.2</w:t>
                  </w:r>
                </w:p>
              </w:tc>
              <w:tc>
                <w:tcPr>
                  <w:tcW w:w="834" w:type="pct"/>
                  <w:shd w:val="clear" w:color="auto" w:fill="FFFFFF"/>
                  <w:vAlign w:val="center"/>
                </w:tcPr>
                <w:p w14:paraId="5837F7A6">
                  <w:pPr>
                    <w:jc w:val="center"/>
                    <w:rPr>
                      <w:rFonts w:hint="default" w:ascii="Times New Roman" w:hAnsi="Times New Roman" w:cs="Times New Roman"/>
                      <w:b w:val="0"/>
                      <w:bCs/>
                    </w:rPr>
                  </w:pPr>
                  <w:r>
                    <w:rPr>
                      <w:rFonts w:hint="default" w:ascii="Times New Roman" w:hAnsi="Times New Roman" w:eastAsia="Arial" w:cs="Times New Roman"/>
                      <w:b w:val="0"/>
                      <w:bCs/>
                      <w:sz w:val="20"/>
                    </w:rPr>
                    <w:t>60</w:t>
                  </w:r>
                </w:p>
              </w:tc>
              <w:tc>
                <w:tcPr>
                  <w:tcW w:w="693" w:type="pct"/>
                  <w:shd w:val="clear" w:color="auto" w:fill="FFFFFF"/>
                  <w:vAlign w:val="center"/>
                </w:tcPr>
                <w:p w14:paraId="61EE1289">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r w14:paraId="699C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641" w:type="pct"/>
                  <w:vMerge w:val="continue"/>
                  <w:shd w:val="clear" w:color="auto" w:fill="FFFFFF"/>
                  <w:vAlign w:val="center"/>
                </w:tcPr>
                <w:p w14:paraId="56D9B56E">
                  <w:pPr>
                    <w:jc w:val="center"/>
                    <w:rPr>
                      <w:rFonts w:hint="default" w:ascii="Times New Roman" w:hAnsi="Times New Roman" w:cs="Times New Roman"/>
                      <w:b w:val="0"/>
                      <w:bCs/>
                    </w:rPr>
                  </w:pPr>
                </w:p>
              </w:tc>
              <w:tc>
                <w:tcPr>
                  <w:tcW w:w="472" w:type="pct"/>
                  <w:shd w:val="clear" w:color="auto" w:fill="FFFFFF"/>
                  <w:vAlign w:val="center"/>
                </w:tcPr>
                <w:p w14:paraId="3904C932">
                  <w:pPr>
                    <w:jc w:val="center"/>
                    <w:rPr>
                      <w:rFonts w:hint="default" w:ascii="Times New Roman" w:hAnsi="Times New Roman" w:cs="Times New Roman"/>
                      <w:b w:val="0"/>
                      <w:bCs/>
                    </w:rPr>
                  </w:pPr>
                  <w:r>
                    <w:rPr>
                      <w:rFonts w:hint="default" w:ascii="Times New Roman" w:hAnsi="Times New Roman" w:eastAsia="Arial" w:cs="Times New Roman"/>
                      <w:b w:val="0"/>
                      <w:bCs/>
                      <w:sz w:val="20"/>
                    </w:rPr>
                    <w:t>-6</w:t>
                  </w:r>
                </w:p>
              </w:tc>
              <w:tc>
                <w:tcPr>
                  <w:tcW w:w="472" w:type="pct"/>
                  <w:shd w:val="clear" w:color="auto" w:fill="FFFFFF"/>
                  <w:vAlign w:val="center"/>
                </w:tcPr>
                <w:p w14:paraId="520C770E">
                  <w:pPr>
                    <w:jc w:val="center"/>
                    <w:rPr>
                      <w:rFonts w:hint="default" w:ascii="Times New Roman" w:hAnsi="Times New Roman" w:cs="Times New Roman"/>
                      <w:b w:val="0"/>
                      <w:bCs/>
                    </w:rPr>
                  </w:pPr>
                  <w:r>
                    <w:rPr>
                      <w:rFonts w:hint="default" w:ascii="Times New Roman" w:hAnsi="Times New Roman" w:eastAsia="Arial" w:cs="Times New Roman"/>
                      <w:b w:val="0"/>
                      <w:bCs/>
                      <w:sz w:val="20"/>
                    </w:rPr>
                    <w:t>40.8</w:t>
                  </w:r>
                </w:p>
              </w:tc>
              <w:tc>
                <w:tcPr>
                  <w:tcW w:w="470" w:type="pct"/>
                  <w:shd w:val="clear" w:color="auto" w:fill="FFFFFF"/>
                  <w:vAlign w:val="center"/>
                </w:tcPr>
                <w:p w14:paraId="1A5D8F63">
                  <w:pPr>
                    <w:jc w:val="center"/>
                    <w:rPr>
                      <w:rFonts w:hint="default" w:ascii="Times New Roman" w:hAnsi="Times New Roman" w:cs="Times New Roman"/>
                      <w:b w:val="0"/>
                      <w:bCs/>
                    </w:rPr>
                  </w:pPr>
                  <w:r>
                    <w:rPr>
                      <w:rFonts w:hint="default" w:ascii="Times New Roman" w:hAnsi="Times New Roman" w:eastAsia="Arial" w:cs="Times New Roman"/>
                      <w:b w:val="0"/>
                      <w:bCs/>
                      <w:sz w:val="20"/>
                    </w:rPr>
                    <w:t>1.2</w:t>
                  </w:r>
                </w:p>
              </w:tc>
              <w:tc>
                <w:tcPr>
                  <w:tcW w:w="579" w:type="pct"/>
                  <w:shd w:val="clear" w:color="auto" w:fill="FFFFFF"/>
                  <w:vAlign w:val="center"/>
                </w:tcPr>
                <w:p w14:paraId="4AB31ABE">
                  <w:pPr>
                    <w:jc w:val="center"/>
                    <w:rPr>
                      <w:rFonts w:hint="default" w:ascii="Times New Roman" w:hAnsi="Times New Roman" w:cs="Times New Roman"/>
                      <w:b w:val="0"/>
                      <w:bCs/>
                    </w:rPr>
                  </w:pPr>
                  <w:r>
                    <w:rPr>
                      <w:rFonts w:hint="default" w:ascii="Times New Roman" w:hAnsi="Times New Roman" w:eastAsia="Arial" w:cs="Times New Roman"/>
                      <w:b w:val="0"/>
                      <w:bCs/>
                      <w:sz w:val="20"/>
                    </w:rPr>
                    <w:t>夜间</w:t>
                  </w:r>
                </w:p>
              </w:tc>
              <w:tc>
                <w:tcPr>
                  <w:tcW w:w="1405" w:type="dxa"/>
                  <w:shd w:val="clear" w:color="auto" w:fill="FFFFFF"/>
                  <w:vAlign w:val="center"/>
                </w:tcPr>
                <w:p w14:paraId="394814B3">
                  <w:pPr>
                    <w:jc w:val="center"/>
                    <w:rPr>
                      <w:rFonts w:hint="default" w:ascii="Times New Roman" w:hAnsi="Times New Roman" w:eastAsia="Arial" w:cs="Times New Roman"/>
                      <w:b w:val="0"/>
                      <w:bCs/>
                      <w:color w:val="auto"/>
                      <w:sz w:val="20"/>
                    </w:rPr>
                  </w:pPr>
                  <w:r>
                    <w:rPr>
                      <w:rFonts w:hint="default" w:ascii="Times New Roman" w:hAnsi="Times New Roman" w:eastAsia="Arial" w:cs="Times New Roman"/>
                      <w:b w:val="0"/>
                      <w:bCs/>
                      <w:color w:val="auto"/>
                      <w:sz w:val="20"/>
                    </w:rPr>
                    <w:t>40.2</w:t>
                  </w:r>
                </w:p>
              </w:tc>
              <w:tc>
                <w:tcPr>
                  <w:tcW w:w="834" w:type="pct"/>
                  <w:shd w:val="clear" w:color="auto" w:fill="FFFFFF"/>
                  <w:vAlign w:val="center"/>
                </w:tcPr>
                <w:p w14:paraId="38418116">
                  <w:pPr>
                    <w:jc w:val="center"/>
                    <w:rPr>
                      <w:rFonts w:hint="default" w:ascii="Times New Roman" w:hAnsi="Times New Roman" w:cs="Times New Roman"/>
                      <w:b w:val="0"/>
                      <w:bCs/>
                    </w:rPr>
                  </w:pPr>
                  <w:r>
                    <w:rPr>
                      <w:rFonts w:hint="default" w:ascii="Times New Roman" w:hAnsi="Times New Roman" w:eastAsia="Arial" w:cs="Times New Roman"/>
                      <w:b w:val="0"/>
                      <w:bCs/>
                      <w:sz w:val="20"/>
                    </w:rPr>
                    <w:t>50</w:t>
                  </w:r>
                </w:p>
              </w:tc>
              <w:tc>
                <w:tcPr>
                  <w:tcW w:w="693" w:type="pct"/>
                  <w:shd w:val="clear" w:color="auto" w:fill="FFFFFF"/>
                  <w:vAlign w:val="center"/>
                </w:tcPr>
                <w:p w14:paraId="6FF3E169">
                  <w:pPr>
                    <w:jc w:val="center"/>
                    <w:rPr>
                      <w:rFonts w:hint="default" w:ascii="Times New Roman" w:hAnsi="Times New Roman" w:cs="Times New Roman"/>
                      <w:b w:val="0"/>
                      <w:bCs/>
                    </w:rPr>
                  </w:pPr>
                  <w:r>
                    <w:rPr>
                      <w:rFonts w:hint="default" w:ascii="Times New Roman" w:hAnsi="Times New Roman" w:eastAsia="Arial" w:cs="Times New Roman"/>
                      <w:b w:val="0"/>
                      <w:bCs/>
                      <w:sz w:val="20"/>
                    </w:rPr>
                    <w:t>达标</w:t>
                  </w:r>
                </w:p>
              </w:tc>
            </w:tr>
          </w:tbl>
          <w:p w14:paraId="599A6981">
            <w:pPr>
              <w:spacing w:line="360" w:lineRule="auto"/>
              <w:ind w:firstLine="480" w:firstLineChars="200"/>
              <w:textAlignment w:val="baseline"/>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由上表看出，本项目通过采取基础减振、厂房隔声、距离衰减等措施降噪，项目投产后设备运行噪声对厂界的噪声贡献值满足《工业企业厂界环境噪声排放标准》（GB12348-2008）表1中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14:textFill>
                  <w14:solidFill>
                    <w14:schemeClr w14:val="tx1"/>
                  </w14:solidFill>
                </w14:textFill>
              </w:rPr>
              <w:t>类</w:t>
            </w:r>
            <w:r>
              <w:rPr>
                <w:rFonts w:ascii="Times New Roman" w:hAnsi="Times New Roman" w:eastAsia="宋体" w:cs="Times New Roman"/>
                <w:color w:val="000000" w:themeColor="text1"/>
                <w:sz w:val="24"/>
                <w14:textFill>
                  <w14:solidFill>
                    <w14:schemeClr w14:val="tx1"/>
                  </w14:solidFill>
                </w14:textFill>
              </w:rPr>
              <w:t>标准要求。</w:t>
            </w:r>
          </w:p>
          <w:p w14:paraId="28D9B2ED">
            <w:pPr>
              <w:spacing w:line="360" w:lineRule="auto"/>
              <w:ind w:firstLine="480" w:firstLineChars="200"/>
              <w:textAlignment w:val="baseline"/>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综上，本项目的噪声贡献值对厂界声环境的影响较小，不会对厂界及声环境敏感点声环境质量产生明显不利影响。</w:t>
            </w:r>
          </w:p>
          <w:p w14:paraId="56CCA4E2">
            <w:pPr>
              <w:pStyle w:val="25"/>
              <w:spacing w:line="360" w:lineRule="auto"/>
              <w:ind w:left="0"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eastAsia="宋体" w:cs="Times New Roman"/>
                <w:kern w:val="2"/>
                <w:sz w:val="24"/>
                <w:szCs w:val="21"/>
                <w:lang w:val="zh-CN" w:eastAsia="zh-CN" w:bidi="ar-SA"/>
              </w:rPr>
              <w:t>根据《排污单位自行监测技术指南总则》（HJ819-2017）</w:t>
            </w:r>
            <w:r>
              <w:rPr>
                <w:rFonts w:hint="eastAsia" w:ascii="Times New Roman" w:hAnsi="Times New Roman" w:eastAsia="宋体" w:cs="Times New Roman"/>
                <w:kern w:val="2"/>
                <w:sz w:val="24"/>
                <w:szCs w:val="21"/>
                <w:lang w:val="zh-CN" w:eastAsia="zh-CN" w:bidi="ar-SA"/>
              </w:rPr>
              <w:t>和《</w:t>
            </w:r>
            <w:r>
              <w:rPr>
                <w:rFonts w:hint="eastAsia" w:ascii="Times New Roman" w:hAnsi="Times New Roman" w:eastAsia="宋体" w:cs="Times New Roman"/>
                <w:kern w:val="2"/>
                <w:sz w:val="24"/>
                <w:szCs w:val="21"/>
                <w:highlight w:val="none"/>
                <w:lang w:val="zh-CN" w:eastAsia="zh-CN" w:bidi="ar-SA"/>
              </w:rPr>
              <w:t>排污许可申请与核发技术规范</w:t>
            </w:r>
            <w:r>
              <w:rPr>
                <w:rFonts w:hint="eastAsia" w:ascii="Times New Roman" w:hAnsi="Times New Roman" w:cs="Times New Roman"/>
                <w:kern w:val="2"/>
                <w:sz w:val="24"/>
                <w:szCs w:val="21"/>
                <w:highlight w:val="none"/>
                <w:lang w:val="en-US" w:eastAsia="zh-CN" w:bidi="ar-SA"/>
              </w:rPr>
              <w:t xml:space="preserve"> 工业噪声</w:t>
            </w:r>
            <w:r>
              <w:rPr>
                <w:rFonts w:hint="eastAsia" w:ascii="Times New Roman" w:hAnsi="Times New Roman" w:eastAsia="宋体" w:cs="Times New Roman"/>
                <w:kern w:val="2"/>
                <w:sz w:val="24"/>
                <w:szCs w:val="21"/>
                <w:highlight w:val="none"/>
                <w:lang w:val="zh-CN" w:eastAsia="zh-CN" w:bidi="ar-SA"/>
              </w:rPr>
              <w:t>》（</w:t>
            </w:r>
            <w:r>
              <w:rPr>
                <w:rFonts w:hint="eastAsia" w:ascii="Times New Roman" w:hAnsi="Times New Roman" w:eastAsia="宋体" w:cs="Times New Roman"/>
                <w:kern w:val="2"/>
                <w:sz w:val="24"/>
                <w:szCs w:val="21"/>
                <w:highlight w:val="none"/>
                <w:lang w:val="en-US" w:eastAsia="zh-CN" w:bidi="ar-SA"/>
              </w:rPr>
              <w:t>HJ1301-2023</w:t>
            </w:r>
            <w:r>
              <w:rPr>
                <w:rFonts w:hint="eastAsia" w:ascii="Times New Roman" w:hAnsi="Times New Roman" w:eastAsia="宋体" w:cs="Times New Roman"/>
                <w:kern w:val="2"/>
                <w:sz w:val="24"/>
                <w:szCs w:val="21"/>
                <w:highlight w:val="none"/>
                <w:lang w:val="zh-CN" w:eastAsia="zh-CN" w:bidi="ar-SA"/>
              </w:rPr>
              <w:t>）</w:t>
            </w:r>
            <w:r>
              <w:rPr>
                <w:rFonts w:ascii="Times New Roman" w:hAnsi="Times New Roman" w:eastAsia="宋体" w:cs="Times New Roman"/>
                <w:kern w:val="2"/>
                <w:sz w:val="24"/>
                <w:szCs w:val="21"/>
                <w:lang w:val="en-US" w:eastAsia="zh-CN" w:bidi="ar-SA"/>
              </w:rPr>
              <w:t>，本项目噪声监测要求见下表</w:t>
            </w:r>
            <w:r>
              <w:rPr>
                <w:rFonts w:ascii="Times New Roman" w:hAnsi="Times New Roman"/>
                <w:color w:val="000000" w:themeColor="text1"/>
                <w:sz w:val="24"/>
                <w:szCs w:val="24"/>
                <w14:textFill>
                  <w14:solidFill>
                    <w14:schemeClr w14:val="tx1"/>
                  </w14:solidFill>
                </w14:textFill>
              </w:rPr>
              <w:t>：</w:t>
            </w:r>
          </w:p>
          <w:p w14:paraId="7D025297">
            <w:pPr>
              <w:pStyle w:val="77"/>
              <w:spacing w:before="156"/>
              <w:rPr>
                <w:rFonts w:ascii="Times New Roman" w:hAnsi="Times New Roman" w:cs="Times New Roman"/>
                <w:bCs/>
                <w:color w:val="000000" w:themeColor="text1"/>
                <w:sz w:val="24"/>
                <w:szCs w:val="24"/>
                <w14:textFill>
                  <w14:solidFill>
                    <w14:schemeClr w14:val="tx1"/>
                  </w14:solidFill>
                </w14:textFill>
              </w:rPr>
            </w:pPr>
            <w:r>
              <w:rPr>
                <w:rFonts w:ascii="Times New Roman" w:hAnsi="Times New Roman" w:cs="Times New Roman"/>
                <w:bCs/>
                <w:color w:val="000000" w:themeColor="text1"/>
                <w:sz w:val="24"/>
                <w:szCs w:val="24"/>
                <w14:textFill>
                  <w14:solidFill>
                    <w14:schemeClr w14:val="tx1"/>
                  </w14:solidFill>
                </w14:textFill>
              </w:rPr>
              <w:t>表4-</w:t>
            </w:r>
            <w:r>
              <w:rPr>
                <w:rFonts w:hint="eastAsia" w:ascii="Times New Roman" w:hAnsi="Times New Roman" w:cs="Times New Roman"/>
                <w:bCs/>
                <w:color w:val="000000" w:themeColor="text1"/>
                <w:sz w:val="24"/>
                <w:szCs w:val="24"/>
                <w:lang w:val="en-US" w:eastAsia="zh-CN"/>
                <w14:textFill>
                  <w14:solidFill>
                    <w14:schemeClr w14:val="tx1"/>
                  </w14:solidFill>
                </w14:textFill>
              </w:rPr>
              <w:t>12</w:t>
            </w:r>
            <w:r>
              <w:rPr>
                <w:rFonts w:ascii="Times New Roman" w:hAnsi="Times New Roman" w:cs="Times New Roman"/>
                <w:bCs/>
                <w:color w:val="000000" w:themeColor="text1"/>
                <w:sz w:val="24"/>
                <w:szCs w:val="24"/>
                <w14:textFill>
                  <w14:solidFill>
                    <w14:schemeClr w14:val="tx1"/>
                  </w14:solidFill>
                </w14:textFill>
              </w:rPr>
              <w:t xml:space="preserve"> </w:t>
            </w:r>
            <w:r>
              <w:rPr>
                <w:rFonts w:hint="eastAsia" w:ascii="Times New Roman" w:hAnsi="Times New Roman" w:cs="Times New Roman"/>
                <w:bCs/>
                <w:color w:val="000000" w:themeColor="text1"/>
                <w:sz w:val="24"/>
                <w:szCs w:val="24"/>
                <w:lang w:val="en-US" w:eastAsia="zh-CN"/>
                <w14:textFill>
                  <w14:solidFill>
                    <w14:schemeClr w14:val="tx1"/>
                  </w14:solidFill>
                </w14:textFill>
              </w:rPr>
              <w:t xml:space="preserve">  </w:t>
            </w:r>
            <w:r>
              <w:rPr>
                <w:rFonts w:ascii="Times New Roman" w:hAnsi="Times New Roman" w:cs="Times New Roman"/>
                <w:bCs/>
                <w:color w:val="000000" w:themeColor="text1"/>
                <w:sz w:val="24"/>
                <w:szCs w:val="24"/>
                <w14:textFill>
                  <w14:solidFill>
                    <w14:schemeClr w14:val="tx1"/>
                  </w14:solidFill>
                </w14:textFill>
              </w:rPr>
              <w:t>本项目监测计划一览表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309"/>
              <w:gridCol w:w="2547"/>
              <w:gridCol w:w="2363"/>
              <w:gridCol w:w="1477"/>
            </w:tblGrid>
            <w:tr w14:paraId="3503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8" w:type="pct"/>
                  <w:shd w:val="clear" w:color="auto" w:fill="auto"/>
                  <w:vAlign w:val="center"/>
                </w:tcPr>
                <w:p w14:paraId="5E394BA7">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序号</w:t>
                  </w:r>
                </w:p>
              </w:tc>
              <w:tc>
                <w:tcPr>
                  <w:tcW w:w="777" w:type="pct"/>
                  <w:shd w:val="clear" w:color="auto" w:fill="auto"/>
                  <w:vAlign w:val="center"/>
                </w:tcPr>
                <w:p w14:paraId="701AB603">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监测项目</w:t>
                  </w:r>
                </w:p>
              </w:tc>
              <w:tc>
                <w:tcPr>
                  <w:tcW w:w="1512" w:type="pct"/>
                  <w:shd w:val="clear" w:color="auto" w:fill="auto"/>
                  <w:vAlign w:val="center"/>
                </w:tcPr>
                <w:p w14:paraId="594AD1EA">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监测点位</w:t>
                  </w:r>
                </w:p>
              </w:tc>
              <w:tc>
                <w:tcPr>
                  <w:tcW w:w="1403" w:type="pct"/>
                  <w:shd w:val="clear" w:color="auto" w:fill="auto"/>
                  <w:vAlign w:val="center"/>
                </w:tcPr>
                <w:p w14:paraId="1BB1AB1C">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监测因子</w:t>
                  </w:r>
                </w:p>
              </w:tc>
              <w:tc>
                <w:tcPr>
                  <w:tcW w:w="877" w:type="pct"/>
                  <w:shd w:val="clear" w:color="auto" w:fill="auto"/>
                  <w:vAlign w:val="center"/>
                </w:tcPr>
                <w:p w14:paraId="6979C38C">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监测频次</w:t>
                  </w:r>
                </w:p>
              </w:tc>
            </w:tr>
            <w:tr w14:paraId="48EA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28" w:type="pct"/>
                  <w:shd w:val="clear" w:color="auto" w:fill="auto"/>
                  <w:vAlign w:val="center"/>
                </w:tcPr>
                <w:p w14:paraId="0065C56C">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w:t>
                  </w:r>
                </w:p>
              </w:tc>
              <w:tc>
                <w:tcPr>
                  <w:tcW w:w="777" w:type="pct"/>
                  <w:shd w:val="clear" w:color="auto" w:fill="auto"/>
                  <w:vAlign w:val="center"/>
                </w:tcPr>
                <w:p w14:paraId="70A59DBC">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噪声</w:t>
                  </w:r>
                </w:p>
              </w:tc>
              <w:tc>
                <w:tcPr>
                  <w:tcW w:w="1512" w:type="pct"/>
                  <w:shd w:val="clear" w:color="auto" w:fill="auto"/>
                  <w:vAlign w:val="center"/>
                </w:tcPr>
                <w:p w14:paraId="1C388372">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厂界四周</w:t>
                  </w:r>
                </w:p>
              </w:tc>
              <w:tc>
                <w:tcPr>
                  <w:tcW w:w="1403" w:type="pct"/>
                  <w:shd w:val="clear" w:color="auto" w:fill="auto"/>
                  <w:vAlign w:val="center"/>
                </w:tcPr>
                <w:p w14:paraId="6B82CE55">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等效A声级</w:t>
                  </w:r>
                </w:p>
              </w:tc>
              <w:tc>
                <w:tcPr>
                  <w:tcW w:w="877" w:type="pct"/>
                  <w:shd w:val="clear" w:color="auto" w:fill="auto"/>
                  <w:vAlign w:val="center"/>
                </w:tcPr>
                <w:p w14:paraId="11053B2A">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1次/季度</w:t>
                  </w:r>
                </w:p>
              </w:tc>
            </w:tr>
          </w:tbl>
          <w:p w14:paraId="02D04C66">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lang w:eastAsia="zh-CN"/>
              </w:rPr>
              <w:t>四</w:t>
            </w:r>
            <w:r>
              <w:rPr>
                <w:rFonts w:ascii="Times New Roman" w:hAnsi="Times New Roman" w:eastAsia="宋体" w:cs="Times New Roman"/>
                <w:b/>
                <w:color w:val="auto"/>
                <w:sz w:val="24"/>
                <w:highlight w:val="none"/>
              </w:rPr>
              <w:t>、固体废物影响分析</w:t>
            </w:r>
          </w:p>
          <w:p w14:paraId="13FD84F0">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val="en-US" w:eastAsia="zh-CN"/>
              </w:rPr>
              <w:t>建成后</w:t>
            </w:r>
            <w:r>
              <w:rPr>
                <w:rFonts w:hint="default" w:ascii="Times New Roman" w:hAnsi="Times New Roman" w:eastAsia="宋体" w:cs="Times New Roman"/>
                <w:color w:val="auto"/>
                <w:sz w:val="24"/>
                <w:szCs w:val="24"/>
                <w:highlight w:val="none"/>
              </w:rPr>
              <w:t>固体废物主要</w:t>
            </w:r>
            <w:r>
              <w:rPr>
                <w:rFonts w:hint="eastAsia" w:ascii="Times New Roman" w:hAnsi="Times New Roman" w:eastAsia="宋体" w:cs="Times New Roman"/>
                <w:color w:val="auto"/>
                <w:sz w:val="24"/>
                <w:szCs w:val="24"/>
                <w:highlight w:val="none"/>
                <w:lang w:eastAsia="zh-CN"/>
              </w:rPr>
              <w:t>为废边角料、不合格品及退货订单产品、布袋除尘器收集尘、废布袋、废包装物、</w:t>
            </w:r>
            <w:r>
              <w:rPr>
                <w:rFonts w:hint="eastAsia" w:ascii="Times New Roman" w:hAnsi="Times New Roman" w:eastAsia="宋体" w:cs="Times New Roman"/>
                <w:color w:val="auto"/>
                <w:sz w:val="24"/>
                <w:szCs w:val="24"/>
                <w:highlight w:val="none"/>
                <w:lang w:val="en-US" w:eastAsia="zh-CN"/>
              </w:rPr>
              <w:t>废机油、废机油桶、</w:t>
            </w:r>
            <w:r>
              <w:rPr>
                <w:rFonts w:hint="eastAsia" w:ascii="Times New Roman" w:hAnsi="Times New Roman" w:eastAsia="宋体" w:cs="Times New Roman"/>
                <w:color w:val="auto"/>
                <w:sz w:val="24"/>
                <w:szCs w:val="24"/>
                <w:highlight w:val="none"/>
                <w:lang w:eastAsia="zh-CN"/>
              </w:rPr>
              <w:t>废活性炭、废催化剂</w:t>
            </w:r>
            <w:r>
              <w:rPr>
                <w:rFonts w:hint="eastAsia" w:ascii="Times New Roman" w:hAnsi="Times New Roman" w:eastAsia="宋体" w:cs="Times New Roman"/>
                <w:color w:val="auto"/>
                <w:sz w:val="24"/>
                <w:szCs w:val="24"/>
                <w:highlight w:val="none"/>
                <w:lang w:val="en-US" w:eastAsia="zh-CN"/>
              </w:rPr>
              <w:t>和生活垃圾</w:t>
            </w:r>
            <w:r>
              <w:rPr>
                <w:rFonts w:hint="eastAsia" w:ascii="Times New Roman" w:hAnsi="Times New Roman" w:eastAsia="宋体" w:cs="Times New Roman"/>
                <w:color w:val="auto"/>
                <w:sz w:val="24"/>
                <w:szCs w:val="24"/>
                <w:highlight w:val="none"/>
                <w:lang w:eastAsia="zh-CN"/>
              </w:rPr>
              <w:t>。</w:t>
            </w:r>
          </w:p>
          <w:p w14:paraId="351D0450">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其中</w:t>
            </w:r>
            <w:r>
              <w:rPr>
                <w:rFonts w:hint="eastAsia" w:ascii="Times New Roman" w:hAnsi="Times New Roman" w:eastAsia="宋体" w:cs="Times New Roman"/>
                <w:color w:val="auto"/>
                <w:sz w:val="24"/>
                <w:szCs w:val="24"/>
                <w:highlight w:val="none"/>
                <w:lang w:val="en-US" w:eastAsia="zh-CN"/>
              </w:rPr>
              <w:t>一般工业固废：</w:t>
            </w:r>
            <w:r>
              <w:rPr>
                <w:rFonts w:hint="eastAsia" w:ascii="Times New Roman" w:hAnsi="Times New Roman" w:eastAsia="宋体" w:cs="Times New Roman"/>
                <w:color w:val="auto"/>
                <w:sz w:val="24"/>
                <w:szCs w:val="24"/>
                <w:highlight w:val="none"/>
                <w:lang w:eastAsia="zh-CN"/>
              </w:rPr>
              <w:t>废边角料经低速断料机剪切后回用于生产，不合格品及退货订单产品经粉碎机粉碎后回用于生产；布袋除尘器收集尘、</w:t>
            </w:r>
            <w:r>
              <w:rPr>
                <w:rFonts w:hint="eastAsia" w:ascii="Times New Roman" w:hAnsi="Times New Roman" w:eastAsia="宋体" w:cs="Times New Roman"/>
                <w:color w:val="auto"/>
                <w:sz w:val="24"/>
                <w:szCs w:val="24"/>
                <w:highlight w:val="none"/>
                <w:lang w:eastAsia="zh-CN"/>
              </w:rPr>
              <w:t>废布袋、废包装物外售综合利用；</w:t>
            </w:r>
            <w:r>
              <w:rPr>
                <w:rFonts w:hint="eastAsia" w:ascii="Times New Roman" w:hAnsi="Times New Roman" w:eastAsia="宋体" w:cs="Times New Roman"/>
                <w:color w:val="auto"/>
                <w:sz w:val="24"/>
                <w:szCs w:val="24"/>
                <w:highlight w:val="none"/>
                <w:lang w:val="en-US" w:eastAsia="zh-CN"/>
              </w:rPr>
              <w:t>危险废物：废机油、废机油桶、</w:t>
            </w:r>
            <w:r>
              <w:rPr>
                <w:rFonts w:hint="eastAsia" w:ascii="Times New Roman" w:hAnsi="Times New Roman" w:eastAsia="宋体" w:cs="Times New Roman"/>
                <w:color w:val="auto"/>
                <w:sz w:val="24"/>
                <w:szCs w:val="24"/>
                <w:highlight w:val="none"/>
                <w:lang w:eastAsia="zh-CN"/>
              </w:rPr>
              <w:t>废活性炭、废催化剂</w:t>
            </w:r>
            <w:r>
              <w:rPr>
                <w:rFonts w:hint="eastAsia" w:ascii="Times New Roman" w:hAnsi="Times New Roman" w:eastAsia="宋体" w:cs="Times New Roman"/>
                <w:color w:val="auto"/>
                <w:sz w:val="24"/>
                <w:szCs w:val="24"/>
                <w:highlight w:val="none"/>
                <w:lang w:val="en-US" w:eastAsia="zh-CN"/>
              </w:rPr>
              <w:t>暂存于危废间，定期交有资质单位处理；生活垃圾：</w:t>
            </w:r>
            <w:r>
              <w:rPr>
                <w:rFonts w:hint="eastAsia" w:ascii="Times New Roman" w:hAnsi="Times New Roman" w:eastAsia="宋体" w:cs="Times New Roman"/>
                <w:color w:val="auto"/>
                <w:sz w:val="24"/>
                <w:szCs w:val="24"/>
                <w:highlight w:val="none"/>
                <w:lang w:eastAsia="zh-CN"/>
              </w:rPr>
              <w:t>生活垃圾交由当地环卫部门统一清运处理。</w:t>
            </w:r>
          </w:p>
          <w:p w14:paraId="11DCF722">
            <w:pPr>
              <w:keepNext w:val="0"/>
              <w:keepLines w:val="0"/>
              <w:pageBreakBefore w:val="0"/>
              <w:widowControl w:val="0"/>
              <w:kinsoku/>
              <w:wordWrap/>
              <w:overflowPunct/>
              <w:topLinePunct w:val="0"/>
              <w:bidi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生活垃圾</w:t>
            </w:r>
          </w:p>
          <w:p w14:paraId="2F9FDEEF">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全厂劳动定员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人，</w:t>
            </w:r>
            <w:r>
              <w:rPr>
                <w:rFonts w:hint="default" w:ascii="Times New Roman" w:hAnsi="Times New Roman" w:eastAsia="宋体" w:cs="Times New Roman"/>
                <w:color w:val="000000" w:themeColor="text1"/>
                <w:spacing w:val="-3"/>
                <w:sz w:val="24"/>
                <w:szCs w:val="24"/>
                <w:highlight w:val="none"/>
                <w14:textFill>
                  <w14:solidFill>
                    <w14:schemeClr w14:val="tx1"/>
                  </w14:solidFill>
                </w14:textFill>
              </w:rPr>
              <w:t>生活垃圾按0.5kg/d·人计算，生活垃圾产生量为</w:t>
            </w:r>
            <w:r>
              <w:rPr>
                <w:rFonts w:hint="eastAsia" w:ascii="Times New Roman" w:hAnsi="Times New Roman" w:eastAsia="宋体" w:cs="Times New Roman"/>
                <w:color w:val="000000" w:themeColor="text1"/>
                <w:spacing w:val="-3"/>
                <w:sz w:val="24"/>
                <w:szCs w:val="24"/>
                <w:highlight w:val="none"/>
                <w:lang w:val="en-US" w:eastAsia="zh-CN"/>
                <w14:textFill>
                  <w14:solidFill>
                    <w14:schemeClr w14:val="tx1"/>
                  </w14:solidFill>
                </w14:textFill>
              </w:rPr>
              <w:t>6.75</w:t>
            </w:r>
            <w:r>
              <w:rPr>
                <w:rFonts w:hint="default" w:ascii="Times New Roman" w:hAnsi="Times New Roman" w:eastAsia="宋体" w:cs="Times New Roman"/>
                <w:color w:val="000000" w:themeColor="text1"/>
                <w:spacing w:val="-3"/>
                <w:sz w:val="24"/>
                <w:szCs w:val="24"/>
                <w:highlight w:val="none"/>
                <w14:textFill>
                  <w14:solidFill>
                    <w14:schemeClr w14:val="tx1"/>
                  </w14:solidFill>
                </w14:textFill>
              </w:rPr>
              <w:t>t/a，</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生活垃圾交由当地环卫部门统一清运处理</w:t>
            </w:r>
            <w:r>
              <w:rPr>
                <w:rFonts w:hint="default" w:ascii="Times New Roman" w:hAnsi="Times New Roman" w:cs="Times New Roman"/>
                <w:color w:val="000000" w:themeColor="text1"/>
                <w:sz w:val="24"/>
                <w:szCs w:val="24"/>
                <w:highlight w:val="none"/>
                <w14:textFill>
                  <w14:solidFill>
                    <w14:schemeClr w14:val="tx1"/>
                  </w14:solidFill>
                </w14:textFill>
              </w:rPr>
              <w:t>。</w:t>
            </w:r>
          </w:p>
          <w:p w14:paraId="0F88089B">
            <w:pPr>
              <w:spacing w:line="360" w:lineRule="auto"/>
              <w:ind w:firstLine="480" w:firstLineChars="200"/>
              <w:rPr>
                <w:rFonts w:hint="default" w:ascii="Times New Roman" w:hAnsi="Times New Roman" w:eastAsia="宋体" w:cs="Times New Roman"/>
                <w:b w:val="0"/>
                <w:bCs w:val="0"/>
                <w:sz w:val="24"/>
                <w:highlight w:val="none"/>
                <w:lang w:eastAsia="zh-CN"/>
              </w:rPr>
            </w:pPr>
            <w:r>
              <w:rPr>
                <w:rFonts w:hint="eastAsia" w:ascii="Times New Roman" w:hAnsi="Times New Roman" w:eastAsia="宋体" w:cs="Times New Roman"/>
                <w:b w:val="0"/>
                <w:bCs w:val="0"/>
                <w:sz w:val="24"/>
                <w:highlight w:val="none"/>
                <w:lang w:val="en-US" w:eastAsia="zh-CN"/>
              </w:rPr>
              <w:t>2、</w:t>
            </w:r>
            <w:r>
              <w:rPr>
                <w:rFonts w:hint="default" w:ascii="Times New Roman" w:hAnsi="Times New Roman" w:eastAsia="宋体" w:cs="Times New Roman"/>
                <w:b w:val="0"/>
                <w:bCs w:val="0"/>
                <w:sz w:val="24"/>
                <w:highlight w:val="none"/>
                <w:lang w:eastAsia="zh-CN"/>
              </w:rPr>
              <w:t>一般固体废物</w:t>
            </w:r>
          </w:p>
          <w:p w14:paraId="660125A5">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废边角料：根据企业提供</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材料，</w:t>
            </w:r>
            <w:r>
              <w:rPr>
                <w:rFonts w:hint="eastAsia" w:ascii="Times New Roman" w:hAnsi="Times New Roman" w:eastAsia="宋体" w:cs="Times New Roman"/>
                <w:color w:val="auto"/>
                <w:sz w:val="24"/>
                <w:szCs w:val="24"/>
                <w:highlight w:val="none"/>
                <w:lang w:eastAsia="zh-CN"/>
              </w:rPr>
              <w:t>废边角料</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约为产品产量的</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1%，则</w:t>
            </w:r>
            <w:r>
              <w:rPr>
                <w:rFonts w:hint="eastAsia" w:ascii="Times New Roman" w:hAnsi="Times New Roman" w:eastAsia="宋体" w:cs="Times New Roman"/>
                <w:color w:val="auto"/>
                <w:sz w:val="24"/>
                <w:szCs w:val="24"/>
                <w:highlight w:val="none"/>
                <w:lang w:eastAsia="zh-CN"/>
              </w:rPr>
              <w:t>废边角料</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的产生量为</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100t，</w:t>
            </w:r>
            <w:r>
              <w:rPr>
                <w:rFonts w:hint="eastAsia" w:ascii="Times New Roman" w:hAnsi="Times New Roman" w:eastAsia="宋体" w:cs="Times New Roman"/>
                <w:color w:val="auto"/>
                <w:sz w:val="24"/>
                <w:szCs w:val="24"/>
                <w:highlight w:val="none"/>
                <w:lang w:eastAsia="zh-CN"/>
              </w:rPr>
              <w:t>经低速断料机剪切后回用于生产；</w:t>
            </w:r>
          </w:p>
          <w:p w14:paraId="02182CDE">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不合格品及退货订单产品：</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根据企业提供材料，不合格品约为产品产量的</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2%，退货订单</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约为产品产量的</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3%，则</w:t>
            </w:r>
            <w:r>
              <w:rPr>
                <w:rFonts w:hint="eastAsia" w:ascii="Times New Roman" w:hAnsi="Times New Roman" w:eastAsia="宋体" w:cs="Times New Roman"/>
                <w:b w:val="0"/>
                <w:bCs w:val="0"/>
                <w:color w:val="000000" w:themeColor="text1"/>
                <w:sz w:val="24"/>
                <w:szCs w:val="22"/>
                <w:highlight w:val="none"/>
                <w:lang w:eastAsia="zh-CN"/>
                <w14:textFill>
                  <w14:solidFill>
                    <w14:schemeClr w14:val="tx1"/>
                  </w14:solidFill>
                </w14:textFill>
              </w:rPr>
              <w:t>不合格品及退货订单产品的产生量为</w:t>
            </w:r>
            <w:r>
              <w:rPr>
                <w:rFonts w:hint="eastAsia" w:ascii="Times New Roman" w:hAnsi="Times New Roman" w:eastAsia="宋体" w:cs="Times New Roman"/>
                <w:b w:val="0"/>
                <w:bCs w:val="0"/>
                <w:color w:val="000000" w:themeColor="text1"/>
                <w:sz w:val="24"/>
                <w:szCs w:val="22"/>
                <w:highlight w:val="none"/>
                <w:lang w:val="en-US" w:eastAsia="zh-CN"/>
                <w14:textFill>
                  <w14:solidFill>
                    <w14:schemeClr w14:val="tx1"/>
                  </w14:solidFill>
                </w14:textFill>
              </w:rPr>
              <w:t>500t，</w:t>
            </w:r>
            <w:r>
              <w:rPr>
                <w:rFonts w:hint="eastAsia" w:ascii="Times New Roman" w:hAnsi="Times New Roman" w:eastAsia="宋体" w:cs="Times New Roman"/>
                <w:color w:val="auto"/>
                <w:sz w:val="24"/>
                <w:szCs w:val="24"/>
                <w:highlight w:val="none"/>
                <w:lang w:eastAsia="zh-CN"/>
              </w:rPr>
              <w:t>经粉碎机粉碎后回用于生产；</w:t>
            </w:r>
          </w:p>
          <w:p w14:paraId="659E35BC">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布袋除尘器收集尘：根据工程分析，布袋除尘器收集尘</w:t>
            </w:r>
            <w:r>
              <w:rPr>
                <w:rFonts w:hint="eastAsia" w:ascii="Times New Roman" w:hAnsi="Times New Roman" w:eastAsia="宋体" w:cs="Times New Roman"/>
                <w:b w:val="0"/>
                <w:bCs w:val="0"/>
                <w:color w:val="auto"/>
                <w:sz w:val="24"/>
                <w:highlight w:val="none"/>
                <w:lang w:val="en-US" w:eastAsia="zh-CN"/>
              </w:rPr>
              <w:t>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0.1425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1352263A">
            <w:pPr>
              <w:spacing w:line="360" w:lineRule="auto"/>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废布袋：</w:t>
            </w:r>
            <w:r>
              <w:rPr>
                <w:rFonts w:hint="eastAsia" w:ascii="Times New Roman" w:hAnsi="Times New Roman" w:eastAsia="宋体" w:cs="Times New Roman"/>
                <w:b w:val="0"/>
                <w:bCs w:val="0"/>
                <w:sz w:val="24"/>
                <w:highlight w:val="none"/>
                <w:lang w:val="en-US" w:eastAsia="zh-CN"/>
              </w:rPr>
              <w:t>布袋除尘器定期更换的废布</w:t>
            </w:r>
            <w:r>
              <w:rPr>
                <w:rFonts w:hint="eastAsia" w:ascii="Times New Roman" w:hAnsi="Times New Roman" w:eastAsia="宋体" w:cs="Times New Roman"/>
                <w:b w:val="0"/>
                <w:bCs w:val="0"/>
                <w:color w:val="auto"/>
                <w:sz w:val="24"/>
                <w:highlight w:val="none"/>
                <w:lang w:val="en-US" w:eastAsia="zh-CN"/>
              </w:rPr>
              <w:t>袋产生量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r>
              <w:rPr>
                <w:rFonts w:hint="eastAsia" w:ascii="Times New Roman" w:hAnsi="Times New Roman" w:eastAsia="宋体" w:cs="Times New Roman"/>
                <w:b w:val="0"/>
                <w:bCs w:val="0"/>
                <w:sz w:val="24"/>
                <w:highlight w:val="none"/>
                <w:lang w:val="en-US" w:eastAsia="zh-CN"/>
              </w:rPr>
              <w:t>；</w:t>
            </w:r>
          </w:p>
          <w:p w14:paraId="0211D398">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废包装物：</w:t>
            </w:r>
            <w:r>
              <w:rPr>
                <w:rFonts w:hint="eastAsia" w:ascii="Times New Roman" w:hAnsi="Times New Roman" w:eastAsia="宋体" w:cs="Times New Roman"/>
                <w:color w:val="auto"/>
                <w:sz w:val="24"/>
                <w:szCs w:val="24"/>
                <w:highlight w:val="none"/>
                <w:lang w:val="en-US" w:eastAsia="zh-CN"/>
              </w:rPr>
              <w:t>生产工序产生的</w:t>
            </w:r>
            <w:r>
              <w:rPr>
                <w:rFonts w:hint="eastAsia" w:ascii="Times New Roman" w:hAnsi="Times New Roman" w:eastAsia="宋体" w:cs="Times New Roman"/>
                <w:color w:val="auto"/>
                <w:sz w:val="24"/>
                <w:szCs w:val="24"/>
                <w:highlight w:val="none"/>
                <w:lang w:eastAsia="zh-CN"/>
              </w:rPr>
              <w:t>废包装物</w:t>
            </w:r>
            <w:r>
              <w:rPr>
                <w:rFonts w:hint="eastAsia" w:ascii="Times New Roman" w:hAnsi="Times New Roman" w:eastAsia="宋体" w:cs="Times New Roman"/>
                <w:color w:val="auto"/>
                <w:sz w:val="24"/>
                <w:szCs w:val="24"/>
                <w:highlight w:val="none"/>
                <w:lang w:val="en-US" w:eastAsia="zh-CN"/>
              </w:rPr>
              <w:t>产生量为0.2t/a，收集后外售综合利用；</w:t>
            </w:r>
          </w:p>
          <w:p w14:paraId="3CA2A4A1">
            <w:pPr>
              <w:spacing w:line="360" w:lineRule="auto"/>
              <w:ind w:firstLine="480" w:firstLineChars="200"/>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3、危险废物</w:t>
            </w:r>
          </w:p>
          <w:p w14:paraId="4E297969">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废机油：设备维护产生的废机油产生量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0.1</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22655751">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废机油桶：设备维护产生的废机油桶产生量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0.02</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5611DC92">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废活性炭：VOCs吸附浓缩材料为活性炭，本项目有机废气处理量为1.5万m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/h，设计尺寸为2m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每处理1万m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/h废气，堆积密度0.5g/cm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设计使用寿命＞30000小时，则本项目活性炭使用量为1.5t/a，吸附脱附交替进行，则设计使用期限内可满足正常4年的使用，为保证使用效果，可每年更换一部分，即每年更换量0.375t/a。为危险废物，暂存于厂区危废暂存间，定期交由有资质单位处理。</w:t>
            </w:r>
          </w:p>
          <w:p w14:paraId="6DDEA382">
            <w:pPr>
              <w:spacing w:line="360" w:lineRule="auto"/>
              <w:ind w:firstLine="480" w:firstLineChars="200"/>
              <w:rPr>
                <w:rFonts w:hint="eastAsia" w:ascii="Times New Roman" w:hAnsi="Times New Roman" w:eastAsia="宋体" w:cs="Times New Roman"/>
                <w:color w:val="FF0000"/>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废催化剂：VOCs净化催化剂采用蜂窝陶瓷做载体，内浸渍贵金属铂和钯，堆积密度0.75g/cm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，设计尺寸为0.01m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处理1000m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/h废气，设计使用寿命＞15000小时，本项目有机废气处理量为1.5万m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/h，则需要催化剂（含载体）0.15吨，每三年更换一次催化剂，更换量0.15t/3a。为危险废物，暂存于厂区危废暂存间，定期交由有资质单位处理。</w:t>
            </w:r>
          </w:p>
          <w:p w14:paraId="1BE73EDF">
            <w:pPr>
              <w:spacing w:line="360" w:lineRule="auto"/>
              <w:ind w:firstLine="480" w:firstLineChars="200"/>
              <w:rPr>
                <w:rFonts w:hint="eastAsia" w:ascii="Times New Roman" w:hAnsi="Times New Roman" w:eastAsia="宋体" w:cs="Times New Roman"/>
                <w:kern w:val="0"/>
                <w:sz w:val="24"/>
                <w:szCs w:val="21"/>
                <w:highlight w:val="none"/>
                <w:lang w:val="en-US" w:eastAsia="zh-CN"/>
              </w:rPr>
            </w:pPr>
            <w:r>
              <w:rPr>
                <w:rFonts w:hint="eastAsia" w:ascii="Times New Roman" w:hAnsi="Times New Roman" w:eastAsia="宋体" w:cs="Times New Roman"/>
                <w:kern w:val="0"/>
                <w:sz w:val="24"/>
                <w:szCs w:val="21"/>
                <w:highlight w:val="none"/>
              </w:rPr>
              <w:t>项目</w:t>
            </w:r>
            <w:r>
              <w:rPr>
                <w:rFonts w:ascii="Times New Roman" w:hAnsi="Times New Roman" w:eastAsia="宋体" w:cs="Times New Roman"/>
                <w:kern w:val="0"/>
                <w:sz w:val="24"/>
                <w:szCs w:val="21"/>
                <w:highlight w:val="none"/>
              </w:rPr>
              <w:t>固废产生情况见表4-</w:t>
            </w:r>
            <w:r>
              <w:rPr>
                <w:rFonts w:hint="eastAsia" w:ascii="Times New Roman" w:hAnsi="Times New Roman" w:eastAsia="宋体" w:cs="Times New Roman"/>
                <w:kern w:val="0"/>
                <w:sz w:val="24"/>
                <w:szCs w:val="21"/>
                <w:highlight w:val="none"/>
                <w:lang w:val="en-US" w:eastAsia="zh-CN"/>
              </w:rPr>
              <w:t>13</w:t>
            </w:r>
            <w:r>
              <w:rPr>
                <w:rFonts w:hint="eastAsia" w:ascii="Times New Roman" w:hAnsi="Times New Roman" w:eastAsia="宋体" w:cs="Times New Roman"/>
                <w:kern w:val="0"/>
                <w:sz w:val="24"/>
                <w:szCs w:val="21"/>
                <w:highlight w:val="none"/>
              </w:rPr>
              <w:t>，一般固体废物</w:t>
            </w:r>
            <w:r>
              <w:rPr>
                <w:rFonts w:ascii="Times New Roman" w:hAnsi="Times New Roman" w:eastAsia="宋体" w:cs="Times New Roman"/>
                <w:kern w:val="0"/>
                <w:sz w:val="24"/>
                <w:szCs w:val="21"/>
                <w:highlight w:val="none"/>
              </w:rPr>
              <w:t>见表4-</w:t>
            </w:r>
            <w:r>
              <w:rPr>
                <w:rFonts w:hint="eastAsia" w:ascii="Times New Roman" w:hAnsi="Times New Roman" w:eastAsia="宋体" w:cs="Times New Roman"/>
                <w:kern w:val="0"/>
                <w:sz w:val="24"/>
                <w:szCs w:val="21"/>
                <w:highlight w:val="none"/>
                <w:lang w:val="en-US" w:eastAsia="zh-CN"/>
              </w:rPr>
              <w:t>14</w:t>
            </w:r>
            <w:r>
              <w:rPr>
                <w:rFonts w:hint="eastAsia" w:ascii="Times New Roman" w:hAnsi="Times New Roman" w:eastAsia="宋体" w:cs="Times New Roman"/>
                <w:kern w:val="0"/>
                <w:sz w:val="24"/>
                <w:szCs w:val="21"/>
                <w:highlight w:val="none"/>
              </w:rPr>
              <w:t>，</w:t>
            </w:r>
            <w:r>
              <w:rPr>
                <w:rFonts w:ascii="Times New Roman" w:hAnsi="Times New Roman" w:eastAsia="宋体" w:cs="Times New Roman"/>
                <w:kern w:val="0"/>
                <w:sz w:val="24"/>
                <w:szCs w:val="21"/>
                <w:highlight w:val="none"/>
              </w:rPr>
              <w:t>危险</w:t>
            </w:r>
            <w:r>
              <w:rPr>
                <w:rFonts w:hint="eastAsia" w:ascii="Times New Roman" w:hAnsi="Times New Roman" w:eastAsia="宋体" w:cs="Times New Roman"/>
                <w:kern w:val="0"/>
                <w:sz w:val="24"/>
                <w:szCs w:val="21"/>
                <w:highlight w:val="none"/>
              </w:rPr>
              <w:t>废</w:t>
            </w:r>
            <w:r>
              <w:rPr>
                <w:rFonts w:ascii="Times New Roman" w:hAnsi="Times New Roman" w:eastAsia="宋体" w:cs="Times New Roman"/>
                <w:kern w:val="0"/>
                <w:sz w:val="24"/>
                <w:szCs w:val="21"/>
                <w:highlight w:val="none"/>
              </w:rPr>
              <w:t>物详见表4-</w:t>
            </w:r>
            <w:r>
              <w:rPr>
                <w:rFonts w:hint="eastAsia" w:ascii="Times New Roman" w:hAnsi="Times New Roman" w:eastAsia="宋体" w:cs="Times New Roman"/>
                <w:kern w:val="0"/>
                <w:sz w:val="24"/>
                <w:szCs w:val="21"/>
                <w:highlight w:val="none"/>
                <w:lang w:val="en-US" w:eastAsia="zh-CN"/>
              </w:rPr>
              <w:t>15</w:t>
            </w:r>
            <w:r>
              <w:rPr>
                <w:rFonts w:ascii="Times New Roman" w:hAnsi="Times New Roman" w:eastAsia="宋体" w:cs="Times New Roman"/>
                <w:kern w:val="0"/>
                <w:sz w:val="24"/>
                <w:szCs w:val="21"/>
                <w:highlight w:val="none"/>
              </w:rPr>
              <w:t>、4-</w:t>
            </w:r>
            <w:r>
              <w:rPr>
                <w:rFonts w:hint="eastAsia" w:ascii="Times New Roman" w:hAnsi="Times New Roman" w:eastAsia="宋体" w:cs="Times New Roman"/>
                <w:kern w:val="0"/>
                <w:sz w:val="24"/>
                <w:szCs w:val="21"/>
                <w:highlight w:val="none"/>
                <w:lang w:val="en-US" w:eastAsia="zh-CN"/>
              </w:rPr>
              <w:t>16</w:t>
            </w:r>
            <w:r>
              <w:rPr>
                <w:rFonts w:ascii="Times New Roman" w:hAnsi="Times New Roman" w:eastAsia="宋体" w:cs="Times New Roman"/>
                <w:kern w:val="0"/>
                <w:sz w:val="24"/>
                <w:szCs w:val="21"/>
                <w:highlight w:val="none"/>
              </w:rPr>
              <w:t>。</w:t>
            </w:r>
            <w:r>
              <w:rPr>
                <w:rFonts w:hint="eastAsia" w:ascii="Times New Roman" w:hAnsi="Times New Roman" w:eastAsia="宋体" w:cs="Times New Roman"/>
                <w:kern w:val="0"/>
                <w:sz w:val="24"/>
                <w:szCs w:val="21"/>
                <w:highlight w:val="none"/>
                <w:lang w:val="en-US" w:eastAsia="zh-CN"/>
              </w:rPr>
              <w:t xml:space="preserve"> </w:t>
            </w:r>
          </w:p>
          <w:p w14:paraId="75FF3931">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13</w:t>
            </w:r>
            <w:r>
              <w:rPr>
                <w:rFonts w:hint="eastAsia" w:ascii="Times New Roman" w:hAnsi="Times New Roman" w:eastAsia="宋体" w:cs="Times New Roman"/>
                <w:b/>
                <w:bCs/>
                <w:color w:val="auto"/>
                <w:sz w:val="24"/>
                <w:szCs w:val="21"/>
              </w:rPr>
              <w:t xml:space="preserve"> </w:t>
            </w:r>
            <w:r>
              <w:rPr>
                <w:rFonts w:ascii="Times New Roman" w:hAnsi="Times New Roman" w:eastAsia="宋体" w:cs="Times New Roman"/>
                <w:b/>
                <w:bCs/>
                <w:color w:val="auto"/>
                <w:sz w:val="24"/>
                <w:szCs w:val="21"/>
              </w:rPr>
              <w:t xml:space="preserve"> 项目固废性质产生及处置情况</w:t>
            </w:r>
            <w:r>
              <w:rPr>
                <w:rFonts w:hint="eastAsia" w:ascii="Times New Roman" w:hAnsi="Times New Roman" w:eastAsia="宋体" w:cs="Times New Roman"/>
                <w:b/>
                <w:bCs/>
                <w:color w:val="auto"/>
                <w:sz w:val="24"/>
                <w:szCs w:val="21"/>
              </w:rPr>
              <w:t xml:space="preserve">  </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3"/>
              <w:gridCol w:w="1866"/>
              <w:gridCol w:w="1024"/>
              <w:gridCol w:w="1750"/>
              <w:gridCol w:w="3143"/>
            </w:tblGrid>
            <w:tr w14:paraId="700C0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376" w:type="pct"/>
                  <w:noWrap w:val="0"/>
                  <w:vAlign w:val="center"/>
                </w:tcPr>
                <w:p w14:paraId="42731C6A">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序号</w:t>
                  </w:r>
                </w:p>
              </w:tc>
              <w:tc>
                <w:tcPr>
                  <w:tcW w:w="1108" w:type="pct"/>
                  <w:noWrap w:val="0"/>
                  <w:vAlign w:val="center"/>
                </w:tcPr>
                <w:p w14:paraId="2528AB0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污染物</w:t>
                  </w:r>
                </w:p>
              </w:tc>
              <w:tc>
                <w:tcPr>
                  <w:tcW w:w="608" w:type="pct"/>
                  <w:noWrap w:val="0"/>
                  <w:vAlign w:val="center"/>
                </w:tcPr>
                <w:p w14:paraId="0454E7C7">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产生量</w:t>
                  </w:r>
                </w:p>
              </w:tc>
              <w:tc>
                <w:tcPr>
                  <w:tcW w:w="1039" w:type="pct"/>
                  <w:noWrap w:val="0"/>
                  <w:vAlign w:val="center"/>
                </w:tcPr>
                <w:p w14:paraId="727A40DE">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固废性质</w:t>
                  </w:r>
                </w:p>
              </w:tc>
              <w:tc>
                <w:tcPr>
                  <w:tcW w:w="1867" w:type="pct"/>
                  <w:noWrap w:val="0"/>
                  <w:vAlign w:val="center"/>
                </w:tcPr>
                <w:p w14:paraId="2A65D77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处置措施</w:t>
                  </w:r>
                </w:p>
              </w:tc>
            </w:tr>
            <w:tr w14:paraId="2BEE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0D3A64C6">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1</w:t>
                  </w:r>
                </w:p>
              </w:tc>
              <w:tc>
                <w:tcPr>
                  <w:tcW w:w="1108" w:type="pct"/>
                  <w:noWrap w:val="0"/>
                  <w:vAlign w:val="center"/>
                </w:tcPr>
                <w:p w14:paraId="7F0597D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生活垃圾</w:t>
                  </w:r>
                </w:p>
              </w:tc>
              <w:tc>
                <w:tcPr>
                  <w:tcW w:w="608" w:type="pct"/>
                  <w:noWrap w:val="0"/>
                  <w:vAlign w:val="center"/>
                </w:tcPr>
                <w:p w14:paraId="397C0681">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6.75</w:t>
                  </w:r>
                  <w:r>
                    <w:rPr>
                      <w:rFonts w:ascii="Times New Roman" w:hAnsi="Times New Roman" w:eastAsia="宋体" w:cs="Times New Roman"/>
                      <w:color w:val="auto"/>
                      <w:szCs w:val="21"/>
                    </w:rPr>
                    <w:t>t/a</w:t>
                  </w:r>
                </w:p>
              </w:tc>
              <w:tc>
                <w:tcPr>
                  <w:tcW w:w="1039" w:type="pct"/>
                  <w:noWrap w:val="0"/>
                  <w:vAlign w:val="center"/>
                </w:tcPr>
                <w:p w14:paraId="7542DE41">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生活垃圾</w:t>
                  </w:r>
                </w:p>
              </w:tc>
              <w:tc>
                <w:tcPr>
                  <w:tcW w:w="1867" w:type="pct"/>
                  <w:noWrap w:val="0"/>
                  <w:vAlign w:val="center"/>
                </w:tcPr>
                <w:p w14:paraId="56D9FB9F">
                  <w:pPr>
                    <w:spacing w:line="280" w:lineRule="atLeast"/>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由当地环卫部门统一清运处理</w:t>
                  </w:r>
                </w:p>
              </w:tc>
            </w:tr>
            <w:tr w14:paraId="02EA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6A3294F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1108" w:type="pct"/>
                  <w:noWrap w:val="0"/>
                  <w:vAlign w:val="center"/>
                </w:tcPr>
                <w:p w14:paraId="0D0A7FF2">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废边角料</w:t>
                  </w:r>
                </w:p>
              </w:tc>
              <w:tc>
                <w:tcPr>
                  <w:tcW w:w="608" w:type="pct"/>
                  <w:noWrap w:val="0"/>
                  <w:vAlign w:val="center"/>
                </w:tcPr>
                <w:p w14:paraId="5C9C1B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r>
                    <w:rPr>
                      <w:rFonts w:ascii="Times New Roman" w:hAnsi="Times New Roman" w:eastAsia="宋体" w:cs="Times New Roman"/>
                      <w:color w:val="auto"/>
                      <w:szCs w:val="21"/>
                    </w:rPr>
                    <w:t>t/a</w:t>
                  </w:r>
                </w:p>
              </w:tc>
              <w:tc>
                <w:tcPr>
                  <w:tcW w:w="1039" w:type="pct"/>
                  <w:noWrap w:val="0"/>
                  <w:vAlign w:val="center"/>
                </w:tcPr>
                <w:p w14:paraId="0678EABF">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867" w:type="pct"/>
                  <w:noWrap w:val="0"/>
                  <w:vAlign w:val="center"/>
                </w:tcPr>
                <w:p w14:paraId="378D3392">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经低速断料机剪切后回用于生产</w:t>
                  </w:r>
                </w:p>
              </w:tc>
            </w:tr>
            <w:tr w14:paraId="376DE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225D3FC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108" w:type="pct"/>
                  <w:noWrap w:val="0"/>
                  <w:vAlign w:val="center"/>
                </w:tcPr>
                <w:p w14:paraId="12B6A404">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不合格品及退货订单产品</w:t>
                  </w:r>
                </w:p>
              </w:tc>
              <w:tc>
                <w:tcPr>
                  <w:tcW w:w="608" w:type="pct"/>
                  <w:noWrap w:val="0"/>
                  <w:vAlign w:val="center"/>
                </w:tcPr>
                <w:p w14:paraId="0C1983A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r>
                    <w:rPr>
                      <w:rFonts w:ascii="Times New Roman" w:hAnsi="Times New Roman" w:eastAsia="宋体" w:cs="Times New Roman"/>
                      <w:color w:val="auto"/>
                      <w:szCs w:val="21"/>
                    </w:rPr>
                    <w:t>t/a</w:t>
                  </w:r>
                </w:p>
              </w:tc>
              <w:tc>
                <w:tcPr>
                  <w:tcW w:w="1039" w:type="pct"/>
                  <w:noWrap w:val="0"/>
                  <w:vAlign w:val="center"/>
                </w:tcPr>
                <w:p w14:paraId="583FDDB0">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867" w:type="pct"/>
                  <w:noWrap w:val="0"/>
                  <w:vAlign w:val="center"/>
                </w:tcPr>
                <w:p w14:paraId="2CE52A3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经粉碎机粉碎后回用于生产</w:t>
                  </w:r>
                </w:p>
              </w:tc>
            </w:tr>
            <w:tr w14:paraId="0EA70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0C6678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108" w:type="pct"/>
                  <w:noWrap w:val="0"/>
                  <w:vAlign w:val="center"/>
                </w:tcPr>
                <w:p w14:paraId="4742A5B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布袋除尘器收集尘</w:t>
                  </w:r>
                </w:p>
              </w:tc>
              <w:tc>
                <w:tcPr>
                  <w:tcW w:w="608" w:type="pct"/>
                  <w:noWrap w:val="0"/>
                  <w:vAlign w:val="center"/>
                </w:tcPr>
                <w:p w14:paraId="62B16AC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0.1425</w:t>
                  </w:r>
                  <w:r>
                    <w:rPr>
                      <w:rFonts w:ascii="Times New Roman" w:hAnsi="Times New Roman" w:eastAsia="宋体" w:cs="Times New Roman"/>
                      <w:color w:val="auto"/>
                      <w:szCs w:val="21"/>
                    </w:rPr>
                    <w:t>t/a</w:t>
                  </w:r>
                </w:p>
              </w:tc>
              <w:tc>
                <w:tcPr>
                  <w:tcW w:w="1039" w:type="pct"/>
                  <w:noWrap w:val="0"/>
                  <w:vAlign w:val="center"/>
                </w:tcPr>
                <w:p w14:paraId="5AF7D4B6">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867" w:type="pct"/>
                  <w:vMerge w:val="restart"/>
                  <w:noWrap w:val="0"/>
                  <w:vAlign w:val="center"/>
                </w:tcPr>
                <w:p w14:paraId="45E3896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 w:val="21"/>
                      <w:szCs w:val="21"/>
                      <w:highlight w:val="none"/>
                      <w:lang w:val="en-US" w:eastAsia="zh-CN"/>
                    </w:rPr>
                    <w:t>收集后外售综合利用</w:t>
                  </w:r>
                </w:p>
              </w:tc>
            </w:tr>
            <w:tr w14:paraId="4F830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678109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1108" w:type="pct"/>
                  <w:noWrap w:val="0"/>
                  <w:vAlign w:val="center"/>
                </w:tcPr>
                <w:p w14:paraId="161617D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废布袋</w:t>
                  </w:r>
                </w:p>
              </w:tc>
              <w:tc>
                <w:tcPr>
                  <w:tcW w:w="608" w:type="pct"/>
                  <w:noWrap w:val="0"/>
                  <w:vAlign w:val="center"/>
                </w:tcPr>
                <w:p w14:paraId="60D344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039" w:type="pct"/>
                  <w:noWrap w:val="0"/>
                  <w:vAlign w:val="center"/>
                </w:tcPr>
                <w:p w14:paraId="514322C8">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867" w:type="pct"/>
                  <w:vMerge w:val="continue"/>
                  <w:noWrap w:val="0"/>
                  <w:vAlign w:val="center"/>
                </w:tcPr>
                <w:p w14:paraId="187B3029">
                  <w:pPr>
                    <w:spacing w:line="280" w:lineRule="atLeast"/>
                    <w:jc w:val="center"/>
                    <w:rPr>
                      <w:rFonts w:hint="eastAsia" w:ascii="Times New Roman" w:hAnsi="Times New Roman" w:eastAsia="宋体" w:cs="Times New Roman"/>
                      <w:color w:val="auto"/>
                      <w:szCs w:val="21"/>
                      <w:lang w:val="en-US" w:eastAsia="zh-CN"/>
                    </w:rPr>
                  </w:pPr>
                </w:p>
              </w:tc>
            </w:tr>
            <w:tr w14:paraId="0218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78E60F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1108" w:type="pct"/>
                  <w:noWrap w:val="0"/>
                  <w:vAlign w:val="center"/>
                </w:tcPr>
                <w:p w14:paraId="195F2B0B">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废包装物</w:t>
                  </w:r>
                </w:p>
              </w:tc>
              <w:tc>
                <w:tcPr>
                  <w:tcW w:w="608" w:type="pct"/>
                  <w:noWrap w:val="0"/>
                  <w:vAlign w:val="center"/>
                </w:tcPr>
                <w:p w14:paraId="62A0B1A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039" w:type="pct"/>
                  <w:noWrap w:val="0"/>
                  <w:vAlign w:val="center"/>
                </w:tcPr>
                <w:p w14:paraId="5A96BCEE">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867" w:type="pct"/>
                  <w:vMerge w:val="continue"/>
                  <w:noWrap w:val="0"/>
                  <w:vAlign w:val="center"/>
                </w:tcPr>
                <w:p w14:paraId="0193BAFC">
                  <w:pPr>
                    <w:spacing w:line="280" w:lineRule="atLeast"/>
                    <w:jc w:val="center"/>
                    <w:rPr>
                      <w:rFonts w:hint="eastAsia" w:ascii="Times New Roman" w:hAnsi="Times New Roman" w:eastAsia="宋体" w:cs="Times New Roman"/>
                      <w:color w:val="auto"/>
                      <w:szCs w:val="21"/>
                      <w:lang w:val="en-US" w:eastAsia="zh-CN"/>
                    </w:rPr>
                  </w:pPr>
                </w:p>
              </w:tc>
            </w:tr>
            <w:tr w14:paraId="1C81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64D42D0E">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1108" w:type="pct"/>
                  <w:noWrap w:val="0"/>
                  <w:vAlign w:val="center"/>
                </w:tcPr>
                <w:p w14:paraId="6D59F78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608" w:type="pct"/>
                  <w:noWrap w:val="0"/>
                  <w:vAlign w:val="center"/>
                </w:tcPr>
                <w:p w14:paraId="09A7309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039" w:type="pct"/>
                  <w:noWrap w:val="0"/>
                  <w:vAlign w:val="center"/>
                </w:tcPr>
                <w:p w14:paraId="045D8675">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危险废物</w:t>
                  </w:r>
                </w:p>
              </w:tc>
              <w:tc>
                <w:tcPr>
                  <w:tcW w:w="1867" w:type="pct"/>
                  <w:vMerge w:val="restart"/>
                  <w:noWrap w:val="0"/>
                  <w:vAlign w:val="center"/>
                </w:tcPr>
                <w:p w14:paraId="782FA329">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暂存危废暂存间，定期送有资质单位处置</w:t>
                  </w:r>
                </w:p>
              </w:tc>
            </w:tr>
            <w:tr w14:paraId="202A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7F769D60">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1108" w:type="pct"/>
                  <w:noWrap w:val="0"/>
                  <w:vAlign w:val="center"/>
                </w:tcPr>
                <w:p w14:paraId="0A580C0C">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608" w:type="pct"/>
                  <w:noWrap w:val="0"/>
                  <w:vAlign w:val="center"/>
                </w:tcPr>
                <w:p w14:paraId="5D4E288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039" w:type="pct"/>
                  <w:noWrap w:val="0"/>
                  <w:vAlign w:val="center"/>
                </w:tcPr>
                <w:p w14:paraId="585FCD1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867" w:type="pct"/>
                  <w:vMerge w:val="continue"/>
                  <w:noWrap w:val="0"/>
                  <w:vAlign w:val="center"/>
                </w:tcPr>
                <w:p w14:paraId="32EC6397">
                  <w:pPr>
                    <w:spacing w:line="280" w:lineRule="atLeast"/>
                    <w:jc w:val="center"/>
                    <w:rPr>
                      <w:rFonts w:ascii="Times New Roman" w:hAnsi="Times New Roman" w:eastAsia="宋体" w:cs="Times New Roman"/>
                      <w:color w:val="auto"/>
                      <w:szCs w:val="21"/>
                    </w:rPr>
                  </w:pPr>
                </w:p>
              </w:tc>
            </w:tr>
            <w:tr w14:paraId="6734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303310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1108" w:type="pct"/>
                  <w:noWrap w:val="0"/>
                  <w:vAlign w:val="center"/>
                </w:tcPr>
                <w:p w14:paraId="5D36D8B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608" w:type="pct"/>
                  <w:noWrap w:val="0"/>
                  <w:vAlign w:val="center"/>
                </w:tcPr>
                <w:p w14:paraId="714B80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0.375</w:t>
                  </w:r>
                  <w:r>
                    <w:rPr>
                      <w:rFonts w:ascii="Times New Roman" w:hAnsi="Times New Roman" w:eastAsia="宋体" w:cs="Times New Roman"/>
                      <w:color w:val="auto"/>
                      <w:szCs w:val="21"/>
                    </w:rPr>
                    <w:t>t/a</w:t>
                  </w:r>
                </w:p>
              </w:tc>
              <w:tc>
                <w:tcPr>
                  <w:tcW w:w="1039" w:type="pct"/>
                  <w:noWrap w:val="0"/>
                  <w:vAlign w:val="center"/>
                </w:tcPr>
                <w:p w14:paraId="6CB6AF02">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867" w:type="pct"/>
                  <w:vMerge w:val="continue"/>
                  <w:noWrap w:val="0"/>
                  <w:vAlign w:val="center"/>
                </w:tcPr>
                <w:p w14:paraId="3F9692DA">
                  <w:pPr>
                    <w:spacing w:line="280" w:lineRule="atLeast"/>
                    <w:jc w:val="center"/>
                    <w:rPr>
                      <w:rFonts w:ascii="Times New Roman" w:hAnsi="Times New Roman" w:eastAsia="宋体" w:cs="Times New Roman"/>
                      <w:color w:val="auto"/>
                      <w:szCs w:val="21"/>
                    </w:rPr>
                  </w:pPr>
                </w:p>
              </w:tc>
            </w:tr>
            <w:tr w14:paraId="004A5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6" w:type="pct"/>
                  <w:noWrap w:val="0"/>
                  <w:vAlign w:val="center"/>
                </w:tcPr>
                <w:p w14:paraId="064297F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1108" w:type="pct"/>
                  <w:noWrap w:val="0"/>
                  <w:vAlign w:val="center"/>
                </w:tcPr>
                <w:p w14:paraId="2E58F5D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608" w:type="pct"/>
                  <w:noWrap w:val="0"/>
                  <w:vAlign w:val="center"/>
                </w:tcPr>
                <w:p w14:paraId="592AEA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039" w:type="pct"/>
                  <w:noWrap w:val="0"/>
                  <w:vAlign w:val="center"/>
                </w:tcPr>
                <w:p w14:paraId="7F658E1A">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867" w:type="pct"/>
                  <w:vMerge w:val="continue"/>
                  <w:noWrap w:val="0"/>
                  <w:vAlign w:val="center"/>
                </w:tcPr>
                <w:p w14:paraId="07F8DB0E">
                  <w:pPr>
                    <w:spacing w:line="280" w:lineRule="atLeast"/>
                    <w:jc w:val="center"/>
                    <w:rPr>
                      <w:rFonts w:ascii="Times New Roman" w:hAnsi="Times New Roman" w:eastAsia="宋体" w:cs="Times New Roman"/>
                      <w:color w:val="auto"/>
                      <w:szCs w:val="21"/>
                    </w:rPr>
                  </w:pPr>
                </w:p>
              </w:tc>
            </w:tr>
          </w:tbl>
          <w:p w14:paraId="7CFEF6AD">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14</w:t>
            </w:r>
            <w:r>
              <w:rPr>
                <w:rFonts w:ascii="Times New Roman" w:hAnsi="Times New Roman" w:eastAsia="宋体" w:cs="Times New Roman"/>
                <w:b/>
                <w:bCs/>
                <w:color w:val="auto"/>
                <w:sz w:val="24"/>
                <w:szCs w:val="21"/>
              </w:rPr>
              <w:t xml:space="preserve">  </w:t>
            </w:r>
            <w:r>
              <w:rPr>
                <w:rFonts w:hint="eastAsia" w:ascii="Times New Roman" w:hAnsi="Times New Roman" w:eastAsia="宋体" w:cs="Times New Roman"/>
                <w:b/>
                <w:bCs/>
                <w:color w:val="auto"/>
                <w:sz w:val="24"/>
                <w:szCs w:val="21"/>
              </w:rPr>
              <w:t>一般固体废物</w:t>
            </w:r>
            <w:r>
              <w:rPr>
                <w:rFonts w:ascii="Times New Roman" w:hAnsi="Times New Roman" w:eastAsia="宋体" w:cs="Times New Roman"/>
                <w:b/>
                <w:bCs/>
                <w:color w:val="auto"/>
                <w:sz w:val="24"/>
                <w:szCs w:val="21"/>
              </w:rPr>
              <w:t>汇总表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390"/>
              <w:gridCol w:w="1476"/>
              <w:gridCol w:w="984"/>
              <w:gridCol w:w="1245"/>
              <w:gridCol w:w="725"/>
              <w:gridCol w:w="775"/>
              <w:gridCol w:w="1281"/>
            </w:tblGrid>
            <w:tr w14:paraId="6BF8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CC8904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序号</w:t>
                  </w:r>
                </w:p>
              </w:tc>
              <w:tc>
                <w:tcPr>
                  <w:tcW w:w="1390" w:type="dxa"/>
                  <w:noWrap w:val="0"/>
                  <w:vAlign w:val="center"/>
                </w:tcPr>
                <w:p w14:paraId="6238072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一般固废名称</w:t>
                  </w:r>
                </w:p>
              </w:tc>
              <w:tc>
                <w:tcPr>
                  <w:tcW w:w="1476" w:type="dxa"/>
                  <w:noWrap w:val="0"/>
                  <w:vAlign w:val="center"/>
                </w:tcPr>
                <w:p w14:paraId="1331A38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一般固废代码</w:t>
                  </w:r>
                </w:p>
              </w:tc>
              <w:tc>
                <w:tcPr>
                  <w:tcW w:w="984" w:type="dxa"/>
                  <w:noWrap w:val="0"/>
                  <w:vAlign w:val="center"/>
                </w:tcPr>
                <w:p w14:paraId="45CC3B69">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产生量（t/a）</w:t>
                  </w:r>
                </w:p>
              </w:tc>
              <w:tc>
                <w:tcPr>
                  <w:tcW w:w="1245" w:type="dxa"/>
                  <w:noWrap w:val="0"/>
                  <w:vAlign w:val="center"/>
                </w:tcPr>
                <w:p w14:paraId="7AE8E3C8">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产生工序及装置</w:t>
                  </w:r>
                </w:p>
              </w:tc>
              <w:tc>
                <w:tcPr>
                  <w:tcW w:w="725" w:type="dxa"/>
                  <w:noWrap w:val="0"/>
                  <w:vAlign w:val="center"/>
                </w:tcPr>
                <w:p w14:paraId="68EFD87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形态</w:t>
                  </w:r>
                </w:p>
              </w:tc>
              <w:tc>
                <w:tcPr>
                  <w:tcW w:w="775" w:type="dxa"/>
                  <w:noWrap w:val="0"/>
                  <w:vAlign w:val="center"/>
                </w:tcPr>
                <w:p w14:paraId="2A5A74FB">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产废</w:t>
                  </w:r>
                </w:p>
                <w:p w14:paraId="1BF04185">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周期</w:t>
                  </w:r>
                </w:p>
              </w:tc>
              <w:tc>
                <w:tcPr>
                  <w:tcW w:w="1281" w:type="dxa"/>
                  <w:noWrap w:val="0"/>
                  <w:vAlign w:val="center"/>
                </w:tcPr>
                <w:p w14:paraId="2AAA975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污染防治措施</w:t>
                  </w:r>
                </w:p>
              </w:tc>
            </w:tr>
            <w:tr w14:paraId="79D4E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C4DA6BD">
                  <w:pPr>
                    <w:spacing w:line="280" w:lineRule="atLeast"/>
                    <w:jc w:val="center"/>
                    <w:rPr>
                      <w:rFonts w:ascii="Times New Roman" w:hAnsi="Times New Roman"/>
                      <w:color w:val="auto"/>
                      <w:sz w:val="21"/>
                      <w:szCs w:val="21"/>
                    </w:rPr>
                  </w:pPr>
                  <w:r>
                    <w:rPr>
                      <w:rFonts w:ascii="Times New Roman" w:hAnsi="Times New Roman" w:eastAsia="宋体" w:cs="Times New Roman"/>
                      <w:color w:val="auto"/>
                      <w:szCs w:val="21"/>
                    </w:rPr>
                    <w:t>1</w:t>
                  </w:r>
                </w:p>
              </w:tc>
              <w:tc>
                <w:tcPr>
                  <w:tcW w:w="1390" w:type="dxa"/>
                  <w:noWrap w:val="0"/>
                  <w:vAlign w:val="center"/>
                </w:tcPr>
                <w:p w14:paraId="6C6A6F13">
                  <w:pPr>
                    <w:widowControl/>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废边角料</w:t>
                  </w:r>
                </w:p>
              </w:tc>
              <w:tc>
                <w:tcPr>
                  <w:tcW w:w="1476" w:type="dxa"/>
                  <w:noWrap w:val="0"/>
                  <w:vAlign w:val="center"/>
                </w:tcPr>
                <w:p w14:paraId="5DB21907">
                  <w:pPr>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03</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0239E6BD">
                  <w:pPr>
                    <w:spacing w:line="280" w:lineRule="atLeast"/>
                    <w:jc w:val="center"/>
                    <w:rPr>
                      <w:rFonts w:hint="default" w:ascii="Times New Roman" w:hAnsi="Times New Roman" w:eastAsia="宋体"/>
                      <w:color w:val="auto"/>
                      <w:sz w:val="21"/>
                      <w:szCs w:val="21"/>
                      <w:lang w:val="en-US" w:eastAsia="zh-CN"/>
                    </w:rPr>
                  </w:pPr>
                  <w:r>
                    <w:rPr>
                      <w:rFonts w:hint="eastAsia" w:ascii="Times New Roman" w:hAnsi="Times New Roman" w:eastAsia="宋体" w:cs="Times New Roman"/>
                      <w:color w:val="auto"/>
                      <w:szCs w:val="21"/>
                      <w:lang w:val="en-US" w:eastAsia="zh-CN"/>
                    </w:rPr>
                    <w:t>100</w:t>
                  </w:r>
                </w:p>
              </w:tc>
              <w:tc>
                <w:tcPr>
                  <w:tcW w:w="1245" w:type="dxa"/>
                  <w:vMerge w:val="restart"/>
                  <w:noWrap w:val="0"/>
                  <w:vAlign w:val="center"/>
                </w:tcPr>
                <w:p w14:paraId="5B7F09D2">
                  <w:pPr>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生产工序</w:t>
                  </w:r>
                </w:p>
              </w:tc>
              <w:tc>
                <w:tcPr>
                  <w:tcW w:w="725" w:type="dxa"/>
                  <w:noWrap w:val="0"/>
                  <w:vAlign w:val="center"/>
                </w:tcPr>
                <w:p w14:paraId="1886E462">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775" w:type="dxa"/>
                  <w:noWrap w:val="0"/>
                  <w:vAlign w:val="center"/>
                </w:tcPr>
                <w:p w14:paraId="0C10A04F">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1281" w:type="dxa"/>
                  <w:noWrap w:val="0"/>
                  <w:vAlign w:val="center"/>
                </w:tcPr>
                <w:p w14:paraId="3FCD50AB">
                  <w:pPr>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Cs w:val="21"/>
                      <w:lang w:eastAsia="zh-CN"/>
                    </w:rPr>
                    <w:t>经低速断料机剪切后回用于生产</w:t>
                  </w:r>
                </w:p>
              </w:tc>
            </w:tr>
            <w:tr w14:paraId="0E9B1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279EDA53">
                  <w:pPr>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Cs w:val="21"/>
                      <w:lang w:val="en-US" w:eastAsia="zh-CN"/>
                    </w:rPr>
                    <w:t>2</w:t>
                  </w:r>
                </w:p>
              </w:tc>
              <w:tc>
                <w:tcPr>
                  <w:tcW w:w="1390" w:type="dxa"/>
                  <w:noWrap w:val="0"/>
                  <w:vAlign w:val="center"/>
                </w:tcPr>
                <w:p w14:paraId="6B28B534">
                  <w:pPr>
                    <w:widowControl/>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不合格品及退货订单产品</w:t>
                  </w:r>
                </w:p>
              </w:tc>
              <w:tc>
                <w:tcPr>
                  <w:tcW w:w="1476" w:type="dxa"/>
                  <w:noWrap w:val="0"/>
                  <w:vAlign w:val="center"/>
                </w:tcPr>
                <w:p w14:paraId="4349EC9A">
                  <w:pPr>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03</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7DD1276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1245" w:type="dxa"/>
                  <w:vMerge w:val="continue"/>
                  <w:noWrap w:val="0"/>
                  <w:vAlign w:val="center"/>
                </w:tcPr>
                <w:p w14:paraId="3F25F7D9">
                  <w:pPr>
                    <w:spacing w:before="31" w:beforeLines="0" w:after="31" w:afterLines="0" w:line="240" w:lineRule="auto"/>
                    <w:jc w:val="center"/>
                    <w:textAlignment w:val="baseline"/>
                    <w:rPr>
                      <w:rFonts w:hint="eastAsia" w:ascii="Times New Roman" w:hAnsi="Times New Roman"/>
                      <w:color w:val="auto"/>
                      <w:sz w:val="21"/>
                      <w:szCs w:val="21"/>
                      <w:lang w:val="en-US" w:eastAsia="zh-CN"/>
                    </w:rPr>
                  </w:pPr>
                </w:p>
              </w:tc>
              <w:tc>
                <w:tcPr>
                  <w:tcW w:w="725" w:type="dxa"/>
                  <w:noWrap w:val="0"/>
                  <w:vAlign w:val="center"/>
                </w:tcPr>
                <w:p w14:paraId="646AC807">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775" w:type="dxa"/>
                  <w:noWrap w:val="0"/>
                  <w:vAlign w:val="center"/>
                </w:tcPr>
                <w:p w14:paraId="0612D0D8">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1281" w:type="dxa"/>
                  <w:noWrap w:val="0"/>
                  <w:vAlign w:val="center"/>
                </w:tcPr>
                <w:p w14:paraId="7BAE9C0A">
                  <w:pPr>
                    <w:spacing w:line="280" w:lineRule="atLeast"/>
                    <w:jc w:val="center"/>
                    <w:rPr>
                      <w:rFonts w:hint="eastAsia" w:ascii="Times New Roman" w:hAnsi="Times New Roman"/>
                      <w:color w:val="auto"/>
                      <w:sz w:val="21"/>
                      <w:szCs w:val="21"/>
                    </w:rPr>
                  </w:pPr>
                  <w:r>
                    <w:rPr>
                      <w:rFonts w:hint="eastAsia" w:ascii="Times New Roman" w:hAnsi="Times New Roman" w:eastAsia="宋体" w:cs="Times New Roman"/>
                      <w:color w:val="auto"/>
                      <w:szCs w:val="21"/>
                      <w:lang w:val="en-US" w:eastAsia="zh-CN"/>
                    </w:rPr>
                    <w:t>经粉碎机粉碎后回用于生产</w:t>
                  </w:r>
                </w:p>
              </w:tc>
            </w:tr>
            <w:tr w14:paraId="7EF7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3114544A">
                  <w:pPr>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Cs w:val="21"/>
                      <w:lang w:val="en-US" w:eastAsia="zh-CN"/>
                    </w:rPr>
                    <w:t>3</w:t>
                  </w:r>
                </w:p>
              </w:tc>
              <w:tc>
                <w:tcPr>
                  <w:tcW w:w="1390" w:type="dxa"/>
                  <w:noWrap w:val="0"/>
                  <w:vAlign w:val="center"/>
                </w:tcPr>
                <w:p w14:paraId="2FA4A9DF">
                  <w:pPr>
                    <w:widowControl/>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布袋除尘器收集尘</w:t>
                  </w:r>
                </w:p>
              </w:tc>
              <w:tc>
                <w:tcPr>
                  <w:tcW w:w="1476" w:type="dxa"/>
                  <w:noWrap w:val="0"/>
                  <w:vAlign w:val="center"/>
                </w:tcPr>
                <w:p w14:paraId="11812FAD">
                  <w:pPr>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900-003-S17</w:t>
                  </w:r>
                </w:p>
              </w:tc>
              <w:tc>
                <w:tcPr>
                  <w:tcW w:w="984" w:type="dxa"/>
                  <w:noWrap w:val="0"/>
                  <w:vAlign w:val="center"/>
                </w:tcPr>
                <w:p w14:paraId="7DE7FAA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0.1425</w:t>
                  </w:r>
                </w:p>
              </w:tc>
              <w:tc>
                <w:tcPr>
                  <w:tcW w:w="1245" w:type="dxa"/>
                  <w:vMerge w:val="restart"/>
                  <w:noWrap w:val="0"/>
                  <w:vAlign w:val="center"/>
                </w:tcPr>
                <w:p w14:paraId="0F8D40D0">
                  <w:pPr>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布袋除尘器</w:t>
                  </w:r>
                </w:p>
              </w:tc>
              <w:tc>
                <w:tcPr>
                  <w:tcW w:w="725" w:type="dxa"/>
                  <w:noWrap w:val="0"/>
                  <w:vAlign w:val="center"/>
                </w:tcPr>
                <w:p w14:paraId="14A4A7DA">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775" w:type="dxa"/>
                  <w:noWrap w:val="0"/>
                  <w:vAlign w:val="center"/>
                </w:tcPr>
                <w:p w14:paraId="1754BF77">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w:t>
                  </w:r>
                  <w:r>
                    <w:rPr>
                      <w:rFonts w:hint="eastAsia" w:ascii="Times New Roman" w:hAnsi="Times New Roman"/>
                      <w:color w:val="auto"/>
                      <w:sz w:val="21"/>
                      <w:szCs w:val="21"/>
                      <w:lang w:val="en-US" w:eastAsia="zh-CN"/>
                    </w:rPr>
                    <w:t>年</w:t>
                  </w:r>
                </w:p>
              </w:tc>
              <w:tc>
                <w:tcPr>
                  <w:tcW w:w="1281" w:type="dxa"/>
                  <w:vMerge w:val="restart"/>
                  <w:noWrap w:val="0"/>
                  <w:vAlign w:val="center"/>
                </w:tcPr>
                <w:p w14:paraId="47A6F6AF">
                  <w:pPr>
                    <w:spacing w:line="280" w:lineRule="atLeast"/>
                    <w:jc w:val="center"/>
                    <w:rPr>
                      <w:rFonts w:hint="eastAsia" w:ascii="Times New Roman" w:hAnsi="Times New Roman"/>
                      <w:color w:val="auto"/>
                      <w:sz w:val="21"/>
                      <w:szCs w:val="21"/>
                    </w:rPr>
                  </w:pPr>
                  <w:r>
                    <w:rPr>
                      <w:rFonts w:hint="eastAsia" w:ascii="Times New Roman" w:hAnsi="Times New Roman" w:eastAsia="宋体" w:cs="Times New Roman"/>
                      <w:color w:val="auto"/>
                      <w:sz w:val="21"/>
                      <w:szCs w:val="21"/>
                      <w:highlight w:val="none"/>
                      <w:lang w:val="en-US" w:eastAsia="zh-CN"/>
                    </w:rPr>
                    <w:t>收集后外售综合利用</w:t>
                  </w:r>
                </w:p>
              </w:tc>
            </w:tr>
            <w:tr w14:paraId="755E3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323AE3B2">
                  <w:pPr>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Cs w:val="21"/>
                      <w:lang w:val="en-US" w:eastAsia="zh-CN"/>
                    </w:rPr>
                    <w:t>4</w:t>
                  </w:r>
                </w:p>
              </w:tc>
              <w:tc>
                <w:tcPr>
                  <w:tcW w:w="1390" w:type="dxa"/>
                  <w:noWrap w:val="0"/>
                  <w:vAlign w:val="center"/>
                </w:tcPr>
                <w:p w14:paraId="16BADC84">
                  <w:pPr>
                    <w:widowControl/>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废布袋</w:t>
                  </w:r>
                </w:p>
              </w:tc>
              <w:tc>
                <w:tcPr>
                  <w:tcW w:w="1476" w:type="dxa"/>
                  <w:noWrap w:val="0"/>
                  <w:vAlign w:val="center"/>
                </w:tcPr>
                <w:p w14:paraId="574A9DD2">
                  <w:pPr>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rPr>
                    <w:t>900-009-S59</w:t>
                  </w:r>
                </w:p>
              </w:tc>
              <w:tc>
                <w:tcPr>
                  <w:tcW w:w="984" w:type="dxa"/>
                  <w:noWrap w:val="0"/>
                  <w:vAlign w:val="center"/>
                </w:tcPr>
                <w:p w14:paraId="6C702C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1245" w:type="dxa"/>
                  <w:vMerge w:val="continue"/>
                  <w:noWrap w:val="0"/>
                  <w:vAlign w:val="center"/>
                </w:tcPr>
                <w:p w14:paraId="5147198D">
                  <w:pPr>
                    <w:pStyle w:val="64"/>
                    <w:spacing w:before="31" w:beforeLines="0" w:after="31" w:afterLines="0" w:line="240" w:lineRule="auto"/>
                    <w:jc w:val="center"/>
                    <w:textAlignment w:val="baseline"/>
                    <w:rPr>
                      <w:rFonts w:hint="eastAsia" w:ascii="Times New Roman" w:hAnsi="Times New Roman"/>
                      <w:color w:val="auto"/>
                      <w:sz w:val="21"/>
                      <w:szCs w:val="21"/>
                    </w:rPr>
                  </w:pPr>
                </w:p>
              </w:tc>
              <w:tc>
                <w:tcPr>
                  <w:tcW w:w="725" w:type="dxa"/>
                  <w:noWrap w:val="0"/>
                  <w:vAlign w:val="center"/>
                </w:tcPr>
                <w:p w14:paraId="45D05C3F">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775" w:type="dxa"/>
                  <w:noWrap w:val="0"/>
                  <w:vAlign w:val="center"/>
                </w:tcPr>
                <w:p w14:paraId="72B0A890">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w:t>
                  </w:r>
                  <w:r>
                    <w:rPr>
                      <w:rFonts w:hint="eastAsia" w:ascii="Times New Roman" w:hAnsi="Times New Roman"/>
                      <w:color w:val="auto"/>
                      <w:sz w:val="21"/>
                      <w:szCs w:val="21"/>
                      <w:lang w:val="en-US" w:eastAsia="zh-CN"/>
                    </w:rPr>
                    <w:t>年</w:t>
                  </w:r>
                </w:p>
              </w:tc>
              <w:tc>
                <w:tcPr>
                  <w:tcW w:w="1281" w:type="dxa"/>
                  <w:vMerge w:val="continue"/>
                  <w:noWrap w:val="0"/>
                  <w:vAlign w:val="center"/>
                </w:tcPr>
                <w:p w14:paraId="49950B3C">
                  <w:pPr>
                    <w:spacing w:line="280" w:lineRule="atLeast"/>
                    <w:jc w:val="center"/>
                    <w:rPr>
                      <w:rFonts w:hint="eastAsia" w:ascii="Times New Roman" w:hAnsi="Times New Roman"/>
                      <w:color w:val="auto"/>
                      <w:sz w:val="21"/>
                      <w:szCs w:val="21"/>
                    </w:rPr>
                  </w:pPr>
                </w:p>
              </w:tc>
            </w:tr>
            <w:tr w14:paraId="181C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2B28BD3C">
                  <w:pPr>
                    <w:spacing w:line="280" w:lineRule="atLeast"/>
                    <w:jc w:val="center"/>
                    <w:rPr>
                      <w:rFonts w:ascii="Times New Roman" w:hAnsi="Times New Roman"/>
                      <w:color w:val="auto"/>
                      <w:sz w:val="21"/>
                      <w:szCs w:val="21"/>
                    </w:rPr>
                  </w:pPr>
                  <w:r>
                    <w:rPr>
                      <w:rFonts w:hint="eastAsia" w:ascii="Times New Roman" w:hAnsi="Times New Roman" w:eastAsia="宋体" w:cs="Times New Roman"/>
                      <w:color w:val="auto"/>
                      <w:szCs w:val="21"/>
                      <w:lang w:val="en-US" w:eastAsia="zh-CN"/>
                    </w:rPr>
                    <w:t>5</w:t>
                  </w:r>
                </w:p>
              </w:tc>
              <w:tc>
                <w:tcPr>
                  <w:tcW w:w="1390" w:type="dxa"/>
                  <w:noWrap w:val="0"/>
                  <w:vAlign w:val="center"/>
                </w:tcPr>
                <w:p w14:paraId="30BA68FC">
                  <w:pPr>
                    <w:widowControl/>
                    <w:spacing w:line="280" w:lineRule="atLeast"/>
                    <w:jc w:val="center"/>
                    <w:rPr>
                      <w:rFonts w:ascii="Times New Roman" w:hAnsi="Times New Roman"/>
                      <w:color w:val="auto"/>
                      <w:sz w:val="21"/>
                      <w:szCs w:val="21"/>
                    </w:rPr>
                  </w:pPr>
                  <w:r>
                    <w:rPr>
                      <w:rFonts w:hint="default" w:ascii="Times New Roman" w:hAnsi="Times New Roman" w:eastAsia="宋体" w:cs="Times New Roman"/>
                      <w:b w:val="0"/>
                      <w:bCs w:val="0"/>
                      <w:color w:val="auto"/>
                      <w:sz w:val="21"/>
                      <w:szCs w:val="21"/>
                      <w:highlight w:val="none"/>
                      <w:lang w:val="en-US" w:eastAsia="zh-CN"/>
                    </w:rPr>
                    <w:t>废包装物</w:t>
                  </w:r>
                </w:p>
              </w:tc>
              <w:tc>
                <w:tcPr>
                  <w:tcW w:w="1476" w:type="dxa"/>
                  <w:noWrap w:val="0"/>
                  <w:vAlign w:val="center"/>
                </w:tcPr>
                <w:p w14:paraId="231F9E7F">
                  <w:pPr>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900-099-S17</w:t>
                  </w:r>
                </w:p>
              </w:tc>
              <w:tc>
                <w:tcPr>
                  <w:tcW w:w="984" w:type="dxa"/>
                  <w:noWrap w:val="0"/>
                  <w:vAlign w:val="center"/>
                </w:tcPr>
                <w:p w14:paraId="24C79A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1245" w:type="dxa"/>
                  <w:noWrap w:val="0"/>
                  <w:vAlign w:val="center"/>
                </w:tcPr>
                <w:p w14:paraId="47B3089E">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cs="Times New Roman"/>
                      <w:b w:val="0"/>
                      <w:bCs w:val="0"/>
                      <w:color w:val="auto"/>
                      <w:sz w:val="21"/>
                      <w:szCs w:val="21"/>
                      <w:highlight w:val="none"/>
                      <w:lang w:val="en-US" w:eastAsia="zh-CN"/>
                    </w:rPr>
                    <w:t>原辅材料包装</w:t>
                  </w:r>
                </w:p>
              </w:tc>
              <w:tc>
                <w:tcPr>
                  <w:tcW w:w="725" w:type="dxa"/>
                  <w:noWrap w:val="0"/>
                  <w:vAlign w:val="center"/>
                </w:tcPr>
                <w:p w14:paraId="7C412E24">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775" w:type="dxa"/>
                  <w:noWrap w:val="0"/>
                  <w:vAlign w:val="center"/>
                </w:tcPr>
                <w:p w14:paraId="01209BD8">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1281" w:type="dxa"/>
                  <w:vMerge w:val="continue"/>
                  <w:noWrap w:val="0"/>
                  <w:vAlign w:val="center"/>
                </w:tcPr>
                <w:p w14:paraId="4DA62F54">
                  <w:pPr>
                    <w:pStyle w:val="64"/>
                    <w:spacing w:before="31" w:beforeLines="0" w:after="31" w:afterLines="0" w:line="240" w:lineRule="auto"/>
                    <w:jc w:val="center"/>
                    <w:textAlignment w:val="baseline"/>
                    <w:rPr>
                      <w:rFonts w:hint="eastAsia" w:ascii="Times New Roman" w:hAnsi="Times New Roman"/>
                      <w:color w:val="auto"/>
                      <w:sz w:val="21"/>
                      <w:szCs w:val="21"/>
                    </w:rPr>
                  </w:pPr>
                </w:p>
              </w:tc>
            </w:tr>
          </w:tbl>
          <w:p w14:paraId="60549F22">
            <w:pPr>
              <w:autoSpaceDE w:val="0"/>
              <w:snapToGrid w:val="0"/>
              <w:spacing w:line="480" w:lineRule="atLeast"/>
              <w:jc w:val="center"/>
              <w:rPr>
                <w:rFonts w:hint="eastAsia"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15</w:t>
            </w:r>
            <w:r>
              <w:rPr>
                <w:rFonts w:ascii="Times New Roman" w:hAnsi="Times New Roman" w:eastAsia="宋体" w:cs="Times New Roman"/>
                <w:b/>
                <w:bCs/>
                <w:color w:val="auto"/>
                <w:sz w:val="24"/>
                <w:szCs w:val="21"/>
              </w:rPr>
              <w:t xml:space="preserve">  危险废物汇总表</w:t>
            </w:r>
            <w:r>
              <w:rPr>
                <w:rFonts w:hint="eastAsia" w:ascii="Times New Roman" w:hAnsi="Times New Roman" w:eastAsia="宋体" w:cs="Times New Roman"/>
                <w:b/>
                <w:bCs/>
                <w:color w:val="auto"/>
                <w:sz w:val="24"/>
                <w:szCs w:val="21"/>
              </w:rPr>
              <w:t xml:space="preserve">    单位t/a</w:t>
            </w:r>
          </w:p>
          <w:tbl>
            <w:tblPr>
              <w:tblStyle w:val="37"/>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661"/>
              <w:gridCol w:w="915"/>
              <w:gridCol w:w="1242"/>
              <w:gridCol w:w="899"/>
              <w:gridCol w:w="891"/>
              <w:gridCol w:w="450"/>
              <w:gridCol w:w="702"/>
              <w:gridCol w:w="664"/>
              <w:gridCol w:w="600"/>
              <w:gridCol w:w="911"/>
            </w:tblGrid>
            <w:tr w14:paraId="0496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9" w:type="dxa"/>
                  <w:noWrap w:val="0"/>
                  <w:vAlign w:val="center"/>
                </w:tcPr>
                <w:p w14:paraId="21079359">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序号</w:t>
                  </w:r>
                </w:p>
              </w:tc>
              <w:tc>
                <w:tcPr>
                  <w:tcW w:w="661" w:type="dxa"/>
                  <w:noWrap w:val="0"/>
                  <w:vAlign w:val="center"/>
                </w:tcPr>
                <w:p w14:paraId="0BE5F998">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危险废物名称</w:t>
                  </w:r>
                </w:p>
              </w:tc>
              <w:tc>
                <w:tcPr>
                  <w:tcW w:w="915" w:type="dxa"/>
                  <w:noWrap w:val="0"/>
                  <w:vAlign w:val="center"/>
                </w:tcPr>
                <w:p w14:paraId="1E2D0395">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废物类别</w:t>
                  </w:r>
                </w:p>
              </w:tc>
              <w:tc>
                <w:tcPr>
                  <w:tcW w:w="1242" w:type="dxa"/>
                  <w:noWrap w:val="0"/>
                  <w:vAlign w:val="center"/>
                </w:tcPr>
                <w:p w14:paraId="7A9D105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危险废物代码</w:t>
                  </w:r>
                </w:p>
              </w:tc>
              <w:tc>
                <w:tcPr>
                  <w:tcW w:w="899" w:type="dxa"/>
                  <w:noWrap w:val="0"/>
                  <w:vAlign w:val="center"/>
                </w:tcPr>
                <w:p w14:paraId="2170E736">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产生量（t/a）</w:t>
                  </w:r>
                </w:p>
              </w:tc>
              <w:tc>
                <w:tcPr>
                  <w:tcW w:w="891" w:type="dxa"/>
                  <w:noWrap w:val="0"/>
                  <w:vAlign w:val="center"/>
                </w:tcPr>
                <w:p w14:paraId="2BB9A951">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产生工序及装置</w:t>
                  </w:r>
                </w:p>
              </w:tc>
              <w:tc>
                <w:tcPr>
                  <w:tcW w:w="450" w:type="dxa"/>
                  <w:noWrap w:val="0"/>
                  <w:vAlign w:val="center"/>
                </w:tcPr>
                <w:p w14:paraId="15F8AA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形态</w:t>
                  </w:r>
                </w:p>
              </w:tc>
              <w:tc>
                <w:tcPr>
                  <w:tcW w:w="702" w:type="dxa"/>
                  <w:noWrap w:val="0"/>
                  <w:vAlign w:val="center"/>
                </w:tcPr>
                <w:p w14:paraId="7EA04347">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有害成分</w:t>
                  </w:r>
                </w:p>
              </w:tc>
              <w:tc>
                <w:tcPr>
                  <w:tcW w:w="664" w:type="dxa"/>
                  <w:noWrap w:val="0"/>
                  <w:vAlign w:val="center"/>
                </w:tcPr>
                <w:p w14:paraId="7E2DA30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产废</w:t>
                  </w:r>
                </w:p>
                <w:p w14:paraId="6088793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周期</w:t>
                  </w:r>
                </w:p>
              </w:tc>
              <w:tc>
                <w:tcPr>
                  <w:tcW w:w="600" w:type="dxa"/>
                  <w:noWrap w:val="0"/>
                  <w:vAlign w:val="center"/>
                </w:tcPr>
                <w:p w14:paraId="291117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危险特性</w:t>
                  </w:r>
                </w:p>
              </w:tc>
              <w:tc>
                <w:tcPr>
                  <w:tcW w:w="911" w:type="dxa"/>
                  <w:noWrap w:val="0"/>
                  <w:vAlign w:val="center"/>
                </w:tcPr>
                <w:p w14:paraId="051267A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污染防治措施</w:t>
                  </w:r>
                </w:p>
              </w:tc>
            </w:tr>
            <w:tr w14:paraId="5C7C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9" w:type="dxa"/>
                  <w:noWrap w:val="0"/>
                  <w:vAlign w:val="center"/>
                </w:tcPr>
                <w:p w14:paraId="5540E3F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661" w:type="dxa"/>
                  <w:noWrap w:val="0"/>
                  <w:vAlign w:val="center"/>
                </w:tcPr>
                <w:p w14:paraId="19564C0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915" w:type="dxa"/>
                  <w:noWrap w:val="0"/>
                  <w:vAlign w:val="center"/>
                </w:tcPr>
                <w:p w14:paraId="37A995F7">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HW49</w:t>
                  </w:r>
                </w:p>
              </w:tc>
              <w:tc>
                <w:tcPr>
                  <w:tcW w:w="1242" w:type="dxa"/>
                  <w:noWrap w:val="0"/>
                  <w:vAlign w:val="center"/>
                </w:tcPr>
                <w:p w14:paraId="654936E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900-039-49</w:t>
                  </w:r>
                </w:p>
              </w:tc>
              <w:tc>
                <w:tcPr>
                  <w:tcW w:w="899" w:type="dxa"/>
                  <w:noWrap w:val="0"/>
                  <w:vAlign w:val="center"/>
                </w:tcPr>
                <w:p w14:paraId="15A94E4C">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0.375</w:t>
                  </w:r>
                </w:p>
              </w:tc>
              <w:tc>
                <w:tcPr>
                  <w:tcW w:w="891" w:type="dxa"/>
                  <w:vMerge w:val="restart"/>
                  <w:noWrap w:val="0"/>
                  <w:vAlign w:val="center"/>
                </w:tcPr>
                <w:p w14:paraId="3FAB224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废气处理装置</w:t>
                  </w:r>
                </w:p>
              </w:tc>
              <w:tc>
                <w:tcPr>
                  <w:tcW w:w="450" w:type="dxa"/>
                  <w:noWrap w:val="0"/>
                  <w:vAlign w:val="center"/>
                </w:tcPr>
                <w:p w14:paraId="3D2A771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702" w:type="dxa"/>
                  <w:noWrap w:val="0"/>
                  <w:vAlign w:val="center"/>
                </w:tcPr>
                <w:p w14:paraId="7CE67BD3">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VOCs</w:t>
                  </w:r>
                </w:p>
              </w:tc>
              <w:tc>
                <w:tcPr>
                  <w:tcW w:w="664" w:type="dxa"/>
                  <w:noWrap w:val="0"/>
                  <w:vAlign w:val="center"/>
                </w:tcPr>
                <w:p w14:paraId="324BF17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每年</w:t>
                  </w:r>
                </w:p>
              </w:tc>
              <w:tc>
                <w:tcPr>
                  <w:tcW w:w="600" w:type="dxa"/>
                  <w:noWrap w:val="0"/>
                  <w:vAlign w:val="center"/>
                </w:tcPr>
                <w:p w14:paraId="0D3632AA">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T</w:t>
                  </w:r>
                </w:p>
              </w:tc>
              <w:tc>
                <w:tcPr>
                  <w:tcW w:w="911" w:type="dxa"/>
                  <w:vMerge w:val="restart"/>
                  <w:noWrap w:val="0"/>
                  <w:vAlign w:val="center"/>
                </w:tcPr>
                <w:p w14:paraId="02103A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危废暂存间密闭桶装、托盘或袋装，分类分区域储存，由有危废资质的单位接收处置</w:t>
                  </w:r>
                </w:p>
              </w:tc>
            </w:tr>
            <w:tr w14:paraId="1240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9" w:type="dxa"/>
                  <w:noWrap w:val="0"/>
                  <w:vAlign w:val="center"/>
                </w:tcPr>
                <w:p w14:paraId="137250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661" w:type="dxa"/>
                  <w:noWrap w:val="0"/>
                  <w:vAlign w:val="center"/>
                </w:tcPr>
                <w:p w14:paraId="5336C09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915" w:type="dxa"/>
                  <w:noWrap w:val="0"/>
                  <w:vAlign w:val="center"/>
                </w:tcPr>
                <w:p w14:paraId="1C153092">
                  <w:pPr>
                    <w:widowControl w:val="0"/>
                    <w:ind w:firstLine="0" w:firstLineChars="0"/>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pacing w:val="0"/>
                      <w:kern w:val="2"/>
                      <w:sz w:val="21"/>
                      <w:szCs w:val="21"/>
                      <w:lang w:val="en-US" w:eastAsia="zh-CN" w:bidi="ar-SA"/>
                    </w:rPr>
                    <w:t>HW</w:t>
                  </w:r>
                  <w:r>
                    <w:rPr>
                      <w:rFonts w:hint="eastAsia" w:ascii="Times New Roman" w:hAnsi="Times New Roman" w:eastAsia="宋体" w:cs="Times New Roman"/>
                      <w:color w:val="auto"/>
                      <w:spacing w:val="0"/>
                      <w:kern w:val="2"/>
                      <w:sz w:val="21"/>
                      <w:szCs w:val="21"/>
                      <w:lang w:val="en-US" w:eastAsia="zh-CN" w:bidi="ar-SA"/>
                    </w:rPr>
                    <w:t>50</w:t>
                  </w:r>
                </w:p>
              </w:tc>
              <w:tc>
                <w:tcPr>
                  <w:tcW w:w="1242" w:type="dxa"/>
                  <w:noWrap w:val="0"/>
                  <w:vAlign w:val="center"/>
                </w:tcPr>
                <w:p w14:paraId="0A9B777F">
                  <w:pPr>
                    <w:widowControl w:val="0"/>
                    <w:ind w:firstLine="0" w:firstLineChars="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000000"/>
                      <w:highlight w:val="none"/>
                    </w:rPr>
                    <w:t>900-04</w:t>
                  </w:r>
                  <w:r>
                    <w:rPr>
                      <w:rFonts w:hint="eastAsia" w:ascii="Times New Roman" w:hAnsi="Times New Roman" w:eastAsia="宋体" w:cs="Times New Roman"/>
                      <w:color w:val="000000"/>
                      <w:highlight w:val="none"/>
                      <w:lang w:val="en-US" w:eastAsia="zh-CN"/>
                    </w:rPr>
                    <w:t>9</w:t>
                  </w:r>
                  <w:r>
                    <w:rPr>
                      <w:rFonts w:hint="default" w:ascii="Times New Roman" w:hAnsi="Times New Roman" w:eastAsia="宋体" w:cs="Times New Roman"/>
                      <w:color w:val="000000"/>
                      <w:highlight w:val="none"/>
                    </w:rPr>
                    <w:t>-</w:t>
                  </w:r>
                  <w:r>
                    <w:rPr>
                      <w:rFonts w:hint="eastAsia" w:ascii="Times New Roman" w:hAnsi="Times New Roman" w:eastAsia="宋体" w:cs="Times New Roman"/>
                      <w:color w:val="000000"/>
                      <w:highlight w:val="none"/>
                      <w:lang w:val="en-US" w:eastAsia="zh-CN"/>
                    </w:rPr>
                    <w:t>50</w:t>
                  </w:r>
                </w:p>
              </w:tc>
              <w:tc>
                <w:tcPr>
                  <w:tcW w:w="899" w:type="dxa"/>
                  <w:noWrap w:val="0"/>
                  <w:vAlign w:val="center"/>
                </w:tcPr>
                <w:p w14:paraId="27E08E3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891" w:type="dxa"/>
                  <w:vMerge w:val="continue"/>
                  <w:noWrap w:val="0"/>
                  <w:vAlign w:val="center"/>
                </w:tcPr>
                <w:p w14:paraId="0BFDFA29">
                  <w:pPr>
                    <w:spacing w:line="280" w:lineRule="atLeast"/>
                    <w:jc w:val="center"/>
                    <w:rPr>
                      <w:rFonts w:hint="eastAsia" w:ascii="Times New Roman" w:hAnsi="Times New Roman" w:eastAsia="宋体" w:cs="Times New Roman"/>
                      <w:color w:val="auto"/>
                      <w:szCs w:val="21"/>
                      <w:lang w:val="en-US" w:eastAsia="zh-CN"/>
                    </w:rPr>
                  </w:pPr>
                </w:p>
              </w:tc>
              <w:tc>
                <w:tcPr>
                  <w:tcW w:w="450" w:type="dxa"/>
                  <w:noWrap w:val="0"/>
                  <w:vAlign w:val="center"/>
                </w:tcPr>
                <w:p w14:paraId="69DA2D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702" w:type="dxa"/>
                  <w:noWrap w:val="0"/>
                  <w:vAlign w:val="center"/>
                </w:tcPr>
                <w:p w14:paraId="2E40EA25">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kern w:val="0"/>
                      <w:sz w:val="21"/>
                      <w:szCs w:val="21"/>
                      <w:lang w:val="en-US" w:eastAsia="zh-CN" w:bidi="ar-SA"/>
                    </w:rPr>
                    <w:t>催化剂</w:t>
                  </w:r>
                </w:p>
              </w:tc>
              <w:tc>
                <w:tcPr>
                  <w:tcW w:w="664" w:type="dxa"/>
                  <w:noWrap w:val="0"/>
                  <w:vAlign w:val="center"/>
                </w:tcPr>
                <w:p w14:paraId="4F7A245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每3年</w:t>
                  </w:r>
                </w:p>
              </w:tc>
              <w:tc>
                <w:tcPr>
                  <w:tcW w:w="600" w:type="dxa"/>
                  <w:noWrap w:val="0"/>
                  <w:vAlign w:val="center"/>
                </w:tcPr>
                <w:p w14:paraId="346F01C3">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Cs w:val="21"/>
                    </w:rPr>
                    <w:t>T</w:t>
                  </w:r>
                </w:p>
              </w:tc>
              <w:tc>
                <w:tcPr>
                  <w:tcW w:w="911" w:type="dxa"/>
                  <w:vMerge w:val="continue"/>
                  <w:noWrap w:val="0"/>
                  <w:vAlign w:val="center"/>
                </w:tcPr>
                <w:p w14:paraId="74CAEED8">
                  <w:pPr>
                    <w:spacing w:line="280" w:lineRule="atLeast"/>
                    <w:jc w:val="center"/>
                    <w:rPr>
                      <w:rFonts w:hint="eastAsia" w:ascii="Times New Roman" w:hAnsi="Times New Roman" w:eastAsia="宋体" w:cs="Times New Roman"/>
                      <w:color w:val="auto"/>
                      <w:szCs w:val="21"/>
                      <w:lang w:val="en-US" w:eastAsia="zh-CN"/>
                    </w:rPr>
                  </w:pPr>
                </w:p>
              </w:tc>
            </w:tr>
            <w:tr w14:paraId="50D0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469" w:type="dxa"/>
                  <w:noWrap w:val="0"/>
                  <w:vAlign w:val="center"/>
                </w:tcPr>
                <w:p w14:paraId="2E1496F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661" w:type="dxa"/>
                  <w:noWrap w:val="0"/>
                  <w:vAlign w:val="center"/>
                </w:tcPr>
                <w:p w14:paraId="277210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915" w:type="dxa"/>
                  <w:noWrap w:val="0"/>
                  <w:vAlign w:val="center"/>
                </w:tcPr>
                <w:p w14:paraId="205EA07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2" w:type="dxa"/>
                  <w:noWrap w:val="0"/>
                  <w:vAlign w:val="center"/>
                </w:tcPr>
                <w:p w14:paraId="76DC117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99" w:type="dxa"/>
                  <w:noWrap w:val="0"/>
                  <w:vAlign w:val="center"/>
                </w:tcPr>
                <w:p w14:paraId="1B54FCE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891" w:type="dxa"/>
                  <w:vMerge w:val="restart"/>
                  <w:noWrap w:val="0"/>
                  <w:vAlign w:val="center"/>
                </w:tcPr>
                <w:p w14:paraId="272236B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生产设备维护</w:t>
                  </w:r>
                </w:p>
              </w:tc>
              <w:tc>
                <w:tcPr>
                  <w:tcW w:w="450" w:type="dxa"/>
                  <w:noWrap w:val="0"/>
                  <w:vAlign w:val="center"/>
                </w:tcPr>
                <w:p w14:paraId="426BC59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702" w:type="dxa"/>
                  <w:noWrap w:val="0"/>
                  <w:vAlign w:val="center"/>
                </w:tcPr>
                <w:p w14:paraId="2150EE2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4" w:type="dxa"/>
                  <w:noWrap w:val="0"/>
                  <w:vAlign w:val="center"/>
                </w:tcPr>
                <w:p w14:paraId="76FE83F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00" w:type="dxa"/>
                  <w:noWrap w:val="0"/>
                  <w:vAlign w:val="center"/>
                </w:tcPr>
                <w:p w14:paraId="0FF026C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911" w:type="dxa"/>
                  <w:vMerge w:val="continue"/>
                  <w:noWrap w:val="0"/>
                  <w:vAlign w:val="center"/>
                </w:tcPr>
                <w:p w14:paraId="484408E3">
                  <w:pPr>
                    <w:spacing w:line="280" w:lineRule="atLeast"/>
                    <w:jc w:val="center"/>
                    <w:rPr>
                      <w:rFonts w:hint="eastAsia" w:ascii="Times New Roman" w:hAnsi="Times New Roman" w:eastAsia="宋体" w:cs="Times New Roman"/>
                      <w:color w:val="auto"/>
                      <w:szCs w:val="21"/>
                      <w:lang w:val="en-US" w:eastAsia="zh-CN"/>
                    </w:rPr>
                  </w:pPr>
                </w:p>
              </w:tc>
            </w:tr>
            <w:tr w14:paraId="67BB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noWrap w:val="0"/>
                  <w:vAlign w:val="center"/>
                </w:tcPr>
                <w:p w14:paraId="1E38FFD6">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661" w:type="dxa"/>
                  <w:noWrap w:val="0"/>
                  <w:vAlign w:val="center"/>
                </w:tcPr>
                <w:p w14:paraId="64C0F1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915" w:type="dxa"/>
                  <w:noWrap w:val="0"/>
                  <w:vAlign w:val="center"/>
                </w:tcPr>
                <w:p w14:paraId="51A0155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2" w:type="dxa"/>
                  <w:noWrap w:val="0"/>
                  <w:vAlign w:val="center"/>
                </w:tcPr>
                <w:p w14:paraId="572AA62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99" w:type="dxa"/>
                  <w:noWrap w:val="0"/>
                  <w:vAlign w:val="center"/>
                </w:tcPr>
                <w:p w14:paraId="7A8FABC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p>
              </w:tc>
              <w:tc>
                <w:tcPr>
                  <w:tcW w:w="891" w:type="dxa"/>
                  <w:vMerge w:val="continue"/>
                  <w:noWrap w:val="0"/>
                  <w:vAlign w:val="center"/>
                </w:tcPr>
                <w:p w14:paraId="4396DD66">
                  <w:pPr>
                    <w:spacing w:line="280" w:lineRule="atLeast"/>
                    <w:jc w:val="center"/>
                    <w:rPr>
                      <w:rFonts w:hint="eastAsia" w:ascii="Times New Roman" w:hAnsi="Times New Roman" w:eastAsia="宋体" w:cs="Times New Roman"/>
                      <w:color w:val="auto"/>
                      <w:szCs w:val="21"/>
                      <w:lang w:val="en-US" w:eastAsia="zh-CN"/>
                    </w:rPr>
                  </w:pPr>
                </w:p>
              </w:tc>
              <w:tc>
                <w:tcPr>
                  <w:tcW w:w="450" w:type="dxa"/>
                  <w:noWrap w:val="0"/>
                  <w:vAlign w:val="center"/>
                </w:tcPr>
                <w:p w14:paraId="1A3AB66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702" w:type="dxa"/>
                  <w:noWrap w:val="0"/>
                  <w:vAlign w:val="center"/>
                </w:tcPr>
                <w:p w14:paraId="61C01E5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4" w:type="dxa"/>
                  <w:noWrap w:val="0"/>
                  <w:vAlign w:val="center"/>
                </w:tcPr>
                <w:p w14:paraId="5543CEB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00" w:type="dxa"/>
                  <w:noWrap w:val="0"/>
                  <w:vAlign w:val="center"/>
                </w:tcPr>
                <w:p w14:paraId="47E6DC7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911" w:type="dxa"/>
                  <w:vMerge w:val="continue"/>
                  <w:noWrap w:val="0"/>
                  <w:vAlign w:val="center"/>
                </w:tcPr>
                <w:p w14:paraId="211F5004">
                  <w:pPr>
                    <w:spacing w:line="280" w:lineRule="atLeast"/>
                    <w:jc w:val="center"/>
                    <w:rPr>
                      <w:rFonts w:hint="eastAsia" w:ascii="Times New Roman" w:hAnsi="Times New Roman" w:eastAsia="宋体" w:cs="Times New Roman"/>
                      <w:color w:val="auto"/>
                      <w:szCs w:val="21"/>
                      <w:lang w:val="en-US" w:eastAsia="zh-CN"/>
                    </w:rPr>
                  </w:pPr>
                </w:p>
              </w:tc>
            </w:tr>
          </w:tbl>
          <w:p w14:paraId="3D7D30A5">
            <w:pPr>
              <w:snapToGrid w:val="0"/>
              <w:spacing w:line="480" w:lineRule="atLeast"/>
              <w:jc w:val="center"/>
              <w:rPr>
                <w:rFonts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16</w:t>
            </w:r>
            <w:r>
              <w:rPr>
                <w:rFonts w:ascii="Times New Roman" w:hAnsi="Times New Roman" w:eastAsia="宋体" w:cs="Times New Roman"/>
                <w:b/>
                <w:color w:val="auto"/>
                <w:sz w:val="24"/>
                <w:szCs w:val="21"/>
              </w:rPr>
              <w:t xml:space="preserve"> </w:t>
            </w:r>
            <w:r>
              <w:rPr>
                <w:rFonts w:ascii="Times New Roman" w:hAnsi="Times New Roman" w:eastAsia="宋体" w:cs="Times New Roman"/>
                <w:b/>
                <w:bCs/>
                <w:color w:val="auto"/>
                <w:sz w:val="24"/>
                <w:szCs w:val="21"/>
              </w:rPr>
              <w:t>建设项目危险废物贮存场所（设施）基本情况表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1453"/>
              <w:gridCol w:w="926"/>
              <w:gridCol w:w="1231"/>
              <w:gridCol w:w="688"/>
              <w:gridCol w:w="668"/>
              <w:gridCol w:w="710"/>
              <w:gridCol w:w="929"/>
              <w:gridCol w:w="734"/>
            </w:tblGrid>
            <w:tr w14:paraId="39AF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2" w:type="dxa"/>
                  <w:noWrap w:val="0"/>
                  <w:vAlign w:val="center"/>
                </w:tcPr>
                <w:p w14:paraId="08DBE5A7">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贮存场所（设施名称）</w:t>
                  </w:r>
                </w:p>
              </w:tc>
              <w:tc>
                <w:tcPr>
                  <w:tcW w:w="1453" w:type="dxa"/>
                  <w:noWrap w:val="0"/>
                  <w:vAlign w:val="center"/>
                </w:tcPr>
                <w:p w14:paraId="26BA2F0A">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危险废物名称</w:t>
                  </w:r>
                </w:p>
              </w:tc>
              <w:tc>
                <w:tcPr>
                  <w:tcW w:w="926" w:type="dxa"/>
                  <w:noWrap w:val="0"/>
                  <w:vAlign w:val="center"/>
                </w:tcPr>
                <w:p w14:paraId="28256124">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危险废物类别</w:t>
                  </w:r>
                </w:p>
              </w:tc>
              <w:tc>
                <w:tcPr>
                  <w:tcW w:w="1231" w:type="dxa"/>
                  <w:noWrap w:val="0"/>
                  <w:vAlign w:val="center"/>
                </w:tcPr>
                <w:p w14:paraId="20679AF2">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危险废物代码</w:t>
                  </w:r>
                </w:p>
              </w:tc>
              <w:tc>
                <w:tcPr>
                  <w:tcW w:w="688" w:type="dxa"/>
                  <w:noWrap w:val="0"/>
                  <w:vAlign w:val="center"/>
                </w:tcPr>
                <w:p w14:paraId="793E3880">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位置</w:t>
                  </w:r>
                </w:p>
              </w:tc>
              <w:tc>
                <w:tcPr>
                  <w:tcW w:w="668" w:type="dxa"/>
                  <w:noWrap w:val="0"/>
                  <w:vAlign w:val="center"/>
                </w:tcPr>
                <w:p w14:paraId="02E22536">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占地面积</w:t>
                  </w:r>
                </w:p>
              </w:tc>
              <w:tc>
                <w:tcPr>
                  <w:tcW w:w="710" w:type="dxa"/>
                  <w:noWrap w:val="0"/>
                  <w:vAlign w:val="center"/>
                </w:tcPr>
                <w:p w14:paraId="0D23DCD9">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贮存方式</w:t>
                  </w:r>
                </w:p>
              </w:tc>
              <w:tc>
                <w:tcPr>
                  <w:tcW w:w="929" w:type="dxa"/>
                  <w:noWrap w:val="0"/>
                  <w:vAlign w:val="center"/>
                </w:tcPr>
                <w:p w14:paraId="11F959DF">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贮存能力（t/a）</w:t>
                  </w:r>
                </w:p>
              </w:tc>
              <w:tc>
                <w:tcPr>
                  <w:tcW w:w="733" w:type="dxa"/>
                  <w:noWrap w:val="0"/>
                  <w:vAlign w:val="center"/>
                </w:tcPr>
                <w:p w14:paraId="29490B35">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贮存周期</w:t>
                  </w:r>
                </w:p>
              </w:tc>
            </w:tr>
            <w:tr w14:paraId="0F44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2" w:type="dxa"/>
                  <w:vMerge w:val="restart"/>
                  <w:noWrap w:val="0"/>
                  <w:vAlign w:val="center"/>
                </w:tcPr>
                <w:p w14:paraId="064E4E00">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危废暂存间</w:t>
                  </w:r>
                </w:p>
              </w:tc>
              <w:tc>
                <w:tcPr>
                  <w:tcW w:w="1453" w:type="dxa"/>
                  <w:noWrap w:val="0"/>
                  <w:vAlign w:val="center"/>
                </w:tcPr>
                <w:p w14:paraId="60896B0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废活性炭</w:t>
                  </w:r>
                </w:p>
              </w:tc>
              <w:tc>
                <w:tcPr>
                  <w:tcW w:w="926" w:type="dxa"/>
                  <w:noWrap w:val="0"/>
                  <w:vAlign w:val="center"/>
                </w:tcPr>
                <w:p w14:paraId="4ADB9FB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rPr>
                  </w:pPr>
                  <w:r>
                    <w:rPr>
                      <w:rFonts w:ascii="Times New Roman" w:hAnsi="Times New Roman" w:eastAsia="宋体" w:cs="Times New Roman"/>
                      <w:color w:val="auto"/>
                      <w:kern w:val="0"/>
                      <w:sz w:val="21"/>
                      <w:szCs w:val="21"/>
                      <w:lang w:val="en-US" w:eastAsia="zh-CN" w:bidi="ar-SA"/>
                    </w:rPr>
                    <w:t>HW49</w:t>
                  </w:r>
                </w:p>
              </w:tc>
              <w:tc>
                <w:tcPr>
                  <w:tcW w:w="1231" w:type="dxa"/>
                  <w:noWrap w:val="0"/>
                  <w:vAlign w:val="center"/>
                </w:tcPr>
                <w:p w14:paraId="6E4CF95A">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rPr>
                  </w:pPr>
                  <w:r>
                    <w:rPr>
                      <w:rFonts w:ascii="Times New Roman" w:hAnsi="Times New Roman" w:eastAsia="宋体" w:cs="Times New Roman"/>
                      <w:color w:val="auto"/>
                      <w:kern w:val="0"/>
                      <w:sz w:val="21"/>
                      <w:szCs w:val="21"/>
                      <w:lang w:val="en-US" w:eastAsia="zh-CN" w:bidi="ar-SA"/>
                    </w:rPr>
                    <w:t>900-039-49</w:t>
                  </w:r>
                </w:p>
              </w:tc>
              <w:tc>
                <w:tcPr>
                  <w:tcW w:w="688" w:type="dxa"/>
                  <w:vMerge w:val="restart"/>
                  <w:noWrap w:val="0"/>
                  <w:vAlign w:val="center"/>
                </w:tcPr>
                <w:p w14:paraId="28066591">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位于生产车间内</w:t>
                  </w:r>
                </w:p>
              </w:tc>
              <w:tc>
                <w:tcPr>
                  <w:tcW w:w="668" w:type="dxa"/>
                  <w:vMerge w:val="restart"/>
                  <w:noWrap w:val="0"/>
                  <w:vAlign w:val="center"/>
                </w:tcPr>
                <w:p w14:paraId="75EE75EF">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w:t>
                  </w:r>
                  <w:r>
                    <w:rPr>
                      <w:rFonts w:hint="eastAsia" w:ascii="Times New Roman" w:hAnsi="Times New Roman" w:eastAsia="宋体" w:cs="Times New Roman"/>
                      <w:color w:val="auto"/>
                      <w:szCs w:val="21"/>
                    </w:rPr>
                    <w:t>0m</w:t>
                  </w:r>
                  <w:r>
                    <w:rPr>
                      <w:rFonts w:hint="eastAsia" w:ascii="Times New Roman" w:hAnsi="Times New Roman" w:eastAsia="宋体" w:cs="Times New Roman"/>
                      <w:color w:val="auto"/>
                      <w:szCs w:val="21"/>
                      <w:vertAlign w:val="superscript"/>
                    </w:rPr>
                    <w:t>2</w:t>
                  </w:r>
                </w:p>
              </w:tc>
              <w:tc>
                <w:tcPr>
                  <w:tcW w:w="710" w:type="dxa"/>
                  <w:noWrap w:val="0"/>
                  <w:vAlign w:val="center"/>
                </w:tcPr>
                <w:p w14:paraId="17ED2668">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29" w:type="dxa"/>
                  <w:noWrap w:val="0"/>
                  <w:vAlign w:val="center"/>
                </w:tcPr>
                <w:p w14:paraId="71C0CEAE">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733" w:type="dxa"/>
                  <w:vMerge w:val="restart"/>
                  <w:noWrap w:val="0"/>
                  <w:vAlign w:val="center"/>
                </w:tcPr>
                <w:p w14:paraId="42B8D824">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一年</w:t>
                  </w:r>
                </w:p>
              </w:tc>
            </w:tr>
            <w:tr w14:paraId="7D6C3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2" w:type="dxa"/>
                  <w:vMerge w:val="continue"/>
                  <w:noWrap w:val="0"/>
                  <w:vAlign w:val="center"/>
                </w:tcPr>
                <w:p w14:paraId="7586B2EA">
                  <w:pPr>
                    <w:topLinePunct/>
                    <w:spacing w:line="280" w:lineRule="atLeast"/>
                    <w:jc w:val="center"/>
                    <w:rPr>
                      <w:rFonts w:hint="eastAsia" w:ascii="Times New Roman" w:hAnsi="Times New Roman" w:eastAsia="宋体" w:cs="Times New Roman"/>
                      <w:color w:val="auto"/>
                      <w:szCs w:val="21"/>
                    </w:rPr>
                  </w:pPr>
                </w:p>
              </w:tc>
              <w:tc>
                <w:tcPr>
                  <w:tcW w:w="1453" w:type="dxa"/>
                  <w:noWrap w:val="0"/>
                  <w:vAlign w:val="center"/>
                </w:tcPr>
                <w:p w14:paraId="1B2674B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废催化剂</w:t>
                  </w:r>
                </w:p>
              </w:tc>
              <w:tc>
                <w:tcPr>
                  <w:tcW w:w="926" w:type="dxa"/>
                  <w:noWrap w:val="0"/>
                  <w:vAlign w:val="center"/>
                </w:tcPr>
                <w:p w14:paraId="65992C58">
                  <w:pPr>
                    <w:widowControl w:val="0"/>
                    <w:ind w:firstLine="0" w:firstLineChars="0"/>
                    <w:jc w:val="center"/>
                    <w:rPr>
                      <w:rFonts w:hint="eastAsia" w:ascii="Times New Roman" w:hAnsi="Times New Roman" w:eastAsia="宋体" w:cs="Times New Roman"/>
                      <w:color w:val="auto"/>
                      <w:szCs w:val="21"/>
                    </w:rPr>
                  </w:pPr>
                  <w:r>
                    <w:rPr>
                      <w:rFonts w:ascii="Times New Roman" w:hAnsi="Times New Roman" w:eastAsia="宋体" w:cs="Times New Roman"/>
                      <w:color w:val="auto"/>
                      <w:spacing w:val="0"/>
                      <w:kern w:val="2"/>
                      <w:sz w:val="21"/>
                      <w:szCs w:val="21"/>
                      <w:lang w:val="en-US" w:eastAsia="zh-CN" w:bidi="ar-SA"/>
                    </w:rPr>
                    <w:t>HW</w:t>
                  </w:r>
                  <w:r>
                    <w:rPr>
                      <w:rFonts w:hint="eastAsia" w:ascii="Times New Roman" w:hAnsi="Times New Roman" w:eastAsia="宋体" w:cs="Times New Roman"/>
                      <w:color w:val="auto"/>
                      <w:spacing w:val="0"/>
                      <w:kern w:val="2"/>
                      <w:sz w:val="21"/>
                      <w:szCs w:val="21"/>
                      <w:lang w:val="en-US" w:eastAsia="zh-CN" w:bidi="ar-SA"/>
                    </w:rPr>
                    <w:t>50</w:t>
                  </w:r>
                </w:p>
              </w:tc>
              <w:tc>
                <w:tcPr>
                  <w:tcW w:w="1231" w:type="dxa"/>
                  <w:noWrap w:val="0"/>
                  <w:vAlign w:val="center"/>
                </w:tcPr>
                <w:p w14:paraId="637BB31C">
                  <w:pPr>
                    <w:widowControl w:val="0"/>
                    <w:ind w:firstLine="0" w:firstLineChars="0"/>
                    <w:jc w:val="center"/>
                    <w:rPr>
                      <w:rFonts w:hint="eastAsia" w:ascii="Times New Roman" w:hAnsi="Times New Roman" w:eastAsia="宋体" w:cs="Times New Roman"/>
                      <w:color w:val="auto"/>
                      <w:szCs w:val="21"/>
                    </w:rPr>
                  </w:pPr>
                  <w:r>
                    <w:rPr>
                      <w:rFonts w:hint="default" w:ascii="Times New Roman" w:hAnsi="Times New Roman" w:eastAsia="宋体" w:cs="Times New Roman"/>
                      <w:color w:val="000000"/>
                      <w:highlight w:val="none"/>
                    </w:rPr>
                    <w:t>900-04</w:t>
                  </w:r>
                  <w:r>
                    <w:rPr>
                      <w:rFonts w:hint="eastAsia" w:ascii="Times New Roman" w:hAnsi="Times New Roman" w:eastAsia="宋体" w:cs="Times New Roman"/>
                      <w:color w:val="000000"/>
                      <w:highlight w:val="none"/>
                      <w:lang w:val="en-US" w:eastAsia="zh-CN"/>
                    </w:rPr>
                    <w:t>9</w:t>
                  </w:r>
                  <w:r>
                    <w:rPr>
                      <w:rFonts w:hint="default" w:ascii="Times New Roman" w:hAnsi="Times New Roman" w:eastAsia="宋体" w:cs="Times New Roman"/>
                      <w:color w:val="000000"/>
                      <w:highlight w:val="none"/>
                    </w:rPr>
                    <w:t>-</w:t>
                  </w:r>
                  <w:r>
                    <w:rPr>
                      <w:rFonts w:hint="eastAsia" w:ascii="Times New Roman" w:hAnsi="Times New Roman" w:eastAsia="宋体" w:cs="Times New Roman"/>
                      <w:color w:val="000000"/>
                      <w:highlight w:val="none"/>
                      <w:lang w:val="en-US" w:eastAsia="zh-CN"/>
                    </w:rPr>
                    <w:t>50</w:t>
                  </w:r>
                </w:p>
              </w:tc>
              <w:tc>
                <w:tcPr>
                  <w:tcW w:w="688" w:type="dxa"/>
                  <w:vMerge w:val="continue"/>
                  <w:noWrap w:val="0"/>
                  <w:vAlign w:val="center"/>
                </w:tcPr>
                <w:p w14:paraId="4023E69A">
                  <w:pPr>
                    <w:topLinePunct/>
                    <w:spacing w:line="280" w:lineRule="atLeast"/>
                    <w:jc w:val="center"/>
                    <w:rPr>
                      <w:rFonts w:hint="eastAsia" w:ascii="Times New Roman" w:hAnsi="Times New Roman" w:eastAsia="宋体" w:cs="Times New Roman"/>
                      <w:color w:val="auto"/>
                      <w:szCs w:val="21"/>
                      <w:lang w:val="en-US" w:eastAsia="zh-CN"/>
                    </w:rPr>
                  </w:pPr>
                </w:p>
              </w:tc>
              <w:tc>
                <w:tcPr>
                  <w:tcW w:w="668" w:type="dxa"/>
                  <w:vMerge w:val="continue"/>
                  <w:noWrap w:val="0"/>
                  <w:vAlign w:val="center"/>
                </w:tcPr>
                <w:p w14:paraId="7A44100D">
                  <w:pPr>
                    <w:topLinePunct/>
                    <w:spacing w:line="280" w:lineRule="atLeast"/>
                    <w:jc w:val="center"/>
                    <w:rPr>
                      <w:rFonts w:hint="eastAsia" w:ascii="Times New Roman" w:hAnsi="Times New Roman" w:eastAsia="宋体" w:cs="Times New Roman"/>
                      <w:color w:val="auto"/>
                      <w:szCs w:val="21"/>
                      <w:lang w:val="en-US" w:eastAsia="zh-CN"/>
                    </w:rPr>
                  </w:pPr>
                </w:p>
              </w:tc>
              <w:tc>
                <w:tcPr>
                  <w:tcW w:w="710" w:type="dxa"/>
                  <w:noWrap w:val="0"/>
                  <w:vAlign w:val="center"/>
                </w:tcPr>
                <w:p w14:paraId="3E37CBCA">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29" w:type="dxa"/>
                  <w:noWrap w:val="0"/>
                  <w:vAlign w:val="center"/>
                </w:tcPr>
                <w:p w14:paraId="39F7F6E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3" w:type="dxa"/>
                  <w:vMerge w:val="continue"/>
                  <w:noWrap w:val="0"/>
                  <w:vAlign w:val="center"/>
                </w:tcPr>
                <w:p w14:paraId="276E15EE">
                  <w:pPr>
                    <w:topLinePunct/>
                    <w:spacing w:line="280" w:lineRule="atLeast"/>
                    <w:jc w:val="center"/>
                    <w:rPr>
                      <w:rFonts w:hint="eastAsia" w:ascii="Times New Roman" w:hAnsi="Times New Roman" w:eastAsia="宋体" w:cs="Times New Roman"/>
                      <w:color w:val="auto"/>
                      <w:szCs w:val="21"/>
                    </w:rPr>
                  </w:pPr>
                </w:p>
              </w:tc>
            </w:tr>
            <w:tr w14:paraId="7FAFC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2" w:type="dxa"/>
                  <w:vMerge w:val="continue"/>
                  <w:noWrap w:val="0"/>
                  <w:vAlign w:val="center"/>
                </w:tcPr>
                <w:p w14:paraId="4044866B">
                  <w:pPr>
                    <w:topLinePunct/>
                    <w:spacing w:line="280" w:lineRule="atLeast"/>
                    <w:jc w:val="center"/>
                    <w:rPr>
                      <w:rFonts w:hint="eastAsia" w:ascii="Times New Roman" w:hAnsi="Times New Roman" w:eastAsia="宋体" w:cs="Times New Roman"/>
                      <w:color w:val="auto"/>
                      <w:szCs w:val="21"/>
                    </w:rPr>
                  </w:pPr>
                </w:p>
              </w:tc>
              <w:tc>
                <w:tcPr>
                  <w:tcW w:w="1453" w:type="dxa"/>
                  <w:noWrap w:val="0"/>
                  <w:vAlign w:val="center"/>
                </w:tcPr>
                <w:p w14:paraId="3B252F3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926" w:type="dxa"/>
                  <w:noWrap w:val="0"/>
                  <w:vAlign w:val="center"/>
                </w:tcPr>
                <w:p w14:paraId="58C3278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1" w:type="dxa"/>
                  <w:noWrap w:val="0"/>
                  <w:vAlign w:val="center"/>
                </w:tcPr>
                <w:p w14:paraId="54F020A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688" w:type="dxa"/>
                  <w:vMerge w:val="continue"/>
                  <w:noWrap w:val="0"/>
                  <w:vAlign w:val="center"/>
                </w:tcPr>
                <w:p w14:paraId="240CBB33">
                  <w:pPr>
                    <w:topLinePunct/>
                    <w:spacing w:line="280" w:lineRule="atLeast"/>
                    <w:jc w:val="center"/>
                    <w:rPr>
                      <w:rFonts w:hint="eastAsia" w:ascii="Times New Roman" w:hAnsi="Times New Roman" w:eastAsia="宋体" w:cs="Times New Roman"/>
                      <w:color w:val="auto"/>
                      <w:szCs w:val="21"/>
                      <w:lang w:val="en-US" w:eastAsia="zh-CN"/>
                    </w:rPr>
                  </w:pPr>
                </w:p>
              </w:tc>
              <w:tc>
                <w:tcPr>
                  <w:tcW w:w="668" w:type="dxa"/>
                  <w:vMerge w:val="continue"/>
                  <w:noWrap w:val="0"/>
                  <w:vAlign w:val="center"/>
                </w:tcPr>
                <w:p w14:paraId="7FC85885">
                  <w:pPr>
                    <w:topLinePunct/>
                    <w:spacing w:line="280" w:lineRule="atLeast"/>
                    <w:jc w:val="center"/>
                    <w:rPr>
                      <w:rFonts w:hint="eastAsia" w:ascii="Times New Roman" w:hAnsi="Times New Roman" w:eastAsia="宋体" w:cs="Times New Roman"/>
                      <w:color w:val="auto"/>
                      <w:szCs w:val="21"/>
                      <w:lang w:val="en-US" w:eastAsia="zh-CN"/>
                    </w:rPr>
                  </w:pPr>
                </w:p>
              </w:tc>
              <w:tc>
                <w:tcPr>
                  <w:tcW w:w="710" w:type="dxa"/>
                  <w:noWrap w:val="0"/>
                  <w:vAlign w:val="center"/>
                </w:tcPr>
                <w:p w14:paraId="050845EC">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29" w:type="dxa"/>
                  <w:noWrap w:val="0"/>
                  <w:vAlign w:val="center"/>
                </w:tcPr>
                <w:p w14:paraId="4C64E7F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3" w:type="dxa"/>
                  <w:vMerge w:val="continue"/>
                  <w:noWrap w:val="0"/>
                  <w:vAlign w:val="center"/>
                </w:tcPr>
                <w:p w14:paraId="5A49703F">
                  <w:pPr>
                    <w:topLinePunct/>
                    <w:spacing w:line="280" w:lineRule="atLeast"/>
                    <w:jc w:val="center"/>
                    <w:rPr>
                      <w:rFonts w:hint="eastAsia" w:ascii="Times New Roman" w:hAnsi="Times New Roman" w:eastAsia="宋体" w:cs="Times New Roman"/>
                      <w:color w:val="auto"/>
                      <w:szCs w:val="21"/>
                    </w:rPr>
                  </w:pPr>
                </w:p>
              </w:tc>
            </w:tr>
            <w:tr w14:paraId="56A2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2" w:type="dxa"/>
                  <w:vMerge w:val="continue"/>
                  <w:noWrap w:val="0"/>
                  <w:vAlign w:val="center"/>
                </w:tcPr>
                <w:p w14:paraId="79D4B919">
                  <w:pPr>
                    <w:topLinePunct/>
                    <w:spacing w:line="280" w:lineRule="atLeast"/>
                    <w:jc w:val="center"/>
                    <w:rPr>
                      <w:rFonts w:hint="eastAsia" w:ascii="Times New Roman" w:hAnsi="Times New Roman" w:eastAsia="宋体" w:cs="Times New Roman"/>
                      <w:color w:val="auto"/>
                      <w:szCs w:val="21"/>
                    </w:rPr>
                  </w:pPr>
                </w:p>
              </w:tc>
              <w:tc>
                <w:tcPr>
                  <w:tcW w:w="1453" w:type="dxa"/>
                  <w:noWrap w:val="0"/>
                  <w:vAlign w:val="center"/>
                </w:tcPr>
                <w:p w14:paraId="0D6385C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废机油桶</w:t>
                  </w:r>
                </w:p>
              </w:tc>
              <w:tc>
                <w:tcPr>
                  <w:tcW w:w="926" w:type="dxa"/>
                  <w:noWrap w:val="0"/>
                  <w:vAlign w:val="center"/>
                </w:tcPr>
                <w:p w14:paraId="7877819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1" w:type="dxa"/>
                  <w:noWrap w:val="0"/>
                  <w:vAlign w:val="center"/>
                </w:tcPr>
                <w:p w14:paraId="21E0985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688" w:type="dxa"/>
                  <w:vMerge w:val="continue"/>
                  <w:noWrap w:val="0"/>
                  <w:vAlign w:val="center"/>
                </w:tcPr>
                <w:p w14:paraId="584D3A62">
                  <w:pPr>
                    <w:topLinePunct/>
                    <w:spacing w:line="280" w:lineRule="atLeast"/>
                    <w:jc w:val="center"/>
                    <w:rPr>
                      <w:rFonts w:hint="eastAsia" w:ascii="Times New Roman" w:hAnsi="Times New Roman" w:eastAsia="宋体" w:cs="Times New Roman"/>
                      <w:color w:val="auto"/>
                      <w:szCs w:val="21"/>
                    </w:rPr>
                  </w:pPr>
                </w:p>
              </w:tc>
              <w:tc>
                <w:tcPr>
                  <w:tcW w:w="668" w:type="dxa"/>
                  <w:vMerge w:val="continue"/>
                  <w:noWrap w:val="0"/>
                  <w:vAlign w:val="center"/>
                </w:tcPr>
                <w:p w14:paraId="6301411F">
                  <w:pPr>
                    <w:topLinePunct/>
                    <w:spacing w:line="280" w:lineRule="atLeast"/>
                    <w:jc w:val="center"/>
                    <w:rPr>
                      <w:rFonts w:hint="eastAsia" w:ascii="Times New Roman" w:hAnsi="Times New Roman" w:eastAsia="宋体" w:cs="Times New Roman"/>
                      <w:color w:val="auto"/>
                      <w:szCs w:val="21"/>
                    </w:rPr>
                  </w:pPr>
                </w:p>
              </w:tc>
              <w:tc>
                <w:tcPr>
                  <w:tcW w:w="710" w:type="dxa"/>
                  <w:noWrap w:val="0"/>
                  <w:vAlign w:val="center"/>
                </w:tcPr>
                <w:p w14:paraId="32283ACF">
                  <w:pPr>
                    <w:topLinePunct/>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托盘</w:t>
                  </w:r>
                </w:p>
              </w:tc>
              <w:tc>
                <w:tcPr>
                  <w:tcW w:w="929" w:type="dxa"/>
                  <w:noWrap w:val="0"/>
                  <w:vAlign w:val="center"/>
                </w:tcPr>
                <w:p w14:paraId="61874262">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0.</w:t>
                  </w:r>
                  <w:r>
                    <w:rPr>
                      <w:rFonts w:hint="eastAsia" w:ascii="Times New Roman" w:hAnsi="Times New Roman" w:eastAsia="宋体" w:cs="Times New Roman"/>
                      <w:color w:val="auto"/>
                      <w:szCs w:val="21"/>
                      <w:lang w:val="en-US" w:eastAsia="zh-CN"/>
                    </w:rPr>
                    <w:t>05</w:t>
                  </w:r>
                </w:p>
              </w:tc>
              <w:tc>
                <w:tcPr>
                  <w:tcW w:w="733" w:type="dxa"/>
                  <w:vMerge w:val="continue"/>
                  <w:noWrap w:val="0"/>
                  <w:vAlign w:val="center"/>
                </w:tcPr>
                <w:p w14:paraId="70C2A53E">
                  <w:pPr>
                    <w:topLinePunct/>
                    <w:spacing w:line="280" w:lineRule="atLeast"/>
                    <w:jc w:val="center"/>
                    <w:rPr>
                      <w:rFonts w:hint="eastAsia" w:ascii="Times New Roman" w:hAnsi="Times New Roman" w:eastAsia="宋体" w:cs="Times New Roman"/>
                      <w:color w:val="auto"/>
                      <w:szCs w:val="21"/>
                    </w:rPr>
                  </w:pPr>
                </w:p>
              </w:tc>
            </w:tr>
          </w:tbl>
          <w:p w14:paraId="334B10FF">
            <w:pPr>
              <w:spacing w:line="480" w:lineRule="exact"/>
              <w:ind w:firstLine="482" w:firstLineChars="200"/>
              <w:rPr>
                <w:rFonts w:ascii="Times New Roman" w:hAnsi="Times New Roman" w:eastAsia="宋体" w:cs="Times New Roman"/>
                <w:sz w:val="24"/>
                <w:highlight w:val="none"/>
              </w:rPr>
            </w:pPr>
            <w:r>
              <w:rPr>
                <w:rFonts w:hint="eastAsia" w:ascii="Times New Roman" w:hAnsi="Times New Roman" w:eastAsia="宋体" w:cs="Times New Roman"/>
                <w:b/>
                <w:bCs/>
                <w:sz w:val="24"/>
                <w:highlight w:val="none"/>
              </w:rPr>
              <w:t>危废暂存间</w:t>
            </w:r>
            <w:r>
              <w:rPr>
                <w:rFonts w:ascii="Times New Roman" w:hAnsi="Times New Roman" w:eastAsia="宋体" w:cs="Times New Roman"/>
                <w:b/>
                <w:bCs/>
                <w:sz w:val="24"/>
                <w:highlight w:val="none"/>
              </w:rPr>
              <w:t>环境影响分析</w:t>
            </w:r>
            <w:r>
              <w:rPr>
                <w:rFonts w:ascii="Times New Roman" w:hAnsi="Times New Roman" w:eastAsia="宋体" w:cs="Times New Roman"/>
                <w:b/>
                <w:bCs/>
                <w:color w:val="000000"/>
                <w:sz w:val="24"/>
                <w:highlight w:val="none"/>
              </w:rPr>
              <w:t>和保护措施</w:t>
            </w:r>
            <w:r>
              <w:rPr>
                <w:rFonts w:ascii="Times New Roman" w:hAnsi="Times New Roman" w:eastAsia="宋体" w:cs="Times New Roman"/>
                <w:b/>
                <w:bCs/>
                <w:sz w:val="24"/>
                <w:highlight w:val="none"/>
              </w:rPr>
              <w:t>：</w:t>
            </w:r>
          </w:p>
          <w:p w14:paraId="6B3FA4F3">
            <w:pPr>
              <w:spacing w:line="480" w:lineRule="exact"/>
              <w:ind w:firstLine="480" w:firstLineChars="200"/>
              <w:rPr>
                <w:rFonts w:ascii="Times New Roman" w:hAnsi="Times New Roman" w:eastAsia="宋体" w:cs="Times New Roman"/>
                <w:sz w:val="24"/>
                <w:highlight w:val="none"/>
              </w:rPr>
            </w:pPr>
            <w:r>
              <w:rPr>
                <w:rFonts w:ascii="Times New Roman" w:hAnsi="Times New Roman" w:eastAsia="宋体" w:cs="Times New Roman"/>
                <w:sz w:val="24"/>
                <w:highlight w:val="none"/>
              </w:rPr>
              <w:t>（1）</w:t>
            </w:r>
            <w:r>
              <w:rPr>
                <w:rFonts w:hint="eastAsia" w:ascii="Times New Roman" w:hAnsi="Times New Roman" w:eastAsia="宋体" w:cs="Times New Roman"/>
                <w:sz w:val="24"/>
                <w:highlight w:val="none"/>
              </w:rPr>
              <w:t>危废暂存间</w:t>
            </w:r>
            <w:r>
              <w:rPr>
                <w:rFonts w:ascii="Times New Roman" w:hAnsi="Times New Roman" w:eastAsia="宋体" w:cs="Times New Roman"/>
                <w:sz w:val="24"/>
                <w:highlight w:val="none"/>
              </w:rPr>
              <w:t>选址</w:t>
            </w:r>
          </w:p>
          <w:p w14:paraId="08BB70D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本项目</w:t>
            </w:r>
            <w:r>
              <w:rPr>
                <w:rFonts w:hint="eastAsia" w:ascii="Times New Roman" w:hAnsi="Times New Roman" w:eastAsia="宋体" w:cs="Times New Roman"/>
                <w:sz w:val="24"/>
                <w:lang w:eastAsia="zh-CN"/>
              </w:rPr>
              <w:t>设置</w:t>
            </w:r>
            <w:r>
              <w:rPr>
                <w:rFonts w:ascii="Times New Roman" w:hAnsi="Times New Roman" w:eastAsia="宋体" w:cs="Times New Roman"/>
                <w:sz w:val="24"/>
              </w:rPr>
              <w:t>1座</w:t>
            </w:r>
            <w:r>
              <w:rPr>
                <w:rFonts w:hint="eastAsia" w:ascii="Times New Roman" w:hAnsi="Times New Roman" w:eastAsia="宋体" w:cs="Times New Roman"/>
                <w:sz w:val="24"/>
              </w:rPr>
              <w:t>危废暂存间</w:t>
            </w:r>
            <w:r>
              <w:rPr>
                <w:rFonts w:ascii="Times New Roman" w:hAnsi="Times New Roman" w:eastAsia="宋体" w:cs="Times New Roman"/>
                <w:sz w:val="24"/>
              </w:rPr>
              <w:t>，面积为</w:t>
            </w:r>
            <w:r>
              <w:rPr>
                <w:rFonts w:hint="eastAsia" w:ascii="Times New Roman" w:hAnsi="Times New Roman" w:eastAsia="宋体" w:cs="Times New Roman"/>
                <w:sz w:val="24"/>
                <w:lang w:val="en-US" w:eastAsia="zh-CN"/>
              </w:rPr>
              <w:t>1</w:t>
            </w:r>
            <w:r>
              <w:rPr>
                <w:rFonts w:ascii="Times New Roman" w:hAnsi="Times New Roman" w:eastAsia="宋体" w:cs="Times New Roman"/>
                <w:sz w:val="24"/>
              </w:rPr>
              <w:t>0m</w:t>
            </w:r>
            <w:r>
              <w:rPr>
                <w:rFonts w:ascii="Times New Roman" w:hAnsi="Times New Roman" w:eastAsia="宋体" w:cs="Times New Roman"/>
                <w:sz w:val="24"/>
                <w:vertAlign w:val="superscript"/>
              </w:rPr>
              <w:t>2</w:t>
            </w:r>
            <w:r>
              <w:rPr>
                <w:rFonts w:ascii="Times New Roman" w:hAnsi="Times New Roman" w:eastAsia="宋体" w:cs="Times New Roman"/>
                <w:sz w:val="24"/>
              </w:rPr>
              <w:t>，位于</w:t>
            </w:r>
            <w:r>
              <w:rPr>
                <w:rFonts w:hint="eastAsia" w:ascii="Times New Roman" w:hAnsi="Times New Roman" w:eastAsia="宋体" w:cs="Times New Roman"/>
                <w:sz w:val="24"/>
                <w:lang w:val="en-US" w:eastAsia="zh-CN"/>
              </w:rPr>
              <w:t>生产车间内西南角</w:t>
            </w:r>
            <w:r>
              <w:rPr>
                <w:rFonts w:ascii="Times New Roman" w:hAnsi="Times New Roman" w:eastAsia="宋体" w:cs="Times New Roman"/>
                <w:sz w:val="24"/>
              </w:rPr>
              <w:t>，</w:t>
            </w:r>
            <w:r>
              <w:rPr>
                <w:rFonts w:hint="eastAsia" w:ascii="Times New Roman" w:hAnsi="Times New Roman" w:eastAsia="宋体" w:cs="Times New Roman"/>
                <w:sz w:val="24"/>
              </w:rPr>
              <w:t>危废暂存间</w:t>
            </w:r>
            <w:r>
              <w:rPr>
                <w:rFonts w:ascii="Times New Roman" w:hAnsi="Times New Roman" w:eastAsia="宋体" w:cs="Times New Roman"/>
                <w:sz w:val="24"/>
              </w:rPr>
              <w:t>按照《危险废物贮存污染控制标准》（GB18597-20</w:t>
            </w:r>
            <w:r>
              <w:rPr>
                <w:rFonts w:hint="eastAsia" w:ascii="Times New Roman" w:hAnsi="Times New Roman" w:eastAsia="宋体" w:cs="Times New Roman"/>
                <w:sz w:val="24"/>
              </w:rPr>
              <w:t>23</w:t>
            </w:r>
            <w:r>
              <w:rPr>
                <w:rFonts w:ascii="Times New Roman" w:hAnsi="Times New Roman" w:eastAsia="宋体" w:cs="Times New Roman"/>
                <w:sz w:val="24"/>
              </w:rPr>
              <w:t>）中的有关规定进行设置，</w:t>
            </w:r>
            <w:r>
              <w:rPr>
                <w:rFonts w:hint="eastAsia" w:ascii="Times New Roman" w:hAnsi="Times New Roman" w:eastAsia="宋体" w:cs="Times New Roman"/>
                <w:sz w:val="24"/>
              </w:rPr>
              <w:t>危废暂存间</w:t>
            </w:r>
            <w:r>
              <w:rPr>
                <w:rFonts w:ascii="Times New Roman" w:hAnsi="Times New Roman" w:eastAsia="宋体" w:cs="Times New Roman"/>
                <w:sz w:val="24"/>
              </w:rPr>
              <w:t>单独设置，不与其他建筑相连，危废暂存间周边无易燃、易爆等危险品仓库；厂址周围无其他自然保护区、风景名胜区、生态功能保护区、文物保护地等法律、法规规定的环境敏感区，危废暂存间选址合理。</w:t>
            </w:r>
          </w:p>
          <w:p w14:paraId="5BC05F4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（2）存储能力分析</w:t>
            </w:r>
          </w:p>
          <w:p w14:paraId="3C86ABE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项目设</w:t>
            </w:r>
            <w:r>
              <w:rPr>
                <w:rFonts w:hint="eastAsia" w:ascii="Times New Roman" w:hAnsi="Times New Roman" w:eastAsia="宋体" w:cs="Times New Roman"/>
                <w:sz w:val="24"/>
                <w:lang w:val="en-US" w:eastAsia="zh-CN"/>
              </w:rPr>
              <w:t>1</w:t>
            </w:r>
            <w:r>
              <w:rPr>
                <w:rFonts w:ascii="Times New Roman" w:hAnsi="Times New Roman" w:eastAsia="宋体" w:cs="Times New Roman"/>
                <w:sz w:val="24"/>
              </w:rPr>
              <w:t>0m</w:t>
            </w:r>
            <w:r>
              <w:rPr>
                <w:rFonts w:ascii="Times New Roman" w:hAnsi="Times New Roman" w:eastAsia="宋体" w:cs="Times New Roman"/>
                <w:sz w:val="24"/>
                <w:vertAlign w:val="superscript"/>
              </w:rPr>
              <w:t>2</w:t>
            </w:r>
            <w:r>
              <w:rPr>
                <w:rFonts w:ascii="Times New Roman" w:hAnsi="Times New Roman" w:eastAsia="宋体" w:cs="Times New Roman"/>
                <w:sz w:val="24"/>
              </w:rPr>
              <w:t>危废暂存间1个，可满足</w:t>
            </w:r>
            <w:r>
              <w:rPr>
                <w:rFonts w:hint="eastAsia" w:ascii="Times New Roman" w:hAnsi="Times New Roman" w:eastAsia="宋体" w:cs="Times New Roman"/>
                <w:sz w:val="24"/>
              </w:rPr>
              <w:t>危险废物</w:t>
            </w:r>
            <w:r>
              <w:rPr>
                <w:rFonts w:ascii="Times New Roman" w:hAnsi="Times New Roman" w:eastAsia="宋体" w:cs="Times New Roman"/>
                <w:sz w:val="24"/>
              </w:rPr>
              <w:t>暂存需要。</w:t>
            </w:r>
          </w:p>
          <w:p w14:paraId="1C1B05A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（3）对周围环境的影响：本项目危险废物使用封闭桶</w:t>
            </w:r>
            <w:r>
              <w:rPr>
                <w:rFonts w:hint="eastAsia" w:ascii="Times New Roman" w:hAnsi="Times New Roman" w:eastAsia="宋体" w:cs="Times New Roman"/>
                <w:sz w:val="24"/>
                <w:lang w:eastAsia="zh-CN"/>
              </w:rPr>
              <w:t>、托盘</w:t>
            </w:r>
            <w:r>
              <w:rPr>
                <w:rFonts w:ascii="Times New Roman" w:hAnsi="Times New Roman" w:eastAsia="宋体" w:cs="Times New Roman"/>
                <w:sz w:val="24"/>
              </w:rPr>
              <w:t>或袋盛装，全部暂存于危废暂存间，危废暂存间进行了防渗处理，危险废物委托有资质的单位处理，不会对周围环境造成影响。</w:t>
            </w:r>
          </w:p>
          <w:p w14:paraId="498190A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（4）运输过程的环境影响分析</w:t>
            </w:r>
          </w:p>
          <w:p w14:paraId="22B18A8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本项目危险废物使用封闭桶</w:t>
            </w:r>
            <w:r>
              <w:rPr>
                <w:rFonts w:hint="eastAsia" w:ascii="Times New Roman" w:hAnsi="Times New Roman" w:eastAsia="宋体" w:cs="Times New Roman"/>
                <w:sz w:val="24"/>
                <w:lang w:eastAsia="zh-CN"/>
              </w:rPr>
              <w:t>、托盘</w:t>
            </w:r>
            <w:r>
              <w:rPr>
                <w:rFonts w:ascii="Times New Roman" w:hAnsi="Times New Roman" w:eastAsia="宋体" w:cs="Times New Roman"/>
                <w:sz w:val="24"/>
              </w:rPr>
              <w:t>或袋盛装，厂内运输采用推车由生产车间转运至危废暂存间，运输道路均硬化；危废暂存间满足防风、防雨、防晒、防渗漏等要求，并设置围堰，危险废物不会泄漏出危废暂存间外，不会对周围环境造成影响。</w:t>
            </w:r>
          </w:p>
          <w:p w14:paraId="24D2046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因此，危险废物的运输过程不会对周围环境造成影响。</w:t>
            </w:r>
          </w:p>
          <w:p w14:paraId="36D2CCC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（5）环境管理要求</w:t>
            </w:r>
          </w:p>
          <w:p w14:paraId="5487B07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项目危险废物暂存间的设置必须满足《危险废物贮存污染控制标准》（GB18597-2023）相关要求，具体要求如下：</w:t>
            </w:r>
          </w:p>
          <w:p w14:paraId="0D23163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一般要求：</w:t>
            </w:r>
          </w:p>
          <w:p w14:paraId="4CB137A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①贮存设施应根据危险废物的形态、物理化学性质、包装形式和污染物迁移途径，采取必要的防风、防晒、防雨、防漏、防渗、防腐以及其他环境污染防治措施，不应露天堆放危险废物。 </w:t>
            </w:r>
          </w:p>
          <w:p w14:paraId="6E513E6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②贮存设施应根据危险废物的类别、数量、形态、物理化学性质和污染防治等要求设置必要的贮存分区，避免不相容的危险废物接触、混合。 </w:t>
            </w:r>
          </w:p>
          <w:p w14:paraId="6944314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③贮存设施或贮存分区内地面、墙面裙脚、堵截泄漏的围堰、接触危险废物的隔板和墙体等应采用坚固的材料建造，表面无裂缝。 </w:t>
            </w:r>
          </w:p>
          <w:p w14:paraId="1C6A4C3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 1 m 厚黏土层（渗透系数不大于 10 </w:t>
            </w:r>
            <w:r>
              <w:rPr>
                <w:rFonts w:ascii="Times New Roman" w:hAnsi="Times New Roman" w:eastAsia="宋体" w:cs="Times New Roman"/>
                <w:sz w:val="24"/>
                <w:vertAlign w:val="superscript"/>
              </w:rPr>
              <w:t>-7</w:t>
            </w:r>
            <w:r>
              <w:rPr>
                <w:rFonts w:ascii="Times New Roman" w:hAnsi="Times New Roman" w:eastAsia="宋体" w:cs="Times New Roman"/>
                <w:sz w:val="24"/>
              </w:rPr>
              <w:t xml:space="preserve"> cm/s），或至少 2 mm 厚高密度聚乙烯膜等人工防渗材料（渗透系数不大于 10</w:t>
            </w:r>
            <w:r>
              <w:rPr>
                <w:rFonts w:ascii="Times New Roman" w:hAnsi="Times New Roman" w:eastAsia="宋体" w:cs="Times New Roman"/>
                <w:sz w:val="24"/>
                <w:vertAlign w:val="superscript"/>
              </w:rPr>
              <w:t xml:space="preserve"> -10</w:t>
            </w:r>
            <w:r>
              <w:rPr>
                <w:rFonts w:ascii="Times New Roman" w:hAnsi="Times New Roman" w:eastAsia="宋体" w:cs="Times New Roman"/>
                <w:sz w:val="24"/>
              </w:rPr>
              <w:t xml:space="preserve"> cm/s），或其他防渗性能等效的材料。 </w:t>
            </w:r>
          </w:p>
          <w:p w14:paraId="65FEF23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2AD2D48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贮存库要求：</w:t>
            </w:r>
          </w:p>
          <w:p w14:paraId="389D7AB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①贮存库内不同贮存分区之间应采取隔离措施。隔离措施可根据危险废物特性采用过道、隔板或隔墙等方式。 </w:t>
            </w:r>
          </w:p>
          <w:p w14:paraId="1B99516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 </w:t>
            </w:r>
          </w:p>
          <w:p w14:paraId="0F174EC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贮存设施运行管理要求</w:t>
            </w:r>
          </w:p>
          <w:p w14:paraId="4162975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①危险废物存入贮存设施前应对危险废物类别和特性与危险废物标签等危险废物识别标志的一致性进行核验，不一致的或类别、特性不明的不应存入。 </w:t>
            </w:r>
          </w:p>
          <w:p w14:paraId="37A611E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②应定期检查危险废物的贮存状况，及时清理贮存设施地面，更换破损泄漏的危险废物贮存容器和包装物，保证堆存危险废物的防雨、防风、防扬尘等设施功能完好。 </w:t>
            </w:r>
          </w:p>
          <w:p w14:paraId="5BFF6B7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③作业设备及车辆等结束作业离开贮存设施时，应对其残留的危险废物进行清理，清理的废物或清洗废水应收集处理。 </w:t>
            </w:r>
          </w:p>
          <w:p w14:paraId="25FDEC1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④贮存设施运行期间，应按国家有关标准和规定建立危险废物管理台账并保存。 </w:t>
            </w:r>
          </w:p>
          <w:p w14:paraId="6B4EDAC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⑤贮存设施所有者或运营者应建立贮存设施环境管理制度、管理人员岗位职责制度、设施运行操作制度、人员岗位培训制度等。 </w:t>
            </w:r>
          </w:p>
          <w:p w14:paraId="4B7F288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⑥贮存设施所有者或运营者应依据国家土壤和地下水污染防治的有关规定，结合贮存设施特点建立土壤和地下水污染隐患排查制度，并定期开展隐患排查；发现隐患应及时采取措施消除隐患，并建立档案。 </w:t>
            </w:r>
          </w:p>
          <w:p w14:paraId="28953415">
            <w:pPr>
              <w:widowControl w:val="0"/>
              <w:autoSpaceDE w:val="0"/>
              <w:autoSpaceDN w:val="0"/>
              <w:adjustRightInd w:val="0"/>
              <w:spacing w:line="480" w:lineRule="exact"/>
              <w:ind w:firstLine="480" w:firstLineChars="200"/>
              <w:rPr>
                <w:rFonts w:ascii="Times New Roman" w:hAnsi="Times New Roman" w:eastAsia="宋体" w:cs="Times New Roman"/>
                <w:color w:val="auto"/>
                <w:sz w:val="24"/>
                <w:szCs w:val="24"/>
                <w:lang w:val="en-US" w:eastAsia="zh-CN" w:bidi="ar-SA"/>
              </w:rPr>
            </w:pPr>
            <w:r>
              <w:rPr>
                <w:rFonts w:ascii="Times New Roman" w:hAnsi="Times New Roman" w:eastAsia="宋体" w:cs="宋体"/>
                <w:color w:val="auto"/>
                <w:sz w:val="24"/>
                <w:szCs w:val="24"/>
                <w:lang w:val="en-US" w:eastAsia="zh-CN" w:bidi="ar-SA"/>
              </w:rPr>
              <w:t>⑦贮存设施所有者或运营者应建立贮存设施全部档案，包括设计、施工、验收、运行、监测和环境应急等，应按国家有关档案管理的法律法规进行整理和归档。</w:t>
            </w:r>
          </w:p>
          <w:p w14:paraId="7D05F8C0">
            <w:pPr>
              <w:pStyle w:val="108"/>
              <w:ind w:firstLine="480"/>
              <w:rPr>
                <w:rFonts w:hint="eastAsia" w:ascii="Times New Roman" w:hAnsi="Times New Roman" w:eastAsia="宋体" w:cs="Times New Roman"/>
                <w:bCs/>
                <w:color w:val="000000" w:themeColor="text1"/>
                <w:kern w:val="0"/>
                <w:sz w:val="24"/>
                <w:szCs w:val="21"/>
                <w:highlight w:val="yellow"/>
                <w:lang w:val="en-US" w:eastAsia="zh-CN" w:bidi="ar-SA"/>
                <w14:textFill>
                  <w14:solidFill>
                    <w14:schemeClr w14:val="tx1"/>
                  </w14:solidFill>
                </w14:textFill>
              </w:rPr>
            </w:pPr>
            <w:r>
              <w:rPr>
                <w:rFonts w:hint="eastAsia" w:ascii="Times New Roman" w:hAnsi="Times New Roman" w:eastAsia="宋体" w:cs="Times New Roman"/>
                <w:sz w:val="24"/>
                <w:szCs w:val="21"/>
                <w:highlight w:val="none"/>
                <w:lang w:eastAsia="zh-CN"/>
              </w:rPr>
              <w:t>本</w:t>
            </w:r>
            <w:r>
              <w:rPr>
                <w:rFonts w:hint="eastAsia" w:ascii="Times New Roman" w:hAnsi="Times New Roman" w:eastAsia="宋体" w:cs="Times New Roman"/>
                <w:sz w:val="24"/>
                <w:szCs w:val="21"/>
                <w:highlight w:val="none"/>
              </w:rPr>
              <w:t>项目产生的固体废物均能够得到妥善处置，处置途径可行，不会对环境造成二次污染</w:t>
            </w:r>
            <w:r>
              <w:rPr>
                <w:rFonts w:hint="eastAsia" w:ascii="Times New Roman" w:hAnsi="Times New Roman" w:eastAsia="宋体" w:cs="Times New Roman"/>
                <w:sz w:val="24"/>
                <w:szCs w:val="21"/>
                <w:highlight w:val="none"/>
                <w:lang w:eastAsia="zh-CN"/>
              </w:rPr>
              <w:t>。</w:t>
            </w:r>
          </w:p>
          <w:p w14:paraId="555127BF">
            <w:pPr>
              <w:pStyle w:val="4"/>
              <w:spacing w:line="360" w:lineRule="auto"/>
              <w:ind w:firstLine="482" w:firstLineChars="200"/>
              <w:rPr>
                <w:rFonts w:ascii="Times New Roman" w:hAnsi="Times New Roman" w:cs="Times New Roman"/>
                <w:b/>
                <w:bCs/>
                <w:color w:val="000000" w:themeColor="text1"/>
                <w:szCs w:val="24"/>
                <w:highlight w:val="none"/>
                <w14:textFill>
                  <w14:solidFill>
                    <w14:schemeClr w14:val="tx1"/>
                  </w14:solidFill>
                </w14:textFill>
              </w:rPr>
            </w:pPr>
            <w:r>
              <w:rPr>
                <w:rFonts w:hint="eastAsia" w:ascii="Times New Roman" w:hAnsi="Times New Roman" w:cs="Times New Roman"/>
                <w:b/>
                <w:bCs/>
                <w:color w:val="000000" w:themeColor="text1"/>
                <w:szCs w:val="24"/>
                <w:highlight w:val="none"/>
                <w:lang w:eastAsia="zh-CN"/>
                <w14:textFill>
                  <w14:solidFill>
                    <w14:schemeClr w14:val="tx1"/>
                  </w14:solidFill>
                </w14:textFill>
              </w:rPr>
              <w:t>五</w:t>
            </w:r>
            <w:r>
              <w:rPr>
                <w:rFonts w:ascii="Times New Roman" w:hAnsi="Times New Roman" w:cs="Times New Roman"/>
                <w:b/>
                <w:bCs/>
                <w:color w:val="000000" w:themeColor="text1"/>
                <w:szCs w:val="24"/>
                <w:highlight w:val="none"/>
                <w14:textFill>
                  <w14:solidFill>
                    <w14:schemeClr w14:val="tx1"/>
                  </w14:solidFill>
                </w14:textFill>
              </w:rPr>
              <w:t>、</w:t>
            </w:r>
            <w:r>
              <w:rPr>
                <w:rFonts w:hint="eastAsia" w:ascii="Times New Roman" w:hAnsi="Times New Roman" w:cs="Times New Roman"/>
                <w:b/>
                <w:bCs/>
                <w:color w:val="000000" w:themeColor="text1"/>
                <w:szCs w:val="24"/>
                <w:highlight w:val="none"/>
                <w14:textFill>
                  <w14:solidFill>
                    <w14:schemeClr w14:val="tx1"/>
                  </w14:solidFill>
                </w14:textFill>
              </w:rPr>
              <w:t>土壤和地下水</w:t>
            </w:r>
          </w:p>
          <w:p w14:paraId="26EF5BD5">
            <w:pPr>
              <w:spacing w:line="480" w:lineRule="exact"/>
              <w:ind w:firstLine="482" w:firstLineChars="200"/>
              <w:rPr>
                <w:rFonts w:ascii="Times New Roman" w:hAnsi="Times New Roman" w:eastAsia="宋体" w:cs="Times New Roman"/>
                <w:b/>
                <w:bCs/>
                <w:szCs w:val="21"/>
              </w:rPr>
            </w:pPr>
            <w:r>
              <w:rPr>
                <w:rFonts w:hint="eastAsia" w:ascii="Times New Roman" w:hAnsi="Times New Roman" w:eastAsia="宋体" w:cs="Times New Roman"/>
                <w:b/>
                <w:bCs/>
                <w:sz w:val="24"/>
              </w:rPr>
              <w:t>（1）</w:t>
            </w:r>
            <w:r>
              <w:rPr>
                <w:rFonts w:ascii="Times New Roman" w:hAnsi="Times New Roman" w:eastAsia="宋体" w:cs="Times New Roman"/>
                <w:b/>
                <w:bCs/>
                <w:sz w:val="24"/>
              </w:rPr>
              <w:t>地下水和土壤环境影响类型与影响途径识别</w:t>
            </w:r>
          </w:p>
          <w:p w14:paraId="13FBA9AF">
            <w:pPr>
              <w:spacing w:line="480" w:lineRule="exact"/>
              <w:ind w:firstLine="482" w:firstLineChars="200"/>
              <w:jc w:val="center"/>
              <w:rPr>
                <w:rFonts w:ascii="Times New Roman" w:hAnsi="Times New Roman" w:eastAsia="宋体" w:cs="Times New Roman"/>
                <w:b/>
                <w:bCs/>
                <w:szCs w:val="21"/>
              </w:rPr>
            </w:pPr>
            <w:r>
              <w:rPr>
                <w:rFonts w:ascii="Times New Roman" w:hAnsi="Times New Roman" w:eastAsia="宋体" w:cs="Times New Roman"/>
                <w:b/>
                <w:bCs/>
                <w:sz w:val="24"/>
                <w:szCs w:val="24"/>
              </w:rPr>
              <w:t>表</w:t>
            </w:r>
            <w:r>
              <w:rPr>
                <w:rFonts w:hint="eastAsia" w:ascii="Times New Roman" w:hAnsi="Times New Roman" w:eastAsia="宋体" w:cs="Times New Roman"/>
                <w:b/>
                <w:bCs/>
                <w:sz w:val="24"/>
                <w:szCs w:val="24"/>
              </w:rPr>
              <w:t>4-</w:t>
            </w:r>
            <w:r>
              <w:rPr>
                <w:rFonts w:hint="eastAsia" w:ascii="Times New Roman" w:hAnsi="Times New Roman" w:eastAsia="宋体" w:cs="Times New Roman"/>
                <w:b/>
                <w:bCs/>
                <w:sz w:val="24"/>
                <w:szCs w:val="24"/>
                <w:lang w:val="en-US" w:eastAsia="zh-CN"/>
              </w:rPr>
              <w:t>17</w:t>
            </w:r>
            <w:r>
              <w:rPr>
                <w:rFonts w:ascii="Times New Roman" w:hAnsi="Times New Roman" w:eastAsia="宋体" w:cs="Times New Roman"/>
                <w:b/>
                <w:bCs/>
                <w:sz w:val="24"/>
                <w:szCs w:val="24"/>
              </w:rPr>
              <w:t xml:space="preserve">  地下水和土壤环境影响类型与影响途径识别一览表</w:t>
            </w:r>
          </w:p>
          <w:tbl>
            <w:tblPr>
              <w:tblStyle w:val="37"/>
              <w:tblW w:w="4994"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2159"/>
              <w:gridCol w:w="1749"/>
              <w:gridCol w:w="1261"/>
              <w:gridCol w:w="1860"/>
              <w:gridCol w:w="1375"/>
            </w:tblGrid>
            <w:tr w14:paraId="52AD6C5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84" w:type="pct"/>
                  <w:noWrap w:val="0"/>
                  <w:vAlign w:val="center"/>
                </w:tcPr>
                <w:p w14:paraId="262316B8">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污染源</w:t>
                  </w:r>
                </w:p>
              </w:tc>
              <w:tc>
                <w:tcPr>
                  <w:tcW w:w="1040" w:type="pct"/>
                  <w:noWrap w:val="0"/>
                  <w:vAlign w:val="center"/>
                </w:tcPr>
                <w:p w14:paraId="6253312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工艺流程/节点</w:t>
                  </w:r>
                </w:p>
              </w:tc>
              <w:tc>
                <w:tcPr>
                  <w:tcW w:w="750" w:type="pct"/>
                  <w:noWrap w:val="0"/>
                  <w:vAlign w:val="center"/>
                </w:tcPr>
                <w:p w14:paraId="5F6FA16B">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污染途径</w:t>
                  </w:r>
                </w:p>
              </w:tc>
              <w:tc>
                <w:tcPr>
                  <w:tcW w:w="1106" w:type="pct"/>
                  <w:noWrap w:val="0"/>
                  <w:vAlign w:val="center"/>
                </w:tcPr>
                <w:p w14:paraId="28136FA9">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全部污染物指标</w:t>
                  </w:r>
                </w:p>
              </w:tc>
              <w:tc>
                <w:tcPr>
                  <w:tcW w:w="818" w:type="pct"/>
                  <w:noWrap w:val="0"/>
                  <w:vAlign w:val="center"/>
                </w:tcPr>
                <w:p w14:paraId="6CB564C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特征因子</w:t>
                  </w:r>
                </w:p>
              </w:tc>
            </w:tr>
            <w:tr w14:paraId="3494A36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4" w:type="pct"/>
                  <w:noWrap w:val="0"/>
                  <w:vAlign w:val="center"/>
                </w:tcPr>
                <w:p w14:paraId="51BACEC5">
                  <w:pPr>
                    <w:widowControl w:val="0"/>
                    <w:adjustRightInd w:val="0"/>
                    <w:snapToGrid w:val="0"/>
                    <w:spacing w:before="0" w:beforeLines="0" w:after="0"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危废暂存间</w:t>
                  </w:r>
                </w:p>
              </w:tc>
              <w:tc>
                <w:tcPr>
                  <w:tcW w:w="1040" w:type="pct"/>
                  <w:tcBorders>
                    <w:bottom w:val="single" w:color="auto" w:sz="4" w:space="0"/>
                  </w:tcBorders>
                  <w:noWrap w:val="0"/>
                  <w:vAlign w:val="center"/>
                </w:tcPr>
                <w:p w14:paraId="1C64D15E">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危废存放</w:t>
                  </w:r>
                </w:p>
              </w:tc>
              <w:tc>
                <w:tcPr>
                  <w:tcW w:w="750" w:type="pct"/>
                  <w:noWrap w:val="0"/>
                  <w:vAlign w:val="center"/>
                </w:tcPr>
                <w:p w14:paraId="088FCEB4">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垂直入渗</w:t>
                  </w:r>
                </w:p>
              </w:tc>
              <w:tc>
                <w:tcPr>
                  <w:tcW w:w="1106" w:type="pct"/>
                  <w:noWrap w:val="0"/>
                  <w:vAlign w:val="center"/>
                </w:tcPr>
                <w:p w14:paraId="58B52EF6">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w:t>
                  </w:r>
                </w:p>
              </w:tc>
              <w:tc>
                <w:tcPr>
                  <w:tcW w:w="818" w:type="pct"/>
                  <w:noWrap w:val="0"/>
                  <w:vAlign w:val="center"/>
                </w:tcPr>
                <w:p w14:paraId="5416B438">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石油烃</w:t>
                  </w:r>
                </w:p>
              </w:tc>
            </w:tr>
          </w:tbl>
          <w:p w14:paraId="197FD196">
            <w:pPr>
              <w:spacing w:line="480" w:lineRule="exact"/>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（2）</w:t>
            </w:r>
            <w:r>
              <w:rPr>
                <w:rFonts w:ascii="Times New Roman" w:hAnsi="Times New Roman" w:eastAsia="宋体" w:cs="Times New Roman"/>
                <w:b/>
                <w:bCs/>
                <w:sz w:val="24"/>
              </w:rPr>
              <w:t>地下水和土壤环境保护措施及防治对策</w:t>
            </w:r>
          </w:p>
          <w:p w14:paraId="4EEC002E">
            <w:pPr>
              <w:spacing w:line="480" w:lineRule="exact"/>
              <w:ind w:firstLine="480" w:firstLineChars="200"/>
              <w:rPr>
                <w:rFonts w:ascii="Times New Roman" w:hAnsi="Times New Roman" w:eastAsia="宋体" w:cs="Times New Roman"/>
                <w:sz w:val="24"/>
                <w:lang w:val="en-GB"/>
              </w:rPr>
            </w:pPr>
            <w:r>
              <w:rPr>
                <w:rFonts w:ascii="Times New Roman" w:hAnsi="Times New Roman" w:eastAsia="宋体" w:cs="Times New Roman"/>
                <w:sz w:val="24"/>
                <w:lang w:val="en-GB"/>
              </w:rPr>
              <w:t>为防止对地下水的污染，按照重点防渗区、一般防渗区、简单防渗区进行防渗处理，对防渗区应分别采取不同等级的防渗方案。</w:t>
            </w:r>
          </w:p>
          <w:p w14:paraId="0644C96D">
            <w:pPr>
              <w:ind w:firstLine="482" w:firstLineChars="200"/>
              <w:jc w:val="center"/>
              <w:rPr>
                <w:rFonts w:ascii="Times New Roman" w:hAnsi="Times New Roman" w:eastAsia="宋体" w:cs="Times New Roman"/>
                <w:b/>
                <w:color w:val="000000"/>
                <w:sz w:val="24"/>
                <w:szCs w:val="24"/>
              </w:rPr>
            </w:pPr>
            <w:r>
              <w:rPr>
                <w:rFonts w:ascii="Times New Roman" w:hAnsi="Times New Roman" w:eastAsia="宋体" w:cs="Times New Roman"/>
                <w:b/>
                <w:bCs/>
                <w:sz w:val="24"/>
                <w:szCs w:val="24"/>
              </w:rPr>
              <w:t>表4-</w:t>
            </w:r>
            <w:r>
              <w:rPr>
                <w:rFonts w:hint="eastAsia" w:ascii="Times New Roman" w:hAnsi="Times New Roman" w:eastAsia="宋体" w:cs="Times New Roman"/>
                <w:b/>
                <w:bCs/>
                <w:sz w:val="24"/>
                <w:szCs w:val="24"/>
                <w:lang w:val="en-US" w:eastAsia="zh-CN"/>
              </w:rPr>
              <w:t>18</w:t>
            </w:r>
            <w:r>
              <w:rPr>
                <w:rFonts w:ascii="Times New Roman" w:hAnsi="Times New Roman" w:eastAsia="宋体" w:cs="Times New Roman"/>
                <w:b/>
                <w:bCs/>
                <w:sz w:val="24"/>
                <w:szCs w:val="24"/>
              </w:rPr>
              <w:t xml:space="preserve">  分区防渗情况一览表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473"/>
              <w:gridCol w:w="2076"/>
              <w:gridCol w:w="3799"/>
            </w:tblGrid>
            <w:tr w14:paraId="6B5A2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1088AFCF">
                  <w:pPr>
                    <w:adjustRightInd w:val="0"/>
                    <w:snapToGrid w:val="0"/>
                    <w:spacing w:line="320" w:lineRule="exact"/>
                    <w:jc w:val="center"/>
                    <w:textAlignment w:val="baseline"/>
                    <w:rPr>
                      <w:rFonts w:ascii="Times New Roman" w:hAnsi="Times New Roman" w:eastAsia="宋体" w:cs="Times New Roman"/>
                      <w:b/>
                      <w:color w:val="000000"/>
                      <w:kern w:val="0"/>
                      <w:szCs w:val="21"/>
                    </w:rPr>
                  </w:pPr>
                  <w:r>
                    <w:rPr>
                      <w:rFonts w:ascii="Times New Roman" w:hAnsi="Times New Roman" w:eastAsia="宋体" w:cs="Times New Roman"/>
                      <w:b/>
                      <w:color w:val="000000"/>
                      <w:kern w:val="0"/>
                      <w:szCs w:val="21"/>
                    </w:rPr>
                    <w:t>序号</w:t>
                  </w:r>
                </w:p>
              </w:tc>
              <w:tc>
                <w:tcPr>
                  <w:tcW w:w="875" w:type="pct"/>
                  <w:noWrap w:val="0"/>
                  <w:vAlign w:val="center"/>
                </w:tcPr>
                <w:p w14:paraId="16DBEEDC">
                  <w:pPr>
                    <w:adjustRightInd w:val="0"/>
                    <w:snapToGrid w:val="0"/>
                    <w:spacing w:line="320" w:lineRule="exact"/>
                    <w:jc w:val="center"/>
                    <w:textAlignment w:val="baseline"/>
                    <w:rPr>
                      <w:rFonts w:ascii="Times New Roman" w:hAnsi="Times New Roman" w:eastAsia="宋体" w:cs="Times New Roman"/>
                      <w:b/>
                      <w:color w:val="000000"/>
                      <w:kern w:val="0"/>
                      <w:szCs w:val="21"/>
                    </w:rPr>
                  </w:pPr>
                  <w:r>
                    <w:rPr>
                      <w:rFonts w:ascii="Times New Roman" w:hAnsi="Times New Roman" w:eastAsia="宋体" w:cs="Times New Roman"/>
                      <w:b/>
                      <w:color w:val="000000"/>
                      <w:kern w:val="0"/>
                      <w:szCs w:val="21"/>
                    </w:rPr>
                    <w:t>污染途径</w:t>
                  </w:r>
                </w:p>
              </w:tc>
              <w:tc>
                <w:tcPr>
                  <w:tcW w:w="1233" w:type="pct"/>
                  <w:noWrap w:val="0"/>
                  <w:vAlign w:val="center"/>
                </w:tcPr>
                <w:p w14:paraId="27D8E3B2">
                  <w:pPr>
                    <w:adjustRightInd w:val="0"/>
                    <w:snapToGrid w:val="0"/>
                    <w:spacing w:line="320" w:lineRule="exact"/>
                    <w:jc w:val="center"/>
                    <w:textAlignment w:val="baseline"/>
                    <w:rPr>
                      <w:rFonts w:ascii="Times New Roman" w:hAnsi="Times New Roman" w:eastAsia="宋体" w:cs="Times New Roman"/>
                      <w:b/>
                      <w:color w:val="000000"/>
                      <w:kern w:val="0"/>
                      <w:szCs w:val="21"/>
                    </w:rPr>
                  </w:pPr>
                  <w:r>
                    <w:rPr>
                      <w:rFonts w:ascii="Times New Roman" w:hAnsi="Times New Roman" w:eastAsia="宋体" w:cs="Times New Roman"/>
                      <w:b/>
                      <w:color w:val="000000"/>
                      <w:kern w:val="0"/>
                      <w:szCs w:val="21"/>
                    </w:rPr>
                    <w:t>名称</w:t>
                  </w:r>
                </w:p>
              </w:tc>
              <w:tc>
                <w:tcPr>
                  <w:tcW w:w="2256" w:type="pct"/>
                  <w:noWrap w:val="0"/>
                  <w:vAlign w:val="center"/>
                </w:tcPr>
                <w:p w14:paraId="409968CE">
                  <w:pPr>
                    <w:adjustRightInd w:val="0"/>
                    <w:snapToGrid w:val="0"/>
                    <w:spacing w:line="320" w:lineRule="exact"/>
                    <w:jc w:val="center"/>
                    <w:textAlignment w:val="baseline"/>
                    <w:rPr>
                      <w:rFonts w:ascii="Times New Roman" w:hAnsi="Times New Roman" w:eastAsia="宋体" w:cs="Times New Roman"/>
                      <w:b/>
                      <w:color w:val="000000"/>
                      <w:kern w:val="0"/>
                      <w:szCs w:val="21"/>
                    </w:rPr>
                  </w:pPr>
                  <w:r>
                    <w:rPr>
                      <w:rFonts w:ascii="Times New Roman" w:hAnsi="Times New Roman" w:eastAsia="宋体" w:cs="Times New Roman"/>
                      <w:b/>
                      <w:color w:val="000000"/>
                      <w:kern w:val="0"/>
                      <w:szCs w:val="21"/>
                    </w:rPr>
                    <w:t>污染因子</w:t>
                  </w:r>
                </w:p>
              </w:tc>
            </w:tr>
            <w:tr w14:paraId="0E3E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430D5366">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875" w:type="pct"/>
                  <w:noWrap w:val="0"/>
                  <w:vAlign w:val="center"/>
                </w:tcPr>
                <w:p w14:paraId="1E3D50DD">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重点防渗区</w:t>
                  </w:r>
                </w:p>
              </w:tc>
              <w:tc>
                <w:tcPr>
                  <w:tcW w:w="1233" w:type="pct"/>
                  <w:noWrap w:val="0"/>
                  <w:vAlign w:val="center"/>
                </w:tcPr>
                <w:p w14:paraId="06B3221C">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auto"/>
                      <w:kern w:val="0"/>
                      <w:sz w:val="21"/>
                      <w:szCs w:val="21"/>
                      <w:lang w:val="en-US" w:eastAsia="zh-CN" w:bidi="ar-SA"/>
                    </w:rPr>
                    <w:t>危废暂存间</w:t>
                  </w:r>
                </w:p>
              </w:tc>
              <w:tc>
                <w:tcPr>
                  <w:tcW w:w="2256" w:type="pct"/>
                  <w:noWrap w:val="0"/>
                  <w:vAlign w:val="center"/>
                </w:tcPr>
                <w:p w14:paraId="47601E05">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spacing w:val="-1"/>
                      <w:szCs w:val="21"/>
                    </w:rPr>
                    <w:t>等效黏土防渗层</w:t>
                  </w:r>
                  <w:r>
                    <w:rPr>
                      <w:rFonts w:ascii="Times New Roman" w:hAnsi="Times New Roman" w:eastAsia="Times New Roman" w:cs="Times New Roman"/>
                      <w:color w:val="000000"/>
                      <w:spacing w:val="-1"/>
                      <w:szCs w:val="21"/>
                    </w:rPr>
                    <w:t>Mb≥6.0m</w:t>
                  </w:r>
                  <w:r>
                    <w:rPr>
                      <w:rFonts w:ascii="Times New Roman" w:hAnsi="Times New Roman" w:eastAsia="Times New Roman" w:cs="Times New Roman"/>
                      <w:color w:val="000000"/>
                      <w:spacing w:val="-21"/>
                      <w:szCs w:val="21"/>
                    </w:rPr>
                    <w:t xml:space="preserve"> </w:t>
                  </w:r>
                  <w:r>
                    <w:rPr>
                      <w:rFonts w:ascii="Times New Roman" w:hAnsi="Times New Roman" w:eastAsia="宋体" w:cs="Times New Roman"/>
                      <w:color w:val="000000"/>
                      <w:spacing w:val="-1"/>
                      <w:szCs w:val="21"/>
                    </w:rPr>
                    <w:t>，</w:t>
                  </w:r>
                  <w:r>
                    <w:rPr>
                      <w:rFonts w:ascii="Times New Roman" w:hAnsi="Times New Roman" w:eastAsia="宋体" w:cs="Times New Roman"/>
                      <w:color w:val="000000"/>
                      <w:szCs w:val="21"/>
                    </w:rPr>
                    <w:t xml:space="preserve">     </w:t>
                  </w:r>
                  <w:r>
                    <w:rPr>
                      <w:rFonts w:ascii="Times New Roman" w:hAnsi="Times New Roman" w:eastAsia="Times New Roman" w:cs="Times New Roman"/>
                      <w:color w:val="000000"/>
                      <w:spacing w:val="-1"/>
                      <w:szCs w:val="21"/>
                    </w:rPr>
                    <w:t>K≤1×10</w:t>
                  </w:r>
                  <w:r>
                    <w:rPr>
                      <w:rFonts w:ascii="Times New Roman" w:hAnsi="Times New Roman" w:eastAsia="Times New Roman" w:cs="Times New Roman"/>
                      <w:color w:val="000000"/>
                      <w:spacing w:val="-1"/>
                      <w:position w:val="6"/>
                      <w:sz w:val="14"/>
                      <w:szCs w:val="14"/>
                    </w:rPr>
                    <w:t>-</w:t>
                  </w:r>
                  <w:r>
                    <w:rPr>
                      <w:rFonts w:ascii="Times New Roman" w:hAnsi="Times New Roman" w:eastAsia="Times New Roman" w:cs="Times New Roman"/>
                      <w:color w:val="000000"/>
                      <w:spacing w:val="-10"/>
                      <w:position w:val="6"/>
                      <w:sz w:val="14"/>
                      <w:szCs w:val="14"/>
                    </w:rPr>
                    <w:t xml:space="preserve"> </w:t>
                  </w:r>
                  <w:r>
                    <w:rPr>
                      <w:rFonts w:ascii="Times New Roman" w:hAnsi="Times New Roman" w:eastAsia="Times New Roman" w:cs="Times New Roman"/>
                      <w:color w:val="000000"/>
                      <w:spacing w:val="-1"/>
                      <w:position w:val="6"/>
                      <w:sz w:val="14"/>
                      <w:szCs w:val="14"/>
                    </w:rPr>
                    <w:t>10</w:t>
                  </w:r>
                  <w:r>
                    <w:rPr>
                      <w:rFonts w:ascii="Times New Roman" w:hAnsi="Times New Roman" w:eastAsia="Times New Roman" w:cs="Times New Roman"/>
                      <w:color w:val="000000"/>
                      <w:spacing w:val="-1"/>
                      <w:szCs w:val="21"/>
                    </w:rPr>
                    <w:t>cm/s</w:t>
                  </w:r>
                  <w:r>
                    <w:rPr>
                      <w:rFonts w:ascii="Times New Roman" w:hAnsi="Times New Roman" w:eastAsia="宋体" w:cs="Times New Roman"/>
                      <w:color w:val="000000"/>
                      <w:spacing w:val="-1"/>
                      <w:szCs w:val="21"/>
                    </w:rPr>
                    <w:t>；或参考</w:t>
                  </w:r>
                  <w:r>
                    <w:rPr>
                      <w:rFonts w:ascii="Times New Roman" w:hAnsi="Times New Roman" w:eastAsia="Times New Roman" w:cs="Times New Roman"/>
                      <w:color w:val="000000"/>
                      <w:spacing w:val="-1"/>
                      <w:szCs w:val="21"/>
                    </w:rPr>
                    <w:t>GB18598</w:t>
                  </w:r>
                  <w:r>
                    <w:rPr>
                      <w:rFonts w:ascii="Times New Roman" w:hAnsi="Times New Roman" w:eastAsia="宋体" w:cs="Times New Roman"/>
                      <w:color w:val="000000"/>
                      <w:spacing w:val="-1"/>
                      <w:szCs w:val="21"/>
                    </w:rPr>
                    <w:t>执行</w:t>
                  </w:r>
                </w:p>
              </w:tc>
            </w:tr>
            <w:tr w14:paraId="12E2C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2D47469E">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875" w:type="pct"/>
                  <w:noWrap w:val="0"/>
                  <w:vAlign w:val="center"/>
                </w:tcPr>
                <w:p w14:paraId="3941ABEF">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一般防渗区</w:t>
                  </w:r>
                </w:p>
              </w:tc>
              <w:tc>
                <w:tcPr>
                  <w:tcW w:w="1233" w:type="pct"/>
                  <w:noWrap w:val="0"/>
                  <w:vAlign w:val="center"/>
                </w:tcPr>
                <w:p w14:paraId="014462B0">
                  <w:pPr>
                    <w:adjustRightInd w:val="0"/>
                    <w:snapToGrid w:val="0"/>
                    <w:spacing w:line="320" w:lineRule="exact"/>
                    <w:jc w:val="center"/>
                    <w:textAlignment w:val="baseline"/>
                    <w:rPr>
                      <w:rFonts w:hint="eastAsia" w:ascii="Times New Roman" w:hAnsi="Times New Roman" w:eastAsia="宋体" w:cs="Times New Roman"/>
                      <w:color w:val="000000"/>
                      <w:kern w:val="0"/>
                      <w:szCs w:val="21"/>
                      <w:lang w:eastAsia="zh-CN"/>
                    </w:rPr>
                  </w:pPr>
                  <w:r>
                    <w:rPr>
                      <w:rFonts w:ascii="Times New Roman" w:hAnsi="Times New Roman" w:eastAsia="宋体" w:cs="Times New Roman"/>
                      <w:color w:val="000000"/>
                      <w:kern w:val="0"/>
                      <w:szCs w:val="21"/>
                    </w:rPr>
                    <w:t>生产区</w:t>
                  </w:r>
                  <w:r>
                    <w:rPr>
                      <w:rFonts w:hint="eastAsia" w:ascii="Times New Roman" w:hAnsi="Times New Roman" w:eastAsia="宋体" w:cs="Times New Roman"/>
                      <w:color w:val="000000"/>
                      <w:kern w:val="0"/>
                      <w:szCs w:val="21"/>
                      <w:lang w:eastAsia="zh-CN"/>
                    </w:rPr>
                    <w:t>、原料存放区、产品存放区</w:t>
                  </w:r>
                </w:p>
              </w:tc>
              <w:tc>
                <w:tcPr>
                  <w:tcW w:w="2256" w:type="pct"/>
                  <w:noWrap w:val="0"/>
                  <w:vAlign w:val="center"/>
                </w:tcPr>
                <w:p w14:paraId="1EFBF47F">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spacing w:val="-1"/>
                      <w:szCs w:val="21"/>
                    </w:rPr>
                    <w:t>等效黏土防渗层</w:t>
                  </w:r>
                  <w:r>
                    <w:rPr>
                      <w:rFonts w:ascii="Times New Roman" w:hAnsi="Times New Roman" w:eastAsia="Times New Roman" w:cs="Times New Roman"/>
                      <w:color w:val="000000"/>
                      <w:spacing w:val="-1"/>
                      <w:szCs w:val="21"/>
                    </w:rPr>
                    <w:t>Mb≥1.5m</w:t>
                  </w:r>
                  <w:r>
                    <w:rPr>
                      <w:rFonts w:ascii="Times New Roman" w:hAnsi="Times New Roman" w:eastAsia="Times New Roman" w:cs="Times New Roman"/>
                      <w:color w:val="000000"/>
                      <w:spacing w:val="-21"/>
                      <w:szCs w:val="21"/>
                    </w:rPr>
                    <w:t xml:space="preserve"> </w:t>
                  </w:r>
                  <w:r>
                    <w:rPr>
                      <w:rFonts w:ascii="Times New Roman" w:hAnsi="Times New Roman" w:eastAsia="宋体" w:cs="Times New Roman"/>
                      <w:color w:val="000000"/>
                      <w:spacing w:val="-1"/>
                      <w:szCs w:val="21"/>
                    </w:rPr>
                    <w:t>，</w:t>
                  </w:r>
                  <w:r>
                    <w:rPr>
                      <w:rFonts w:ascii="Times New Roman" w:hAnsi="Times New Roman" w:eastAsia="宋体" w:cs="Times New Roman"/>
                      <w:color w:val="000000"/>
                      <w:szCs w:val="21"/>
                    </w:rPr>
                    <w:t xml:space="preserve">    </w:t>
                  </w:r>
                  <w:r>
                    <w:rPr>
                      <w:rFonts w:ascii="Times New Roman" w:hAnsi="Times New Roman" w:eastAsia="Times New Roman" w:cs="Times New Roman"/>
                      <w:color w:val="000000"/>
                      <w:spacing w:val="-1"/>
                      <w:szCs w:val="21"/>
                    </w:rPr>
                    <w:t>K≤1×10</w:t>
                  </w:r>
                  <w:r>
                    <w:rPr>
                      <w:rFonts w:ascii="Times New Roman" w:hAnsi="Times New Roman" w:eastAsia="Times New Roman" w:cs="Times New Roman"/>
                      <w:color w:val="000000"/>
                      <w:spacing w:val="-1"/>
                      <w:position w:val="6"/>
                      <w:sz w:val="14"/>
                      <w:szCs w:val="14"/>
                    </w:rPr>
                    <w:t>-7</w:t>
                  </w:r>
                  <w:r>
                    <w:rPr>
                      <w:rFonts w:ascii="Times New Roman" w:hAnsi="Times New Roman" w:eastAsia="Times New Roman" w:cs="Times New Roman"/>
                      <w:color w:val="000000"/>
                      <w:spacing w:val="-1"/>
                      <w:szCs w:val="21"/>
                    </w:rPr>
                    <w:t>cm/s</w:t>
                  </w:r>
                  <w:r>
                    <w:rPr>
                      <w:rFonts w:ascii="Times New Roman" w:hAnsi="Times New Roman" w:eastAsia="宋体" w:cs="Times New Roman"/>
                      <w:color w:val="000000"/>
                      <w:spacing w:val="-1"/>
                      <w:szCs w:val="21"/>
                    </w:rPr>
                    <w:t>；或参考</w:t>
                  </w:r>
                  <w:r>
                    <w:rPr>
                      <w:rFonts w:ascii="Times New Roman" w:hAnsi="Times New Roman" w:eastAsia="Times New Roman" w:cs="Times New Roman"/>
                      <w:color w:val="000000"/>
                      <w:spacing w:val="-1"/>
                      <w:szCs w:val="21"/>
                    </w:rPr>
                    <w:t>GB16889</w:t>
                  </w:r>
                  <w:r>
                    <w:rPr>
                      <w:rFonts w:ascii="Times New Roman" w:hAnsi="Times New Roman" w:eastAsia="宋体" w:cs="Times New Roman"/>
                      <w:color w:val="000000"/>
                      <w:spacing w:val="-1"/>
                      <w:szCs w:val="21"/>
                    </w:rPr>
                    <w:t>执行</w:t>
                  </w:r>
                </w:p>
              </w:tc>
            </w:tr>
            <w:tr w14:paraId="1A90B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2867660D">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875" w:type="pct"/>
                  <w:noWrap w:val="0"/>
                  <w:vAlign w:val="center"/>
                </w:tcPr>
                <w:p w14:paraId="2F4CEA51">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简单防渗区</w:t>
                  </w:r>
                </w:p>
              </w:tc>
              <w:tc>
                <w:tcPr>
                  <w:tcW w:w="1233" w:type="pct"/>
                  <w:noWrap w:val="0"/>
                  <w:vAlign w:val="center"/>
                </w:tcPr>
                <w:p w14:paraId="519B0A0C">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办公区</w:t>
                  </w:r>
                </w:p>
              </w:tc>
              <w:tc>
                <w:tcPr>
                  <w:tcW w:w="2256" w:type="pct"/>
                  <w:noWrap w:val="0"/>
                  <w:vAlign w:val="center"/>
                </w:tcPr>
                <w:p w14:paraId="487DD954">
                  <w:pPr>
                    <w:adjustRightInd w:val="0"/>
                    <w:snapToGrid w:val="0"/>
                    <w:spacing w:line="320" w:lineRule="exact"/>
                    <w:jc w:val="center"/>
                    <w:textAlignment w:val="baseline"/>
                    <w:rPr>
                      <w:rFonts w:ascii="Times New Roman" w:hAnsi="Times New Roman" w:eastAsia="宋体" w:cs="Times New Roman"/>
                      <w:color w:val="000000"/>
                      <w:kern w:val="0"/>
                      <w:szCs w:val="21"/>
                    </w:rPr>
                  </w:pPr>
                  <w:r>
                    <w:rPr>
                      <w:rFonts w:ascii="Times New Roman" w:hAnsi="Times New Roman" w:eastAsia="宋体" w:cs="Times New Roman"/>
                      <w:color w:val="000000"/>
                      <w:spacing w:val="-2"/>
                      <w:szCs w:val="21"/>
                    </w:rPr>
                    <w:t>一般水泥硬化</w:t>
                  </w:r>
                </w:p>
              </w:tc>
            </w:tr>
          </w:tbl>
          <w:p w14:paraId="0B25AA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sz w:val="24"/>
              </w:rPr>
              <w:t>综上所述，企业在加强管理，强化防渗措施的前提下，污染物渗入地下的量极小，对区域地下水和土壤环境造成影响的可能性较小，污染物渗入地下的量极其轻微，不会对评价区地下水和土壤产生明显影响</w:t>
            </w:r>
            <w:r>
              <w:rPr>
                <w:rFonts w:hint="default" w:ascii="Times New Roman" w:hAnsi="Times New Roman" w:eastAsia="宋体" w:cs="Times New Roman"/>
                <w:color w:val="auto"/>
                <w:sz w:val="24"/>
                <w:szCs w:val="24"/>
                <w:highlight w:val="none"/>
              </w:rPr>
              <w:t>。</w:t>
            </w:r>
          </w:p>
          <w:p w14:paraId="63CBC2F4">
            <w:pPr>
              <w:spacing w:line="360" w:lineRule="auto"/>
              <w:ind w:firstLine="482" w:firstLineChars="200"/>
              <w:rPr>
                <w:rFonts w:ascii="Times New Roman" w:hAnsi="Times New Roman" w:eastAsia="宋体" w:cs="Times New Roman"/>
                <w:b/>
                <w:bCs/>
                <w:color w:val="auto"/>
                <w:kern w:val="0"/>
                <w:sz w:val="24"/>
                <w:highlight w:val="none"/>
              </w:rPr>
            </w:pPr>
            <w:r>
              <w:rPr>
                <w:rFonts w:hint="eastAsia" w:ascii="Times New Roman" w:hAnsi="Times New Roman" w:cs="Times New Roman"/>
                <w:b/>
                <w:bCs/>
                <w:color w:val="auto"/>
                <w:sz w:val="24"/>
                <w:highlight w:val="none"/>
                <w:lang w:eastAsia="zh-CN"/>
              </w:rPr>
              <w:t>六</w:t>
            </w:r>
            <w:r>
              <w:rPr>
                <w:rFonts w:ascii="Times New Roman" w:hAnsi="Times New Roman" w:cs="Times New Roman"/>
                <w:b/>
                <w:bCs/>
                <w:color w:val="auto"/>
                <w:sz w:val="24"/>
                <w:highlight w:val="none"/>
              </w:rPr>
              <w:t>、环境风险</w:t>
            </w:r>
          </w:p>
          <w:p w14:paraId="474CE29F">
            <w:pPr>
              <w:spacing w:line="480" w:lineRule="exact"/>
              <w:ind w:firstLine="482" w:firstLineChars="200"/>
              <w:rPr>
                <w:rFonts w:ascii="Times New Roman" w:hAnsi="Times New Roman" w:eastAsia="宋体" w:cs="Times New Roman"/>
                <w:b/>
                <w:bCs/>
                <w:kern w:val="0"/>
                <w:sz w:val="24"/>
              </w:rPr>
            </w:pPr>
            <w:r>
              <w:rPr>
                <w:rFonts w:hint="eastAsia" w:ascii="Times New Roman" w:hAnsi="Times New Roman" w:eastAsia="宋体" w:cs="Times New Roman"/>
                <w:b/>
                <w:bCs/>
                <w:kern w:val="0"/>
                <w:sz w:val="24"/>
                <w:lang w:val="en-US" w:eastAsia="zh-CN"/>
              </w:rPr>
              <w:t>1、</w:t>
            </w:r>
            <w:r>
              <w:rPr>
                <w:rFonts w:ascii="Times New Roman" w:hAnsi="Times New Roman" w:eastAsia="宋体" w:cs="Times New Roman"/>
                <w:b/>
                <w:bCs/>
                <w:kern w:val="0"/>
                <w:sz w:val="24"/>
              </w:rPr>
              <w:t>环境风险识别：</w:t>
            </w:r>
          </w:p>
          <w:p w14:paraId="7413A893">
            <w:pPr>
              <w:spacing w:line="480" w:lineRule="exact"/>
              <w:ind w:firstLine="480" w:firstLineChars="200"/>
              <w:rPr>
                <w:rFonts w:ascii="Times New Roman" w:hAnsi="Times New Roman" w:eastAsia="宋体" w:cs="Times New Roman"/>
                <w:kern w:val="0"/>
                <w:sz w:val="24"/>
              </w:rPr>
            </w:pPr>
            <w:r>
              <w:rPr>
                <w:rFonts w:hint="eastAsia" w:ascii="Times New Roman" w:hAnsi="Times New Roman" w:eastAsia="宋体" w:cs="Times New Roman"/>
                <w:kern w:val="0"/>
                <w:sz w:val="24"/>
                <w:lang w:eastAsia="zh-CN"/>
              </w:rPr>
              <w:t>（</w:t>
            </w:r>
            <w:r>
              <w:rPr>
                <w:rFonts w:ascii="Times New Roman" w:hAnsi="Times New Roman" w:eastAsia="宋体" w:cs="Times New Roman"/>
                <w:kern w:val="0"/>
                <w:sz w:val="24"/>
              </w:rPr>
              <w:t>1）</w:t>
            </w:r>
            <w:r>
              <w:rPr>
                <w:rFonts w:ascii="Times New Roman" w:hAnsi="Times New Roman" w:eastAsia="宋体" w:cs="Times New Roman"/>
                <w:sz w:val="24"/>
              </w:rPr>
              <w:t>物质危险性识别</w:t>
            </w:r>
          </w:p>
          <w:p w14:paraId="74D195E2">
            <w:pPr>
              <w:widowControl w:val="0"/>
              <w:spacing w:line="480" w:lineRule="exact"/>
              <w:ind w:firstLine="480" w:firstLineChars="200"/>
              <w:jc w:val="both"/>
              <w:rPr>
                <w:rFonts w:ascii="Times New Roman" w:hAnsi="Times New Roman" w:eastAsia="宋体" w:cs="Times New Roman"/>
                <w:spacing w:val="0"/>
                <w:kern w:val="2"/>
                <w:sz w:val="24"/>
                <w:szCs w:val="24"/>
                <w:lang w:val="en-US" w:eastAsia="zh-CN" w:bidi="ar-SA"/>
              </w:rPr>
            </w:pPr>
            <w:bookmarkStart w:id="5" w:name="_Toc240791494"/>
            <w:r>
              <w:rPr>
                <w:rFonts w:hint="eastAsia" w:ascii="Times New Roman" w:hAnsi="Times New Roman" w:eastAsia="宋体" w:cs="Times New Roman"/>
                <w:spacing w:val="0"/>
                <w:kern w:val="2"/>
                <w:sz w:val="24"/>
                <w:szCs w:val="24"/>
                <w:lang w:val="en-US" w:eastAsia="zh-CN" w:bidi="ar-SA"/>
              </w:rPr>
              <w:t>①</w:t>
            </w:r>
            <w:r>
              <w:rPr>
                <w:rFonts w:ascii="Times New Roman" w:hAnsi="Times New Roman" w:eastAsia="宋体" w:cs="Times New Roman"/>
                <w:spacing w:val="0"/>
                <w:kern w:val="2"/>
                <w:sz w:val="24"/>
                <w:szCs w:val="24"/>
                <w:lang w:val="en-US" w:eastAsia="zh-CN" w:bidi="ar-SA"/>
              </w:rPr>
              <w:t>风险</w:t>
            </w:r>
            <w:bookmarkEnd w:id="5"/>
            <w:r>
              <w:rPr>
                <w:rFonts w:ascii="Times New Roman" w:hAnsi="Times New Roman" w:eastAsia="宋体" w:cs="Times New Roman"/>
                <w:spacing w:val="0"/>
                <w:kern w:val="2"/>
                <w:sz w:val="24"/>
                <w:szCs w:val="24"/>
                <w:lang w:val="en-US" w:eastAsia="zh-CN" w:bidi="ar-SA"/>
              </w:rPr>
              <w:t>源调查</w:t>
            </w:r>
          </w:p>
          <w:p w14:paraId="0659C7F4">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spacing w:val="0"/>
                <w:kern w:val="2"/>
                <w:sz w:val="24"/>
                <w:szCs w:val="24"/>
                <w:lang w:val="en-US" w:eastAsia="zh-CN" w:bidi="ar-SA"/>
              </w:rPr>
              <w:t>物质危险性识别，包括主要原辅材料、燃料、中间产品、副产品、最终产品、污染物、火灾和爆炸伴生/次生物等。本项目涉及的《建设项目环境风险评价技术导则》（HJ 169-2018）附录B中的危险物</w:t>
            </w:r>
            <w:r>
              <w:rPr>
                <w:rFonts w:ascii="Times New Roman" w:hAnsi="Times New Roman" w:eastAsia="宋体" w:cs="Times New Roman"/>
                <w:color w:val="auto"/>
                <w:spacing w:val="0"/>
                <w:kern w:val="2"/>
                <w:sz w:val="24"/>
                <w:szCs w:val="24"/>
                <w:lang w:val="en-US" w:eastAsia="zh-CN" w:bidi="ar-SA"/>
              </w:rPr>
              <w:t>质为</w:t>
            </w:r>
            <w:r>
              <w:rPr>
                <w:rFonts w:hint="eastAsia" w:ascii="Times New Roman" w:hAnsi="Times New Roman" w:eastAsia="宋体" w:cs="Times New Roman"/>
                <w:color w:val="auto"/>
                <w:spacing w:val="0"/>
                <w:kern w:val="2"/>
                <w:sz w:val="24"/>
                <w:szCs w:val="24"/>
                <w:lang w:val="en-US" w:eastAsia="zh-CN" w:bidi="ar-SA"/>
              </w:rPr>
              <w:t>设备内的机油、</w:t>
            </w:r>
            <w:r>
              <w:rPr>
                <w:rFonts w:ascii="Times New Roman" w:hAnsi="Times New Roman" w:eastAsia="宋体" w:cs="Times New Roman"/>
                <w:color w:val="auto"/>
                <w:spacing w:val="0"/>
                <w:kern w:val="2"/>
                <w:sz w:val="24"/>
                <w:szCs w:val="24"/>
                <w:lang w:val="en-US" w:eastAsia="zh-CN" w:bidi="ar-SA"/>
              </w:rPr>
              <w:t>危废暂存间贮存的废机油</w:t>
            </w:r>
            <w:r>
              <w:rPr>
                <w:rFonts w:hint="eastAsia" w:ascii="Times New Roman" w:hAnsi="Times New Roman" w:eastAsia="宋体" w:cs="Times New Roman"/>
                <w:color w:val="auto"/>
                <w:spacing w:val="0"/>
                <w:kern w:val="2"/>
                <w:sz w:val="24"/>
                <w:szCs w:val="24"/>
                <w:lang w:val="en-US" w:eastAsia="zh-CN" w:bidi="ar-SA"/>
              </w:rPr>
              <w:t>、废机油桶、废活性炭、废催化剂等</w:t>
            </w:r>
            <w:r>
              <w:rPr>
                <w:rFonts w:ascii="Times New Roman" w:hAnsi="Times New Roman" w:eastAsia="宋体" w:cs="Times New Roman"/>
                <w:color w:val="auto"/>
                <w:spacing w:val="0"/>
                <w:kern w:val="2"/>
                <w:sz w:val="24"/>
                <w:szCs w:val="24"/>
                <w:lang w:val="en-US" w:eastAsia="zh-CN" w:bidi="ar-SA"/>
              </w:rPr>
              <w:t>。</w:t>
            </w:r>
          </w:p>
          <w:p w14:paraId="53A34BD2">
            <w:pPr>
              <w:spacing w:line="480" w:lineRule="exact"/>
              <w:ind w:firstLine="482" w:firstLineChars="200"/>
              <w:jc w:val="center"/>
              <w:rPr>
                <w:rFonts w:hint="eastAsia" w:ascii="Times New Roman" w:hAnsi="Times New Roman" w:eastAsia="宋体" w:cs="Times New Roman"/>
                <w:b/>
                <w:color w:val="auto"/>
                <w:sz w:val="24"/>
                <w:szCs w:val="24"/>
              </w:rPr>
            </w:pPr>
            <w:r>
              <w:rPr>
                <w:rFonts w:hint="eastAsia" w:ascii="Times New Roman" w:hAnsi="Times New Roman" w:eastAsia="宋体" w:cs="Times New Roman"/>
                <w:b/>
                <w:color w:val="auto"/>
                <w:sz w:val="24"/>
                <w:szCs w:val="24"/>
              </w:rPr>
              <w:t>表4-</w:t>
            </w:r>
            <w:r>
              <w:rPr>
                <w:rFonts w:hint="eastAsia" w:ascii="Times New Roman" w:hAnsi="Times New Roman" w:eastAsia="宋体" w:cs="Times New Roman"/>
                <w:b/>
                <w:color w:val="auto"/>
                <w:sz w:val="24"/>
                <w:szCs w:val="24"/>
                <w:lang w:val="en-US" w:eastAsia="zh-CN"/>
              </w:rPr>
              <w:t>19</w:t>
            </w:r>
            <w:r>
              <w:rPr>
                <w:rFonts w:hint="eastAsia" w:ascii="Times New Roman" w:hAnsi="Times New Roman" w:eastAsia="宋体" w:cs="Times New Roman"/>
                <w:b/>
                <w:color w:val="auto"/>
                <w:sz w:val="24"/>
                <w:szCs w:val="24"/>
              </w:rPr>
              <w:t xml:space="preserve">  项目涉及的风险物质的危险特性</w:t>
            </w:r>
          </w:p>
          <w:tbl>
            <w:tblPr>
              <w:tblStyle w:val="37"/>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688"/>
              <w:gridCol w:w="2050"/>
              <w:gridCol w:w="1682"/>
              <w:gridCol w:w="1238"/>
              <w:gridCol w:w="1000"/>
            </w:tblGrid>
            <w:tr w14:paraId="1AC0F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54476CA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序号</w:t>
                  </w:r>
                </w:p>
              </w:tc>
              <w:tc>
                <w:tcPr>
                  <w:tcW w:w="1008" w:type="pct"/>
                  <w:noWrap w:val="0"/>
                  <w:vAlign w:val="center"/>
                </w:tcPr>
                <w:p w14:paraId="7F08A0B5">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名称</w:t>
                  </w:r>
                </w:p>
              </w:tc>
              <w:tc>
                <w:tcPr>
                  <w:tcW w:w="1224" w:type="pct"/>
                  <w:noWrap w:val="0"/>
                  <w:vAlign w:val="center"/>
                </w:tcPr>
                <w:p w14:paraId="757E61C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存储方式</w:t>
                  </w:r>
                </w:p>
              </w:tc>
              <w:tc>
                <w:tcPr>
                  <w:tcW w:w="1004" w:type="pct"/>
                  <w:noWrap w:val="0"/>
                  <w:vAlign w:val="center"/>
                </w:tcPr>
                <w:p w14:paraId="1697697F">
                  <w:pPr>
                    <w:widowControl w:val="0"/>
                    <w:ind w:firstLine="0" w:firstLineChars="0"/>
                    <w:jc w:val="center"/>
                    <w:rPr>
                      <w:rFonts w:hint="eastAsia"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最大储存量</w:t>
                  </w:r>
                  <w:r>
                    <w:rPr>
                      <w:rFonts w:hint="eastAsia" w:ascii="Times New Roman" w:hAnsi="Times New Roman" w:eastAsia="宋体" w:cs="Times New Roman"/>
                      <w:b/>
                      <w:color w:val="auto"/>
                      <w:spacing w:val="0"/>
                      <w:kern w:val="2"/>
                      <w:sz w:val="21"/>
                      <w:szCs w:val="21"/>
                      <w:lang w:val="en-US" w:eastAsia="zh-CN" w:bidi="ar-SA"/>
                    </w:rPr>
                    <w:t>（t）</w:t>
                  </w:r>
                </w:p>
              </w:tc>
              <w:tc>
                <w:tcPr>
                  <w:tcW w:w="739" w:type="pct"/>
                  <w:noWrap w:val="0"/>
                  <w:vAlign w:val="center"/>
                </w:tcPr>
                <w:p w14:paraId="7ED55A5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危险特性</w:t>
                  </w:r>
                </w:p>
              </w:tc>
              <w:tc>
                <w:tcPr>
                  <w:tcW w:w="597" w:type="pct"/>
                  <w:noWrap w:val="0"/>
                  <w:vAlign w:val="center"/>
                </w:tcPr>
                <w:p w14:paraId="41C3A8B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状态</w:t>
                  </w:r>
                </w:p>
              </w:tc>
            </w:tr>
            <w:tr w14:paraId="0F54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3462F3D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1008" w:type="pct"/>
                  <w:noWrap w:val="0"/>
                  <w:vAlign w:val="center"/>
                </w:tcPr>
                <w:p w14:paraId="1488212A">
                  <w:pPr>
                    <w:spacing w:line="280" w:lineRule="atLeast"/>
                    <w:jc w:val="center"/>
                    <w:rPr>
                      <w:rFonts w:ascii="Times New Roman" w:hAnsi="Times New Roman" w:eastAsia="宋体" w:cs="Times New Roman"/>
                      <w:b/>
                      <w:color w:val="auto"/>
                      <w:spacing w:val="0"/>
                      <w:kern w:val="2"/>
                      <w:sz w:val="21"/>
                      <w:szCs w:val="21"/>
                      <w:lang w:val="en-US" w:eastAsia="zh-CN" w:bidi="ar-SA"/>
                    </w:rPr>
                  </w:pPr>
                  <w:r>
                    <w:rPr>
                      <w:rFonts w:hint="eastAsia" w:ascii="Times New Roman" w:hAnsi="Times New Roman" w:eastAsia="宋体" w:cs="Times New Roman"/>
                      <w:color w:val="auto"/>
                      <w:szCs w:val="21"/>
                      <w:lang w:val="en-US" w:eastAsia="zh-CN"/>
                    </w:rPr>
                    <w:t>废活性炭</w:t>
                  </w:r>
                </w:p>
              </w:tc>
              <w:tc>
                <w:tcPr>
                  <w:tcW w:w="1224" w:type="pct"/>
                  <w:noWrap w:val="0"/>
                  <w:vAlign w:val="center"/>
                </w:tcPr>
                <w:p w14:paraId="3720E36B">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004" w:type="pct"/>
                  <w:noWrap w:val="0"/>
                  <w:vAlign w:val="center"/>
                </w:tcPr>
                <w:p w14:paraId="1241D920">
                  <w:pPr>
                    <w:topLinePunct/>
                    <w:spacing w:line="280" w:lineRule="atLeast"/>
                    <w:jc w:val="center"/>
                    <w:rPr>
                      <w:rFonts w:hint="default" w:ascii="宋体" w:hAnsi="Calibri" w:eastAsia="宋体" w:cs="Times New Roman"/>
                      <w:bCs/>
                      <w:color w:val="auto"/>
                      <w:kern w:val="0"/>
                      <w:sz w:val="21"/>
                      <w:szCs w:val="21"/>
                      <w:lang w:val="en-US" w:eastAsia="zh-CN" w:bidi="ar-SA"/>
                    </w:rPr>
                  </w:pPr>
                  <w:r>
                    <w:rPr>
                      <w:rFonts w:hint="eastAsia" w:ascii="Times New Roman" w:hAnsi="Times New Roman" w:eastAsia="宋体" w:cs="Times New Roman"/>
                      <w:color w:val="auto"/>
                      <w:szCs w:val="21"/>
                      <w:lang w:val="en-US" w:eastAsia="zh-CN"/>
                    </w:rPr>
                    <w:t>2</w:t>
                  </w:r>
                </w:p>
              </w:tc>
              <w:tc>
                <w:tcPr>
                  <w:tcW w:w="739" w:type="pct"/>
                  <w:noWrap w:val="0"/>
                  <w:vAlign w:val="center"/>
                </w:tcPr>
                <w:p w14:paraId="65A07B15">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FED4930">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22CE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724FAE3B">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1008" w:type="pct"/>
                  <w:noWrap w:val="0"/>
                  <w:vAlign w:val="center"/>
                </w:tcPr>
                <w:p w14:paraId="4F241771">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废催化剂</w:t>
                  </w:r>
                </w:p>
              </w:tc>
              <w:tc>
                <w:tcPr>
                  <w:tcW w:w="1224" w:type="pct"/>
                  <w:noWrap w:val="0"/>
                  <w:vAlign w:val="center"/>
                </w:tcPr>
                <w:p w14:paraId="69899CA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004" w:type="pct"/>
                  <w:noWrap w:val="0"/>
                  <w:vAlign w:val="center"/>
                </w:tcPr>
                <w:p w14:paraId="391594E5">
                  <w:pPr>
                    <w:topLinePunct/>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39" w:type="pct"/>
                  <w:noWrap w:val="0"/>
                  <w:vAlign w:val="center"/>
                </w:tcPr>
                <w:p w14:paraId="54A950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81AC41B">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7D6E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6B7938D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1008" w:type="pct"/>
                  <w:noWrap w:val="0"/>
                  <w:vAlign w:val="center"/>
                </w:tcPr>
                <w:p w14:paraId="62AF671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废机油</w:t>
                  </w:r>
                </w:p>
              </w:tc>
              <w:tc>
                <w:tcPr>
                  <w:tcW w:w="1224" w:type="pct"/>
                  <w:noWrap w:val="0"/>
                  <w:vAlign w:val="center"/>
                </w:tcPr>
                <w:p w14:paraId="710534C1">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桶装</w:t>
                  </w:r>
                </w:p>
              </w:tc>
              <w:tc>
                <w:tcPr>
                  <w:tcW w:w="1004" w:type="pct"/>
                  <w:noWrap w:val="0"/>
                  <w:vAlign w:val="center"/>
                </w:tcPr>
                <w:p w14:paraId="6130E878">
                  <w:pPr>
                    <w:topLinePunct/>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39" w:type="pct"/>
                  <w:noWrap w:val="0"/>
                  <w:vAlign w:val="center"/>
                </w:tcPr>
                <w:p w14:paraId="502871B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11E4C17A">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65B0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66BD607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1008" w:type="pct"/>
                  <w:noWrap w:val="0"/>
                  <w:vAlign w:val="center"/>
                </w:tcPr>
                <w:p w14:paraId="2763DE43">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废机油桶</w:t>
                  </w:r>
                </w:p>
              </w:tc>
              <w:tc>
                <w:tcPr>
                  <w:tcW w:w="1224" w:type="pct"/>
                  <w:noWrap w:val="0"/>
                  <w:vAlign w:val="center"/>
                </w:tcPr>
                <w:p w14:paraId="417EE8F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lang w:eastAsia="zh-CN"/>
                    </w:rPr>
                    <w:t>托盘</w:t>
                  </w:r>
                </w:p>
              </w:tc>
              <w:tc>
                <w:tcPr>
                  <w:tcW w:w="1004" w:type="pct"/>
                  <w:noWrap w:val="0"/>
                  <w:vAlign w:val="center"/>
                </w:tcPr>
                <w:p w14:paraId="2DA538B9">
                  <w:pPr>
                    <w:topLinePunct/>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rPr>
                    <w:t>0.</w:t>
                  </w:r>
                  <w:r>
                    <w:rPr>
                      <w:rFonts w:hint="eastAsia" w:ascii="Times New Roman" w:hAnsi="Times New Roman" w:eastAsia="宋体" w:cs="Times New Roman"/>
                      <w:color w:val="auto"/>
                      <w:szCs w:val="21"/>
                      <w:lang w:val="en-US" w:eastAsia="zh-CN"/>
                    </w:rPr>
                    <w:t>05</w:t>
                  </w:r>
                </w:p>
              </w:tc>
              <w:tc>
                <w:tcPr>
                  <w:tcW w:w="739" w:type="pct"/>
                  <w:noWrap w:val="0"/>
                  <w:vAlign w:val="center"/>
                </w:tcPr>
                <w:p w14:paraId="4B91120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516558B5">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1C36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3B791931">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1008" w:type="pct"/>
                  <w:noWrap w:val="0"/>
                  <w:vAlign w:val="center"/>
                </w:tcPr>
                <w:p w14:paraId="1D96797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机油</w:t>
                  </w:r>
                </w:p>
              </w:tc>
              <w:tc>
                <w:tcPr>
                  <w:tcW w:w="1224" w:type="pct"/>
                  <w:noWrap w:val="0"/>
                  <w:vAlign w:val="center"/>
                </w:tcPr>
                <w:p w14:paraId="5ACE67A9">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设备在线循环量</w:t>
                  </w:r>
                </w:p>
              </w:tc>
              <w:tc>
                <w:tcPr>
                  <w:tcW w:w="1004" w:type="pct"/>
                  <w:noWrap w:val="0"/>
                  <w:vAlign w:val="center"/>
                </w:tcPr>
                <w:p w14:paraId="1584698E">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739" w:type="pct"/>
                  <w:noWrap w:val="0"/>
                  <w:vAlign w:val="center"/>
                </w:tcPr>
                <w:p w14:paraId="187744E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483B6885">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bl>
          <w:p w14:paraId="28AA3B2D">
            <w:pPr>
              <w:adjustRightInd w:val="0"/>
              <w:snapToGrid w:val="0"/>
              <w:spacing w:line="480" w:lineRule="exact"/>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ascii="Times New Roman" w:hAnsi="Times New Roman" w:eastAsia="宋体" w:cs="Times New Roman"/>
                <w:color w:val="auto"/>
                <w:sz w:val="24"/>
              </w:rPr>
              <w:t>风险潜势初判</w:t>
            </w:r>
          </w:p>
          <w:p w14:paraId="65EE6FB0">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对照《建设项目环境风险评价技术导则》（HJ169-2018）的规定，项目Q值计算如下：本项目涉及物料Q值确定情况见</w:t>
            </w:r>
            <w:r>
              <w:rPr>
                <w:rFonts w:ascii="Times New Roman" w:hAnsi="Times New Roman" w:eastAsia="宋体" w:cs="Times New Roman"/>
                <w:bCs/>
                <w:color w:val="auto"/>
                <w:sz w:val="24"/>
              </w:rPr>
              <w:t>表</w:t>
            </w:r>
            <w:r>
              <w:rPr>
                <w:rFonts w:hint="eastAsia" w:ascii="Times New Roman" w:hAnsi="Times New Roman" w:eastAsia="宋体" w:cs="Times New Roman"/>
                <w:bCs/>
                <w:color w:val="auto"/>
                <w:sz w:val="24"/>
              </w:rPr>
              <w:t>4-2</w:t>
            </w:r>
            <w:r>
              <w:rPr>
                <w:rFonts w:hint="eastAsia" w:ascii="Times New Roman" w:hAnsi="Times New Roman" w:eastAsia="宋体" w:cs="Times New Roman"/>
                <w:bCs/>
                <w:color w:val="auto"/>
                <w:sz w:val="24"/>
                <w:lang w:val="en-US" w:eastAsia="zh-CN"/>
              </w:rPr>
              <w:t>0</w:t>
            </w:r>
            <w:r>
              <w:rPr>
                <w:rFonts w:ascii="Times New Roman" w:hAnsi="Times New Roman" w:eastAsia="宋体" w:cs="Times New Roman"/>
                <w:color w:val="auto"/>
                <w:sz w:val="24"/>
              </w:rPr>
              <w:t>。</w:t>
            </w:r>
          </w:p>
          <w:p w14:paraId="4AF826AE">
            <w:pPr>
              <w:spacing w:line="480" w:lineRule="exact"/>
              <w:ind w:firstLine="482" w:firstLineChars="200"/>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rPr>
              <w:t>4-2</w:t>
            </w:r>
            <w:r>
              <w:rPr>
                <w:rFonts w:hint="eastAsia" w:ascii="Times New Roman" w:hAnsi="Times New Roman" w:eastAsia="宋体" w:cs="Times New Roman"/>
                <w:b/>
                <w:color w:val="auto"/>
                <w:sz w:val="24"/>
                <w:szCs w:val="24"/>
                <w:lang w:val="en-US" w:eastAsia="zh-CN"/>
              </w:rPr>
              <w:t>0</w:t>
            </w:r>
            <w:r>
              <w:rPr>
                <w:rFonts w:hint="eastAsia" w:ascii="Times New Roman" w:hAnsi="Times New Roman" w:eastAsia="宋体" w:cs="Times New Roman"/>
                <w:b/>
                <w:color w:val="auto"/>
                <w:sz w:val="24"/>
                <w:szCs w:val="24"/>
              </w:rPr>
              <w:t xml:space="preserve"> </w:t>
            </w:r>
            <w:r>
              <w:rPr>
                <w:rFonts w:ascii="Times New Roman" w:hAnsi="Times New Roman" w:eastAsia="宋体" w:cs="Times New Roman"/>
                <w:b/>
                <w:color w:val="auto"/>
                <w:sz w:val="24"/>
                <w:szCs w:val="24"/>
              </w:rPr>
              <w:t xml:space="preserve">  建设项目风险潜势确定表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6"/>
              <w:gridCol w:w="1561"/>
              <w:gridCol w:w="1062"/>
              <w:gridCol w:w="1741"/>
              <w:gridCol w:w="1194"/>
              <w:gridCol w:w="1039"/>
              <w:gridCol w:w="1068"/>
            </w:tblGrid>
            <w:tr w14:paraId="797F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2BC24D13">
                  <w:pPr>
                    <w:jc w:val="center"/>
                    <w:rPr>
                      <w:rFonts w:ascii="Times New Roman" w:hAnsi="Times New Roman" w:eastAsia="宋体" w:cs="Times New Roman"/>
                      <w:b/>
                      <w:bCs/>
                      <w:color w:val="auto"/>
                    </w:rPr>
                  </w:pPr>
                  <w:r>
                    <w:rPr>
                      <w:rFonts w:ascii="Times New Roman" w:hAnsi="Times New Roman" w:eastAsia="宋体" w:cs="Times New Roman"/>
                      <w:b/>
                      <w:bCs/>
                      <w:color w:val="auto"/>
                    </w:rPr>
                    <w:t>序号</w:t>
                  </w:r>
                </w:p>
              </w:tc>
              <w:tc>
                <w:tcPr>
                  <w:tcW w:w="927" w:type="pct"/>
                  <w:noWrap w:val="0"/>
                  <w:vAlign w:val="center"/>
                </w:tcPr>
                <w:p w14:paraId="4FF611B7">
                  <w:pPr>
                    <w:jc w:val="center"/>
                    <w:rPr>
                      <w:rFonts w:ascii="Times New Roman" w:hAnsi="Times New Roman" w:eastAsia="宋体" w:cs="Times New Roman"/>
                      <w:b/>
                      <w:bCs/>
                      <w:color w:val="auto"/>
                    </w:rPr>
                  </w:pPr>
                  <w:r>
                    <w:rPr>
                      <w:rFonts w:ascii="Times New Roman" w:hAnsi="Times New Roman" w:eastAsia="宋体" w:cs="Times New Roman"/>
                      <w:b/>
                      <w:bCs/>
                      <w:color w:val="auto"/>
                    </w:rPr>
                    <w:t>危险物质名称</w:t>
                  </w:r>
                </w:p>
              </w:tc>
              <w:tc>
                <w:tcPr>
                  <w:tcW w:w="631" w:type="pct"/>
                  <w:noWrap w:val="0"/>
                  <w:vAlign w:val="center"/>
                </w:tcPr>
                <w:p w14:paraId="0638CAFB">
                  <w:pPr>
                    <w:jc w:val="center"/>
                    <w:rPr>
                      <w:rFonts w:ascii="Times New Roman" w:hAnsi="Times New Roman" w:eastAsia="宋体" w:cs="Times New Roman"/>
                      <w:b/>
                      <w:bCs/>
                      <w:color w:val="auto"/>
                    </w:rPr>
                  </w:pPr>
                  <w:r>
                    <w:rPr>
                      <w:rFonts w:ascii="Times New Roman" w:hAnsi="Times New Roman" w:eastAsia="宋体" w:cs="Times New Roman"/>
                      <w:b/>
                      <w:bCs/>
                      <w:color w:val="auto"/>
                    </w:rPr>
                    <w:t>CAS号</w:t>
                  </w:r>
                </w:p>
              </w:tc>
              <w:tc>
                <w:tcPr>
                  <w:tcW w:w="1034" w:type="pct"/>
                  <w:noWrap w:val="0"/>
                  <w:vAlign w:val="center"/>
                </w:tcPr>
                <w:p w14:paraId="15C1061B">
                  <w:pPr>
                    <w:jc w:val="center"/>
                    <w:rPr>
                      <w:rFonts w:ascii="Times New Roman" w:hAnsi="Times New Roman" w:eastAsia="宋体" w:cs="Times New Roman"/>
                      <w:b/>
                      <w:bCs/>
                      <w:color w:val="auto"/>
                    </w:rPr>
                  </w:pPr>
                  <w:r>
                    <w:rPr>
                      <w:rFonts w:ascii="Times New Roman" w:hAnsi="Times New Roman" w:eastAsia="宋体" w:cs="Times New Roman"/>
                      <w:b/>
                      <w:bCs/>
                      <w:color w:val="auto"/>
                    </w:rPr>
                    <w:t>最大贮存量（t）</w:t>
                  </w:r>
                </w:p>
              </w:tc>
              <w:tc>
                <w:tcPr>
                  <w:tcW w:w="709" w:type="pct"/>
                  <w:noWrap w:val="0"/>
                  <w:vAlign w:val="center"/>
                </w:tcPr>
                <w:p w14:paraId="53E7F40C">
                  <w:pPr>
                    <w:jc w:val="center"/>
                    <w:rPr>
                      <w:rFonts w:ascii="Times New Roman" w:hAnsi="Times New Roman" w:eastAsia="宋体" w:cs="Times New Roman"/>
                      <w:b/>
                      <w:bCs/>
                      <w:color w:val="auto"/>
                    </w:rPr>
                  </w:pPr>
                  <w:r>
                    <w:rPr>
                      <w:rFonts w:ascii="Times New Roman" w:hAnsi="Times New Roman" w:eastAsia="宋体" w:cs="Times New Roman"/>
                      <w:b/>
                      <w:bCs/>
                      <w:color w:val="auto"/>
                    </w:rPr>
                    <w:t>临界量（t）</w:t>
                  </w:r>
                </w:p>
              </w:tc>
              <w:tc>
                <w:tcPr>
                  <w:tcW w:w="617" w:type="pct"/>
                  <w:noWrap w:val="0"/>
                  <w:vAlign w:val="center"/>
                </w:tcPr>
                <w:p w14:paraId="2FDD8712">
                  <w:pPr>
                    <w:jc w:val="center"/>
                    <w:rPr>
                      <w:rFonts w:ascii="Times New Roman" w:hAnsi="Times New Roman" w:eastAsia="宋体" w:cs="Times New Roman"/>
                      <w:b/>
                      <w:bCs/>
                      <w:color w:val="auto"/>
                    </w:rPr>
                  </w:pPr>
                  <w:r>
                    <w:rPr>
                      <w:rFonts w:ascii="Times New Roman" w:hAnsi="Times New Roman" w:eastAsia="宋体" w:cs="Times New Roman"/>
                      <w:b/>
                      <w:bCs/>
                      <w:color w:val="auto"/>
                    </w:rPr>
                    <w:t>Q值</w:t>
                  </w:r>
                </w:p>
              </w:tc>
              <w:tc>
                <w:tcPr>
                  <w:tcW w:w="634" w:type="pct"/>
                  <w:noWrap w:val="0"/>
                  <w:vAlign w:val="center"/>
                </w:tcPr>
                <w:p w14:paraId="3D3067E3">
                  <w:pPr>
                    <w:jc w:val="center"/>
                    <w:rPr>
                      <w:rFonts w:ascii="Times New Roman" w:hAnsi="Times New Roman" w:eastAsia="宋体" w:cs="Times New Roman"/>
                      <w:b/>
                      <w:bCs/>
                      <w:color w:val="auto"/>
                    </w:rPr>
                  </w:pPr>
                  <w:r>
                    <w:rPr>
                      <w:rFonts w:ascii="Times New Roman" w:hAnsi="Times New Roman" w:eastAsia="宋体" w:cs="Times New Roman"/>
                      <w:b/>
                      <w:bCs/>
                      <w:color w:val="auto"/>
                    </w:rPr>
                    <w:t>风险潜势</w:t>
                  </w:r>
                </w:p>
              </w:tc>
            </w:tr>
            <w:tr w14:paraId="2933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4314694A">
                  <w:pPr>
                    <w:widowControl w:val="0"/>
                    <w:ind w:firstLine="0" w:firstLineChars="0"/>
                    <w:jc w:val="center"/>
                    <w:rPr>
                      <w:rFonts w:ascii="Times New Roman" w:hAnsi="Times New Roman" w:eastAsia="宋体" w:cs="Times New Roman"/>
                      <w:color w:val="auto"/>
                      <w:spacing w:val="0"/>
                      <w:kern w:val="2"/>
                      <w:sz w:val="28"/>
                      <w:szCs w:val="24"/>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927" w:type="pct"/>
                  <w:noWrap w:val="0"/>
                  <w:vAlign w:val="center"/>
                </w:tcPr>
                <w:p w14:paraId="68C28A96">
                  <w:pPr>
                    <w:spacing w:line="280" w:lineRule="atLeast"/>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zCs w:val="21"/>
                      <w:lang w:val="en-US" w:eastAsia="zh-CN"/>
                    </w:rPr>
                    <w:t>废活性炭</w:t>
                  </w:r>
                </w:p>
              </w:tc>
              <w:tc>
                <w:tcPr>
                  <w:tcW w:w="631" w:type="pct"/>
                  <w:noWrap w:val="0"/>
                  <w:vAlign w:val="center"/>
                </w:tcPr>
                <w:p w14:paraId="6E0BE6C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2A7CD81C">
                  <w:pPr>
                    <w:topLinePunct/>
                    <w:spacing w:line="280" w:lineRule="atLeast"/>
                    <w:jc w:val="center"/>
                    <w:rPr>
                      <w:rFonts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2</w:t>
                  </w:r>
                </w:p>
              </w:tc>
              <w:tc>
                <w:tcPr>
                  <w:tcW w:w="709" w:type="pct"/>
                  <w:noWrap w:val="0"/>
                  <w:vAlign w:val="center"/>
                </w:tcPr>
                <w:p w14:paraId="689EAB74">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restart"/>
                  <w:noWrap w:val="0"/>
                  <w:vAlign w:val="center"/>
                </w:tcPr>
                <w:p w14:paraId="498CA92C">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0.04708</w:t>
                  </w:r>
                </w:p>
              </w:tc>
              <w:tc>
                <w:tcPr>
                  <w:tcW w:w="634" w:type="pct"/>
                  <w:vMerge w:val="restart"/>
                  <w:noWrap w:val="0"/>
                  <w:vAlign w:val="center"/>
                </w:tcPr>
                <w:p w14:paraId="607F73EA">
                  <w:pPr>
                    <w:jc w:val="center"/>
                    <w:rPr>
                      <w:rFonts w:ascii="Times New Roman" w:hAnsi="Times New Roman" w:eastAsia="宋体" w:cs="Times New Roman"/>
                      <w:color w:val="auto"/>
                    </w:rPr>
                  </w:pPr>
                  <w:r>
                    <w:rPr>
                      <w:rFonts w:ascii="Times New Roman" w:hAnsi="Times New Roman" w:eastAsia="宋体" w:cs="Times New Roman"/>
                      <w:color w:val="auto"/>
                    </w:rPr>
                    <w:t>Ⅰ</w:t>
                  </w:r>
                </w:p>
              </w:tc>
            </w:tr>
            <w:tr w14:paraId="6D642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3A54246C">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927" w:type="pct"/>
                  <w:noWrap w:val="0"/>
                  <w:vAlign w:val="center"/>
                </w:tcPr>
                <w:p w14:paraId="2455056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废催化剂</w:t>
                  </w:r>
                </w:p>
              </w:tc>
              <w:tc>
                <w:tcPr>
                  <w:tcW w:w="631" w:type="pct"/>
                  <w:noWrap w:val="0"/>
                  <w:vAlign w:val="center"/>
                </w:tcPr>
                <w:p w14:paraId="2CA6A9F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62DC73AB">
                  <w:pPr>
                    <w:topLinePunct/>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6921FD49">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3B6B9433">
                  <w:pPr>
                    <w:jc w:val="center"/>
                    <w:rPr>
                      <w:rFonts w:hint="eastAsia" w:ascii="Times New Roman" w:hAnsi="Times New Roman" w:eastAsia="宋体" w:cs="Times New Roman"/>
                      <w:color w:val="auto"/>
                    </w:rPr>
                  </w:pPr>
                </w:p>
              </w:tc>
              <w:tc>
                <w:tcPr>
                  <w:tcW w:w="634" w:type="pct"/>
                  <w:vMerge w:val="continue"/>
                  <w:noWrap w:val="0"/>
                  <w:vAlign w:val="center"/>
                </w:tcPr>
                <w:p w14:paraId="14FFABC0">
                  <w:pPr>
                    <w:jc w:val="center"/>
                    <w:rPr>
                      <w:rFonts w:ascii="Times New Roman" w:hAnsi="Times New Roman" w:eastAsia="宋体" w:cs="Times New Roman"/>
                      <w:color w:val="auto"/>
                    </w:rPr>
                  </w:pPr>
                </w:p>
              </w:tc>
            </w:tr>
            <w:tr w14:paraId="682C8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3F56EE4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927" w:type="pct"/>
                  <w:noWrap w:val="0"/>
                  <w:vAlign w:val="center"/>
                </w:tcPr>
                <w:p w14:paraId="21E12760">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废机油</w:t>
                  </w:r>
                </w:p>
              </w:tc>
              <w:tc>
                <w:tcPr>
                  <w:tcW w:w="631" w:type="pct"/>
                  <w:noWrap w:val="0"/>
                  <w:vAlign w:val="center"/>
                </w:tcPr>
                <w:p w14:paraId="607A5D5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A3D3661">
                  <w:pPr>
                    <w:topLinePunct/>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69B14F1E">
                  <w:pPr>
                    <w:jc w:val="center"/>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5</w:t>
                  </w:r>
                  <w:r>
                    <w:rPr>
                      <w:rFonts w:hint="eastAsia" w:ascii="Times New Roman" w:hAnsi="Times New Roman" w:eastAsia="宋体" w:cs="Times New Roman"/>
                      <w:color w:val="auto"/>
                      <w:lang w:val="en-US" w:eastAsia="zh-CN"/>
                    </w:rPr>
                    <w:t>0</w:t>
                  </w:r>
                  <w:r>
                    <w:rPr>
                      <w:rFonts w:hint="eastAsia" w:ascii="Times New Roman" w:hAnsi="Times New Roman" w:eastAsia="宋体" w:cs="Times New Roman"/>
                      <w:color w:val="auto"/>
                    </w:rPr>
                    <w:t>0</w:t>
                  </w:r>
                </w:p>
              </w:tc>
              <w:tc>
                <w:tcPr>
                  <w:tcW w:w="617" w:type="pct"/>
                  <w:vMerge w:val="continue"/>
                  <w:noWrap w:val="0"/>
                  <w:vAlign w:val="center"/>
                </w:tcPr>
                <w:p w14:paraId="18729E5A">
                  <w:pPr>
                    <w:jc w:val="center"/>
                    <w:rPr>
                      <w:rFonts w:hint="eastAsia" w:ascii="Times New Roman" w:hAnsi="Times New Roman" w:eastAsia="宋体" w:cs="Times New Roman"/>
                      <w:color w:val="auto"/>
                    </w:rPr>
                  </w:pPr>
                </w:p>
              </w:tc>
              <w:tc>
                <w:tcPr>
                  <w:tcW w:w="634" w:type="pct"/>
                  <w:vMerge w:val="continue"/>
                  <w:noWrap w:val="0"/>
                  <w:vAlign w:val="center"/>
                </w:tcPr>
                <w:p w14:paraId="497A5380">
                  <w:pPr>
                    <w:jc w:val="center"/>
                    <w:rPr>
                      <w:rFonts w:ascii="Times New Roman" w:hAnsi="Times New Roman" w:eastAsia="宋体" w:cs="Times New Roman"/>
                      <w:color w:val="auto"/>
                    </w:rPr>
                  </w:pPr>
                </w:p>
              </w:tc>
            </w:tr>
            <w:tr w14:paraId="7C32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26884F3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927" w:type="pct"/>
                  <w:noWrap w:val="0"/>
                  <w:vAlign w:val="center"/>
                </w:tcPr>
                <w:p w14:paraId="795B0399">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废机油桶</w:t>
                  </w:r>
                </w:p>
              </w:tc>
              <w:tc>
                <w:tcPr>
                  <w:tcW w:w="631" w:type="pct"/>
                  <w:noWrap w:val="0"/>
                  <w:vAlign w:val="center"/>
                </w:tcPr>
                <w:p w14:paraId="3F304D7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0AFA654">
                  <w:pPr>
                    <w:topLinePunct/>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rPr>
                    <w:t>0.</w:t>
                  </w:r>
                  <w:r>
                    <w:rPr>
                      <w:rFonts w:hint="eastAsia" w:ascii="Times New Roman" w:hAnsi="Times New Roman" w:eastAsia="宋体" w:cs="Times New Roman"/>
                      <w:color w:val="auto"/>
                      <w:szCs w:val="21"/>
                      <w:lang w:val="en-US" w:eastAsia="zh-CN"/>
                    </w:rPr>
                    <w:t>05</w:t>
                  </w:r>
                </w:p>
              </w:tc>
              <w:tc>
                <w:tcPr>
                  <w:tcW w:w="709" w:type="pct"/>
                  <w:noWrap w:val="0"/>
                  <w:vAlign w:val="center"/>
                </w:tcPr>
                <w:p w14:paraId="3A5C68B3">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9AFE550">
                  <w:pPr>
                    <w:jc w:val="center"/>
                    <w:rPr>
                      <w:rFonts w:hint="eastAsia" w:ascii="Times New Roman" w:hAnsi="Times New Roman" w:eastAsia="宋体" w:cs="Times New Roman"/>
                      <w:color w:val="auto"/>
                    </w:rPr>
                  </w:pPr>
                </w:p>
              </w:tc>
              <w:tc>
                <w:tcPr>
                  <w:tcW w:w="634" w:type="pct"/>
                  <w:vMerge w:val="continue"/>
                  <w:noWrap w:val="0"/>
                  <w:vAlign w:val="center"/>
                </w:tcPr>
                <w:p w14:paraId="0AC73A69">
                  <w:pPr>
                    <w:jc w:val="center"/>
                    <w:rPr>
                      <w:rFonts w:ascii="Times New Roman" w:hAnsi="Times New Roman" w:eastAsia="宋体" w:cs="Times New Roman"/>
                      <w:color w:val="auto"/>
                    </w:rPr>
                  </w:pPr>
                </w:p>
              </w:tc>
            </w:tr>
            <w:tr w14:paraId="2209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132D98B3">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927" w:type="pct"/>
                  <w:noWrap w:val="0"/>
                  <w:vAlign w:val="center"/>
                </w:tcPr>
                <w:p w14:paraId="3ACD1CA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机油</w:t>
                  </w:r>
                </w:p>
              </w:tc>
              <w:tc>
                <w:tcPr>
                  <w:tcW w:w="631" w:type="pct"/>
                  <w:noWrap w:val="0"/>
                  <w:vAlign w:val="center"/>
                </w:tcPr>
                <w:p w14:paraId="64A32055">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0A3A4BB9">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709" w:type="pct"/>
                  <w:noWrap w:val="0"/>
                  <w:vAlign w:val="center"/>
                </w:tcPr>
                <w:p w14:paraId="734E7D43">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54ADB3A5">
                  <w:pPr>
                    <w:jc w:val="center"/>
                    <w:rPr>
                      <w:rFonts w:hint="eastAsia" w:ascii="Times New Roman" w:hAnsi="Times New Roman" w:eastAsia="宋体" w:cs="Times New Roman"/>
                      <w:color w:val="auto"/>
                    </w:rPr>
                  </w:pPr>
                </w:p>
              </w:tc>
              <w:tc>
                <w:tcPr>
                  <w:tcW w:w="634" w:type="pct"/>
                  <w:vMerge w:val="continue"/>
                  <w:noWrap w:val="0"/>
                  <w:vAlign w:val="center"/>
                </w:tcPr>
                <w:p w14:paraId="67335C76">
                  <w:pPr>
                    <w:jc w:val="center"/>
                    <w:rPr>
                      <w:rFonts w:ascii="Times New Roman" w:hAnsi="Times New Roman" w:eastAsia="宋体" w:cs="Times New Roman"/>
                      <w:color w:val="auto"/>
                    </w:rPr>
                  </w:pPr>
                </w:p>
              </w:tc>
            </w:tr>
          </w:tbl>
          <w:p w14:paraId="37A8B14A">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当Q＜1时，项目风险潜势为Ⅰ。</w:t>
            </w:r>
          </w:p>
          <w:p w14:paraId="79052246">
            <w:pPr>
              <w:spacing w:line="48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③</w:t>
            </w:r>
            <w:r>
              <w:rPr>
                <w:rFonts w:ascii="Times New Roman" w:hAnsi="Times New Roman" w:eastAsia="宋体" w:cs="Times New Roman"/>
                <w:sz w:val="24"/>
              </w:rPr>
              <w:t>评价等级</w:t>
            </w:r>
          </w:p>
          <w:p w14:paraId="6CD088CC">
            <w:pPr>
              <w:spacing w:line="48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根据建设项目涉及的物质及工艺系统危险性和所在地的环境敏感性确定环境风险潜势，按照下表确定评价工作等级。</w:t>
            </w:r>
          </w:p>
          <w:p w14:paraId="5EEB9479">
            <w:pPr>
              <w:spacing w:line="48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4-2</w:t>
            </w:r>
            <w:r>
              <w:rPr>
                <w:rFonts w:hint="eastAsia" w:ascii="Times New Roman" w:hAnsi="Times New Roman" w:eastAsia="宋体" w:cs="Times New Roman"/>
                <w:b/>
                <w:sz w:val="24"/>
                <w:szCs w:val="24"/>
                <w:lang w:val="en-US" w:eastAsia="zh-CN"/>
              </w:rPr>
              <w:t>1</w:t>
            </w:r>
            <w:r>
              <w:rPr>
                <w:rFonts w:ascii="Times New Roman" w:hAnsi="Times New Roman" w:eastAsia="宋体" w:cs="Times New Roman"/>
                <w:b/>
                <w:sz w:val="24"/>
                <w:szCs w:val="24"/>
              </w:rPr>
              <w:t xml:space="preserve">  评价工作等级划分</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1823"/>
              <w:gridCol w:w="842"/>
              <w:gridCol w:w="842"/>
              <w:gridCol w:w="2175"/>
            </w:tblGrid>
            <w:tr w14:paraId="75D7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bottom w:val="single" w:color="auto" w:sz="4" w:space="0"/>
                    <w:right w:val="single" w:color="auto" w:sz="4" w:space="0"/>
                  </w:tcBorders>
                  <w:noWrap w:val="0"/>
                  <w:vAlign w:val="center"/>
                </w:tcPr>
                <w:p w14:paraId="3B68841C">
                  <w:pPr>
                    <w:spacing w:before="50" w:after="50"/>
                    <w:jc w:val="center"/>
                    <w:rPr>
                      <w:rFonts w:ascii="Times New Roman" w:hAnsi="Times New Roman" w:eastAsia="宋体" w:cs="Times New Roman"/>
                      <w:b/>
                      <w:szCs w:val="21"/>
                    </w:rPr>
                  </w:pPr>
                  <w:r>
                    <w:rPr>
                      <w:rFonts w:ascii="Times New Roman" w:hAnsi="Times New Roman" w:eastAsia="宋体" w:cs="Times New Roman"/>
                      <w:b/>
                      <w:szCs w:val="21"/>
                    </w:rPr>
                    <w:t>环境风险潜势</w:t>
                  </w:r>
                </w:p>
              </w:tc>
              <w:tc>
                <w:tcPr>
                  <w:tcW w:w="1083" w:type="pct"/>
                  <w:tcBorders>
                    <w:left w:val="single" w:color="auto" w:sz="4" w:space="0"/>
                    <w:bottom w:val="single" w:color="auto" w:sz="4" w:space="0"/>
                    <w:right w:val="single" w:color="auto" w:sz="4" w:space="0"/>
                  </w:tcBorders>
                  <w:noWrap w:val="0"/>
                  <w:vAlign w:val="center"/>
                </w:tcPr>
                <w:p w14:paraId="783E297D">
                  <w:pPr>
                    <w:spacing w:before="50" w:after="50"/>
                    <w:jc w:val="center"/>
                    <w:rPr>
                      <w:rFonts w:ascii="Times New Roman" w:hAnsi="Times New Roman" w:eastAsia="宋体" w:cs="Times New Roman"/>
                      <w:b/>
                      <w:szCs w:val="21"/>
                    </w:rPr>
                  </w:pPr>
                  <w:r>
                    <w:rPr>
                      <w:rFonts w:ascii="Times New Roman" w:hAnsi="Times New Roman" w:eastAsia="宋体" w:cs="Times New Roman"/>
                      <w:b/>
                      <w:szCs w:val="21"/>
                    </w:rPr>
                    <w:t>Ⅳ、Ⅳ</w:t>
                  </w:r>
                  <w:r>
                    <w:rPr>
                      <w:rFonts w:ascii="Times New Roman" w:hAnsi="Times New Roman" w:eastAsia="宋体" w:cs="Times New Roman"/>
                      <w:b/>
                      <w:szCs w:val="21"/>
                      <w:vertAlign w:val="superscript"/>
                    </w:rPr>
                    <w:t>+</w:t>
                  </w:r>
                </w:p>
              </w:tc>
              <w:tc>
                <w:tcPr>
                  <w:tcW w:w="500" w:type="pct"/>
                  <w:tcBorders>
                    <w:left w:val="single" w:color="auto" w:sz="4" w:space="0"/>
                    <w:bottom w:val="single" w:color="auto" w:sz="4" w:space="0"/>
                    <w:right w:val="single" w:color="auto" w:sz="4" w:space="0"/>
                  </w:tcBorders>
                  <w:noWrap w:val="0"/>
                  <w:vAlign w:val="center"/>
                </w:tcPr>
                <w:p w14:paraId="0CF7EF24">
                  <w:pPr>
                    <w:spacing w:before="50" w:after="50"/>
                    <w:jc w:val="center"/>
                    <w:rPr>
                      <w:rFonts w:ascii="Times New Roman" w:hAnsi="Times New Roman" w:eastAsia="宋体" w:cs="Times New Roman"/>
                      <w:b/>
                      <w:szCs w:val="21"/>
                    </w:rPr>
                  </w:pPr>
                  <w:r>
                    <w:rPr>
                      <w:rFonts w:ascii="Times New Roman" w:hAnsi="Times New Roman" w:eastAsia="宋体" w:cs="Times New Roman"/>
                      <w:b/>
                      <w:szCs w:val="21"/>
                    </w:rPr>
                    <w:t>Ⅲ</w:t>
                  </w:r>
                </w:p>
              </w:tc>
              <w:tc>
                <w:tcPr>
                  <w:tcW w:w="500" w:type="pct"/>
                  <w:tcBorders>
                    <w:left w:val="single" w:color="auto" w:sz="4" w:space="0"/>
                    <w:bottom w:val="single" w:color="auto" w:sz="4" w:space="0"/>
                    <w:right w:val="single" w:color="auto" w:sz="4" w:space="0"/>
                  </w:tcBorders>
                  <w:noWrap w:val="0"/>
                  <w:vAlign w:val="center"/>
                </w:tcPr>
                <w:p w14:paraId="20714019">
                  <w:pPr>
                    <w:spacing w:before="50" w:after="50"/>
                    <w:jc w:val="center"/>
                    <w:rPr>
                      <w:rFonts w:ascii="Times New Roman" w:hAnsi="Times New Roman" w:eastAsia="宋体" w:cs="Times New Roman"/>
                      <w:b/>
                      <w:szCs w:val="21"/>
                    </w:rPr>
                  </w:pPr>
                  <w:r>
                    <w:rPr>
                      <w:rFonts w:ascii="Times New Roman" w:hAnsi="Times New Roman" w:eastAsia="宋体" w:cs="Times New Roman"/>
                      <w:b/>
                      <w:szCs w:val="21"/>
                    </w:rPr>
                    <w:t>Ⅱ</w:t>
                  </w:r>
                </w:p>
              </w:tc>
              <w:tc>
                <w:tcPr>
                  <w:tcW w:w="1290" w:type="pct"/>
                  <w:tcBorders>
                    <w:left w:val="single" w:color="auto" w:sz="4" w:space="0"/>
                    <w:bottom w:val="single" w:color="auto" w:sz="4" w:space="0"/>
                  </w:tcBorders>
                  <w:noWrap w:val="0"/>
                  <w:vAlign w:val="center"/>
                </w:tcPr>
                <w:p w14:paraId="46F75788">
                  <w:pPr>
                    <w:spacing w:before="50" w:after="50"/>
                    <w:jc w:val="center"/>
                    <w:rPr>
                      <w:rFonts w:ascii="Times New Roman" w:hAnsi="Times New Roman" w:eastAsia="宋体" w:cs="Times New Roman"/>
                      <w:b/>
                      <w:szCs w:val="21"/>
                    </w:rPr>
                  </w:pPr>
                  <w:r>
                    <w:rPr>
                      <w:rFonts w:ascii="Times New Roman" w:hAnsi="Times New Roman" w:eastAsia="宋体" w:cs="Times New Roman"/>
                      <w:b/>
                      <w:szCs w:val="21"/>
                    </w:rPr>
                    <w:t>Ⅰ</w:t>
                  </w:r>
                </w:p>
              </w:tc>
            </w:tr>
            <w:tr w14:paraId="09FEA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top w:val="single" w:color="auto" w:sz="4" w:space="0"/>
                    <w:bottom w:val="single" w:color="auto" w:sz="4" w:space="0"/>
                    <w:right w:val="single" w:color="auto" w:sz="4" w:space="0"/>
                  </w:tcBorders>
                  <w:noWrap w:val="0"/>
                  <w:vAlign w:val="center"/>
                </w:tcPr>
                <w:p w14:paraId="6A1CCE72">
                  <w:pPr>
                    <w:spacing w:before="50" w:after="50"/>
                    <w:jc w:val="center"/>
                    <w:rPr>
                      <w:rFonts w:ascii="Times New Roman" w:hAnsi="Times New Roman" w:eastAsia="宋体" w:cs="Times New Roman"/>
                      <w:szCs w:val="21"/>
                    </w:rPr>
                  </w:pPr>
                  <w:r>
                    <w:rPr>
                      <w:rFonts w:ascii="Times New Roman" w:hAnsi="Times New Roman" w:eastAsia="宋体" w:cs="Times New Roman"/>
                      <w:szCs w:val="21"/>
                    </w:rPr>
                    <w:t>评价工作等级</w:t>
                  </w:r>
                </w:p>
              </w:tc>
              <w:tc>
                <w:tcPr>
                  <w:tcW w:w="1083" w:type="pct"/>
                  <w:tcBorders>
                    <w:top w:val="single" w:color="auto" w:sz="4" w:space="0"/>
                    <w:left w:val="single" w:color="auto" w:sz="4" w:space="0"/>
                    <w:bottom w:val="single" w:color="auto" w:sz="4" w:space="0"/>
                    <w:right w:val="single" w:color="auto" w:sz="4" w:space="0"/>
                  </w:tcBorders>
                  <w:noWrap w:val="0"/>
                  <w:vAlign w:val="center"/>
                </w:tcPr>
                <w:p w14:paraId="27DA2125">
                  <w:pPr>
                    <w:spacing w:before="50" w:after="50"/>
                    <w:jc w:val="center"/>
                    <w:rPr>
                      <w:rFonts w:ascii="Times New Roman" w:hAnsi="Times New Roman" w:eastAsia="宋体" w:cs="Times New Roman"/>
                      <w:szCs w:val="21"/>
                    </w:rPr>
                  </w:pPr>
                  <w:r>
                    <w:rPr>
                      <w:rFonts w:ascii="Times New Roman" w:hAnsi="Times New Roman" w:eastAsia="宋体" w:cs="Times New Roman"/>
                      <w:szCs w:val="21"/>
                    </w:rPr>
                    <w:t>一</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619CC1E4">
                  <w:pPr>
                    <w:spacing w:before="50" w:after="50"/>
                    <w:jc w:val="center"/>
                    <w:rPr>
                      <w:rFonts w:ascii="Times New Roman" w:hAnsi="Times New Roman" w:eastAsia="宋体" w:cs="Times New Roman"/>
                      <w:szCs w:val="21"/>
                    </w:rPr>
                  </w:pPr>
                  <w:r>
                    <w:rPr>
                      <w:rFonts w:ascii="Times New Roman" w:hAnsi="Times New Roman" w:eastAsia="宋体" w:cs="Times New Roman"/>
                      <w:szCs w:val="21"/>
                    </w:rPr>
                    <w:t>二</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37303F1A">
                  <w:pPr>
                    <w:spacing w:before="50" w:after="50"/>
                    <w:jc w:val="center"/>
                    <w:rPr>
                      <w:rFonts w:ascii="Times New Roman" w:hAnsi="Times New Roman" w:eastAsia="宋体" w:cs="Times New Roman"/>
                      <w:szCs w:val="21"/>
                    </w:rPr>
                  </w:pPr>
                  <w:r>
                    <w:rPr>
                      <w:rFonts w:ascii="Times New Roman" w:hAnsi="Times New Roman" w:eastAsia="宋体" w:cs="Times New Roman"/>
                      <w:szCs w:val="21"/>
                    </w:rPr>
                    <w:t>三</w:t>
                  </w:r>
                </w:p>
              </w:tc>
              <w:tc>
                <w:tcPr>
                  <w:tcW w:w="1290" w:type="pct"/>
                  <w:tcBorders>
                    <w:top w:val="single" w:color="auto" w:sz="4" w:space="0"/>
                    <w:left w:val="single" w:color="auto" w:sz="4" w:space="0"/>
                    <w:bottom w:val="single" w:color="auto" w:sz="4" w:space="0"/>
                  </w:tcBorders>
                  <w:noWrap w:val="0"/>
                  <w:vAlign w:val="center"/>
                </w:tcPr>
                <w:p w14:paraId="094BE1C4">
                  <w:pPr>
                    <w:spacing w:before="50" w:after="50"/>
                    <w:jc w:val="center"/>
                    <w:rPr>
                      <w:rFonts w:ascii="Times New Roman" w:hAnsi="Times New Roman" w:eastAsia="宋体" w:cs="Times New Roman"/>
                      <w:szCs w:val="21"/>
                    </w:rPr>
                  </w:pPr>
                  <w:r>
                    <w:rPr>
                      <w:rFonts w:ascii="Times New Roman" w:hAnsi="Times New Roman" w:eastAsia="宋体" w:cs="Times New Roman"/>
                      <w:szCs w:val="21"/>
                    </w:rPr>
                    <w:t>简单分析*</w:t>
                  </w:r>
                </w:p>
              </w:tc>
            </w:tr>
            <w:tr w14:paraId="4C80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tcBorders>
                  <w:noWrap w:val="0"/>
                  <w:vAlign w:val="center"/>
                </w:tcPr>
                <w:p w14:paraId="0B21361C">
                  <w:pPr>
                    <w:spacing w:before="50" w:after="50"/>
                    <w:jc w:val="left"/>
                    <w:rPr>
                      <w:rFonts w:ascii="Times New Roman" w:hAnsi="Times New Roman" w:eastAsia="宋体" w:cs="Times New Roman"/>
                      <w:szCs w:val="21"/>
                    </w:rPr>
                  </w:pPr>
                  <w:r>
                    <w:rPr>
                      <w:rFonts w:ascii="Times New Roman" w:hAnsi="Times New Roman" w:eastAsia="宋体" w:cs="Times New Roman"/>
                      <w:szCs w:val="21"/>
                    </w:rPr>
                    <w:t>*是相对于详细评价工作内容而言，在描述危险物质、环境影响途径、环境危害后果、风险防范措施等方面给出定性的说明。</w:t>
                  </w:r>
                </w:p>
              </w:tc>
            </w:tr>
          </w:tbl>
          <w:p w14:paraId="3E8700ED">
            <w:pPr>
              <w:spacing w:line="480" w:lineRule="exact"/>
              <w:ind w:firstLine="480" w:firstLineChars="200"/>
              <w:rPr>
                <w:rFonts w:ascii="Times New Roman" w:hAnsi="Times New Roman" w:eastAsia="宋体" w:cs="Times New Roman"/>
                <w:sz w:val="24"/>
                <w:szCs w:val="22"/>
              </w:rPr>
            </w:pPr>
            <w:r>
              <w:rPr>
                <w:rFonts w:ascii="Times New Roman" w:hAnsi="Times New Roman" w:eastAsia="宋体" w:cs="Times New Roman"/>
                <w:sz w:val="24"/>
                <w:szCs w:val="22"/>
              </w:rPr>
              <w:t>根据上表可知，本项目环境风险潜势为Ⅰ，评价拟对环境风险进行简单分析。</w:t>
            </w:r>
          </w:p>
          <w:p w14:paraId="15848925">
            <w:pPr>
              <w:widowControl w:val="0"/>
              <w:spacing w:line="480" w:lineRule="exact"/>
              <w:ind w:firstLine="480" w:firstLineChars="200"/>
              <w:jc w:val="both"/>
              <w:rPr>
                <w:rFonts w:ascii="Times New Roman" w:hAnsi="Times New Roman" w:eastAsia="宋体" w:cs="Times New Roman"/>
                <w:spacing w:val="0"/>
                <w:kern w:val="2"/>
                <w:sz w:val="24"/>
                <w:szCs w:val="24"/>
                <w:lang w:val="en-US" w:eastAsia="zh-CN" w:bidi="ar-SA"/>
              </w:rPr>
            </w:pPr>
            <w:r>
              <w:rPr>
                <w:rFonts w:hint="eastAsia" w:ascii="Times New Roman" w:hAnsi="Times New Roman" w:eastAsia="宋体" w:cs="Times New Roman"/>
                <w:kern w:val="0"/>
                <w:sz w:val="24"/>
                <w:lang w:eastAsia="zh-CN"/>
              </w:rPr>
              <w:t>（</w:t>
            </w:r>
            <w:r>
              <w:rPr>
                <w:rFonts w:ascii="Times New Roman" w:hAnsi="Times New Roman" w:eastAsia="宋体" w:cs="Times New Roman"/>
                <w:spacing w:val="0"/>
                <w:kern w:val="0"/>
                <w:sz w:val="24"/>
                <w:szCs w:val="24"/>
                <w:lang w:val="en-US" w:eastAsia="zh-CN" w:bidi="ar-SA"/>
              </w:rPr>
              <w:t>2）</w:t>
            </w:r>
            <w:r>
              <w:rPr>
                <w:rFonts w:ascii="Times New Roman" w:hAnsi="Times New Roman" w:eastAsia="宋体" w:cs="Times New Roman"/>
                <w:spacing w:val="0"/>
                <w:kern w:val="2"/>
                <w:sz w:val="24"/>
                <w:szCs w:val="24"/>
                <w:lang w:val="en-US" w:eastAsia="zh-CN" w:bidi="ar-SA"/>
              </w:rPr>
              <w:t>生产系统危险性识别</w:t>
            </w:r>
          </w:p>
          <w:p w14:paraId="34A7FFA3">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color w:val="auto"/>
                <w:spacing w:val="0"/>
                <w:kern w:val="2"/>
                <w:sz w:val="24"/>
                <w:szCs w:val="24"/>
                <w:lang w:val="en-US" w:eastAsia="zh-CN" w:bidi="ar-SA"/>
              </w:rPr>
              <w:t>生产系统危险性识别，包括主要生产装置、储运设施、公用工程和辅助生产设施，以及环境保护设施等。本项目生产系统危险性识别主要为危废暂存间</w:t>
            </w:r>
            <w:r>
              <w:rPr>
                <w:rFonts w:hint="eastAsia" w:ascii="Times New Roman" w:hAnsi="Times New Roman" w:eastAsia="宋体" w:cs="Times New Roman"/>
                <w:color w:val="auto"/>
                <w:spacing w:val="0"/>
                <w:kern w:val="2"/>
                <w:sz w:val="24"/>
                <w:szCs w:val="24"/>
                <w:lang w:val="en-US" w:eastAsia="zh-CN" w:bidi="ar-SA"/>
              </w:rPr>
              <w:t>内</w:t>
            </w:r>
            <w:r>
              <w:rPr>
                <w:rFonts w:ascii="Times New Roman" w:hAnsi="Times New Roman" w:eastAsia="宋体" w:cs="Times New Roman"/>
                <w:spacing w:val="0"/>
                <w:kern w:val="2"/>
                <w:sz w:val="24"/>
                <w:szCs w:val="24"/>
                <w:lang w:val="en-US" w:eastAsia="zh-CN" w:bidi="ar-SA"/>
              </w:rPr>
              <w:t>废机油</w:t>
            </w:r>
            <w:r>
              <w:rPr>
                <w:rFonts w:hint="eastAsia" w:ascii="Times New Roman" w:hAnsi="Times New Roman" w:eastAsia="宋体" w:cs="Times New Roman"/>
                <w:spacing w:val="0"/>
                <w:kern w:val="2"/>
                <w:sz w:val="24"/>
                <w:szCs w:val="24"/>
                <w:lang w:val="en-US" w:eastAsia="zh-CN" w:bidi="ar-SA"/>
              </w:rPr>
              <w:t>、废机油桶、废活性炭、废催化剂</w:t>
            </w:r>
            <w:r>
              <w:rPr>
                <w:rFonts w:ascii="Times New Roman" w:hAnsi="Times New Roman" w:eastAsia="宋体" w:cs="Times New Roman"/>
                <w:color w:val="auto"/>
                <w:spacing w:val="0"/>
                <w:kern w:val="2"/>
                <w:sz w:val="24"/>
                <w:szCs w:val="24"/>
                <w:lang w:val="en-US" w:eastAsia="zh-CN" w:bidi="ar-SA"/>
              </w:rPr>
              <w:t>。</w:t>
            </w:r>
          </w:p>
          <w:p w14:paraId="52E3DADB">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spacing w:val="0"/>
                <w:kern w:val="0"/>
                <w:sz w:val="24"/>
                <w:szCs w:val="24"/>
                <w:lang w:val="en-US" w:eastAsia="zh-CN" w:bidi="ar-SA"/>
              </w:rPr>
              <w:t>3）</w:t>
            </w:r>
            <w:r>
              <w:rPr>
                <w:rFonts w:ascii="Times New Roman" w:hAnsi="Times New Roman" w:eastAsia="宋体" w:cs="Times New Roman"/>
                <w:color w:val="auto"/>
                <w:spacing w:val="0"/>
                <w:kern w:val="2"/>
                <w:sz w:val="24"/>
                <w:szCs w:val="24"/>
                <w:lang w:val="en-US" w:eastAsia="zh-CN" w:bidi="ar-SA"/>
              </w:rPr>
              <w:t>危险物质向环境转移的途径识别</w:t>
            </w:r>
          </w:p>
          <w:p w14:paraId="7803B679">
            <w:pPr>
              <w:autoSpaceDE w:val="0"/>
              <w:autoSpaceDN w:val="0"/>
              <w:adjustRightInd w:val="0"/>
              <w:snapToGrid w:val="0"/>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①机油</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废机油</w:t>
            </w:r>
            <w:r>
              <w:rPr>
                <w:rFonts w:hint="eastAsia" w:ascii="Times New Roman" w:hAnsi="Times New Roman" w:eastAsia="宋体" w:cs="Times New Roman"/>
                <w:color w:val="auto"/>
                <w:sz w:val="24"/>
              </w:rPr>
              <w:t>、废机油桶</w:t>
            </w:r>
            <w:r>
              <w:rPr>
                <w:rFonts w:ascii="Times New Roman" w:hAnsi="Times New Roman" w:eastAsia="宋体" w:cs="Times New Roman"/>
                <w:color w:val="auto"/>
                <w:sz w:val="24"/>
              </w:rPr>
              <w:t>：扩散途径主要为泄漏和火灾产生的次生污染物向大气扩散。</w:t>
            </w:r>
          </w:p>
          <w:p w14:paraId="0261A5E3">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hint="eastAsia" w:ascii="Times New Roman" w:hAnsi="Times New Roman" w:eastAsia="宋体" w:cs="Times New Roman"/>
                <w:color w:val="auto"/>
                <w:spacing w:val="0"/>
                <w:kern w:val="2"/>
                <w:sz w:val="24"/>
                <w:szCs w:val="24"/>
                <w:lang w:val="en-US" w:eastAsia="zh-CN" w:bidi="ar-SA"/>
              </w:rPr>
              <w:t>废活性炭、废催化剂</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扩散途径主要为泄漏产生的次生污染物向</w:t>
            </w:r>
            <w:r>
              <w:rPr>
                <w:rFonts w:hint="eastAsia" w:ascii="Times New Roman" w:hAnsi="Times New Roman" w:eastAsia="宋体" w:cs="Times New Roman"/>
                <w:color w:val="auto"/>
                <w:sz w:val="24"/>
              </w:rPr>
              <w:t>土壤及水环境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0D25C73A">
            <w:pPr>
              <w:autoSpaceDE w:val="0"/>
              <w:autoSpaceDN w:val="0"/>
              <w:adjustRightInd w:val="0"/>
              <w:snapToGrid w:val="0"/>
              <w:spacing w:line="480" w:lineRule="exact"/>
              <w:ind w:firstLine="482" w:firstLineChars="200"/>
              <w:jc w:val="left"/>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lang w:val="en-US" w:eastAsia="zh-CN"/>
              </w:rPr>
              <w:t>2、</w:t>
            </w:r>
            <w:r>
              <w:rPr>
                <w:rFonts w:ascii="Times New Roman" w:hAnsi="Times New Roman" w:eastAsia="宋体" w:cs="Times New Roman"/>
                <w:b/>
                <w:bCs/>
                <w:color w:val="auto"/>
                <w:kern w:val="0"/>
                <w:sz w:val="24"/>
              </w:rPr>
              <w:t>环境风险防范措施：</w:t>
            </w:r>
          </w:p>
          <w:p w14:paraId="66749892">
            <w:pPr>
              <w:autoSpaceDE w:val="0"/>
              <w:autoSpaceDN w:val="0"/>
              <w:adjustRightInd w:val="0"/>
              <w:snapToGrid w:val="0"/>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本项目风险源为</w:t>
            </w:r>
            <w:r>
              <w:rPr>
                <w:rFonts w:hint="eastAsia" w:ascii="Times New Roman" w:hAnsi="Times New Roman" w:eastAsia="宋体" w:cs="Times New Roman"/>
                <w:color w:val="auto"/>
                <w:sz w:val="24"/>
                <w:lang w:eastAsia="zh-CN"/>
              </w:rPr>
              <w:t>生产设施、</w:t>
            </w:r>
            <w:r>
              <w:rPr>
                <w:rFonts w:ascii="Times New Roman" w:hAnsi="Times New Roman" w:eastAsia="宋体" w:cs="Times New Roman"/>
                <w:color w:val="auto"/>
                <w:sz w:val="24"/>
              </w:rPr>
              <w:t>危废暂存间</w:t>
            </w:r>
            <w:r>
              <w:rPr>
                <w:rFonts w:hint="eastAsia" w:ascii="Times New Roman" w:hAnsi="Times New Roman" w:eastAsia="宋体" w:cs="Times New Roman"/>
                <w:color w:val="auto"/>
                <w:sz w:val="24"/>
              </w:rPr>
              <w:t>、废气治理设备</w:t>
            </w:r>
            <w:r>
              <w:rPr>
                <w:rFonts w:ascii="Times New Roman" w:hAnsi="Times New Roman" w:eastAsia="宋体" w:cs="Times New Roman"/>
                <w:color w:val="auto"/>
                <w:sz w:val="24"/>
              </w:rPr>
              <w:t>，主要采取以下风险防范措施：</w:t>
            </w:r>
          </w:p>
          <w:p w14:paraId="22FABA73">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kern w:val="0"/>
                <w:sz w:val="24"/>
              </w:rPr>
              <w:t xml:space="preserve">1）火灾风险防范措施 </w:t>
            </w:r>
          </w:p>
          <w:p w14:paraId="5ADB3EAB">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color w:val="auto"/>
                <w:kern w:val="0"/>
                <w:sz w:val="24"/>
              </w:rPr>
              <w:t>①危废间</w:t>
            </w:r>
            <w:r>
              <w:rPr>
                <w:rFonts w:hint="eastAsia" w:ascii="Times New Roman" w:hAnsi="Times New Roman" w:eastAsia="宋体" w:cs="Times New Roman"/>
                <w:color w:val="auto"/>
                <w:kern w:val="0"/>
                <w:sz w:val="24"/>
              </w:rPr>
              <w:t>和车间</w:t>
            </w:r>
            <w:r>
              <w:rPr>
                <w:rFonts w:ascii="Times New Roman" w:hAnsi="Times New Roman" w:eastAsia="宋体" w:cs="Times New Roman"/>
                <w:color w:val="auto"/>
                <w:kern w:val="0"/>
                <w:sz w:val="24"/>
              </w:rPr>
              <w:t>附近的区域设</w:t>
            </w:r>
            <w:r>
              <w:rPr>
                <w:rFonts w:ascii="Times New Roman" w:hAnsi="Times New Roman" w:eastAsia="宋体" w:cs="Times New Roman"/>
                <w:kern w:val="0"/>
                <w:sz w:val="24"/>
              </w:rPr>
              <w:t xml:space="preserve">置灭火器、消火栓等。配备经过培训的专兼职消防人员，并做好防尘、防雨、防渗、防腐“四防”措施，避免渗漏引发火灾。 </w:t>
            </w:r>
          </w:p>
          <w:p w14:paraId="0F33C039">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14F91C7A">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③严格遵守相关法律法规及行业标准，严格按照岗位操作规程作业。 </w:t>
            </w:r>
          </w:p>
          <w:p w14:paraId="7D890EAF">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④企业应定期检查消防水枪、灭火器等设施设备是否完好。同时各类作业人员还应按规定配备必要的劳动防护用品。</w:t>
            </w:r>
          </w:p>
          <w:p w14:paraId="2B75A4CC">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lang w:eastAsia="zh-CN"/>
              </w:rPr>
              <w:t>（</w:t>
            </w:r>
            <w:r>
              <w:rPr>
                <w:rFonts w:ascii="Times New Roman" w:hAnsi="Times New Roman" w:eastAsia="宋体" w:cs="Times New Roman"/>
                <w:kern w:val="0"/>
                <w:sz w:val="24"/>
              </w:rPr>
              <w:t>2）危废贮存间风险防范措施</w:t>
            </w:r>
          </w:p>
          <w:p w14:paraId="1CD4CFE3">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危险废物的收集、暂存等过程中存在一定的风险，为保证项目产生的危险废物得到有效处置，使其风险减小到最小程度，项目采取以下风险防范措施：</w:t>
            </w:r>
          </w:p>
          <w:p w14:paraId="7EF7DE6C">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eastAsia="宋体" w:cs="Times New Roman"/>
                <w:kern w:val="0"/>
                <w:sz w:val="24"/>
              </w:rPr>
              <w:t>5</w:t>
            </w:r>
            <w:r>
              <w:rPr>
                <w:rFonts w:ascii="Times New Roman" w:hAnsi="Times New Roman" w:eastAsia="宋体" w:cs="Times New Roman"/>
                <w:kern w:val="0"/>
                <w:sz w:val="24"/>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35DAA484">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kern w:val="0"/>
                <w:sz w:val="24"/>
                <w:lang w:eastAsia="zh-CN"/>
              </w:rPr>
              <w:t>（</w:t>
            </w:r>
            <w:r>
              <w:rPr>
                <w:rFonts w:hint="eastAsia" w:ascii="Times New Roman" w:hAnsi="Times New Roman" w:eastAsia="宋体" w:cs="Times New Roman"/>
                <w:sz w:val="24"/>
              </w:rPr>
              <w:t>3）废气治理设施风险防范措施</w:t>
            </w:r>
          </w:p>
          <w:p w14:paraId="50341A6F">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设专人管理及监控，领导定期检查运行情况和检查、维修设备的配备情况。</w:t>
            </w:r>
          </w:p>
          <w:p w14:paraId="26A16559">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①管理人员应熟悉废气治理设施的原理、性能、使用条件，掌握维修方法。</w:t>
            </w:r>
          </w:p>
          <w:p w14:paraId="73FEEF35">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②环保设备需要定时的清理和维护，维护周期需要根据生产操作环境和设备工作时间确定。</w:t>
            </w:r>
          </w:p>
          <w:p w14:paraId="67C19BF6">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③针对生产时间密集阶段，操作人员需要自行调整设备维护周期和方式。发生故障后立即停止生产作业，</w:t>
            </w:r>
          </w:p>
          <w:p w14:paraId="1FC87DF9">
            <w:pPr>
              <w:spacing w:line="480" w:lineRule="exact"/>
              <w:ind w:firstLine="480" w:firstLineChars="200"/>
              <w:rPr>
                <w:rFonts w:ascii="Times New Roman" w:hAnsi="Times New Roman" w:eastAsia="宋体" w:cs="Times New Roman"/>
                <w:sz w:val="24"/>
              </w:rPr>
            </w:pPr>
            <w:r>
              <w:rPr>
                <w:rFonts w:hint="eastAsia" w:ascii="Times New Roman" w:hAnsi="Times New Roman" w:eastAsia="宋体" w:cs="Times New Roman"/>
                <w:sz w:val="24"/>
              </w:rPr>
              <w:t>④对故障废气设备进行维修，停止生产，发现严重超标时，立即通知运行人员立即通知总经理，实施部分停工或减少废气排放，并迅速调查清楚超标原因。</w:t>
            </w:r>
          </w:p>
          <w:p w14:paraId="19BF16A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采用以上措施后，可有效降低风险源处存在的潜在风险。</w:t>
            </w:r>
          </w:p>
          <w:p w14:paraId="2C7EAA6D">
            <w:pPr>
              <w:spacing w:line="480" w:lineRule="exact"/>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rPr>
              <w:t>环境风险结论</w:t>
            </w:r>
          </w:p>
          <w:p w14:paraId="4DCD793C">
            <w:pPr>
              <w:spacing w:line="480" w:lineRule="atLeast"/>
              <w:ind w:firstLine="480" w:firstLineChars="200"/>
              <w:rPr>
                <w:rFonts w:hint="eastAsia" w:ascii="Times New Roman" w:hAnsi="Times New Roman" w:eastAsia="宋体" w:cs="Times New Roman"/>
                <w:b/>
                <w:bCs/>
                <w:color w:val="auto"/>
                <w:sz w:val="24"/>
                <w:highlight w:val="none"/>
                <w:lang w:eastAsia="zh-CN"/>
              </w:rPr>
            </w:pPr>
            <w:r>
              <w:rPr>
                <w:rFonts w:ascii="Times New Roman" w:hAnsi="Times New Roman" w:eastAsia="宋体" w:cs="Times New Roman"/>
                <w:sz w:val="24"/>
              </w:rPr>
              <w:t>本项目的风险</w:t>
            </w:r>
            <w:r>
              <w:rPr>
                <w:rFonts w:ascii="Times New Roman" w:hAnsi="Times New Roman" w:eastAsia="宋体" w:cs="Times New Roman"/>
                <w:color w:val="auto"/>
                <w:sz w:val="24"/>
              </w:rPr>
              <w:t>物质为</w:t>
            </w:r>
            <w:r>
              <w:rPr>
                <w:rFonts w:ascii="Times New Roman" w:hAnsi="Times New Roman" w:eastAsia="宋体" w:cs="Times New Roman"/>
                <w:color w:val="auto"/>
                <w:spacing w:val="0"/>
                <w:kern w:val="2"/>
                <w:sz w:val="24"/>
                <w:szCs w:val="24"/>
                <w:lang w:val="en-US" w:eastAsia="zh-CN" w:bidi="ar-SA"/>
              </w:rPr>
              <w:t>机油</w:t>
            </w:r>
            <w:r>
              <w:rPr>
                <w:rFonts w:hint="eastAsia" w:ascii="Times New Roman" w:hAnsi="Times New Roman" w:eastAsia="宋体" w:cs="Times New Roman"/>
                <w:color w:val="auto"/>
                <w:spacing w:val="0"/>
                <w:kern w:val="2"/>
                <w:sz w:val="24"/>
                <w:szCs w:val="24"/>
                <w:lang w:val="en-US" w:eastAsia="zh-CN" w:bidi="ar-SA"/>
              </w:rPr>
              <w:t>、</w:t>
            </w:r>
            <w:r>
              <w:rPr>
                <w:rFonts w:ascii="Times New Roman" w:hAnsi="Times New Roman" w:eastAsia="宋体" w:cs="Times New Roman"/>
                <w:color w:val="auto"/>
                <w:spacing w:val="0"/>
                <w:kern w:val="2"/>
                <w:sz w:val="24"/>
                <w:szCs w:val="24"/>
                <w:lang w:val="en-US" w:eastAsia="zh-CN" w:bidi="ar-SA"/>
              </w:rPr>
              <w:t>废机油</w:t>
            </w:r>
            <w:r>
              <w:rPr>
                <w:rFonts w:hint="eastAsia" w:ascii="Times New Roman" w:hAnsi="Times New Roman" w:eastAsia="宋体" w:cs="Times New Roman"/>
                <w:color w:val="auto"/>
                <w:spacing w:val="0"/>
                <w:kern w:val="2"/>
                <w:sz w:val="24"/>
                <w:szCs w:val="24"/>
                <w:lang w:val="en-US" w:eastAsia="zh-CN" w:bidi="ar-SA"/>
              </w:rPr>
              <w:t>、废机油桶、废活性炭、废催化剂</w:t>
            </w:r>
            <w:r>
              <w:rPr>
                <w:rFonts w:ascii="Times New Roman" w:hAnsi="Times New Roman" w:eastAsia="宋体" w:cs="Times New Roman"/>
                <w:color w:val="auto"/>
                <w:sz w:val="24"/>
              </w:rPr>
              <w:t>，项目针对性的制定了风险防范措施和应急措施，能够使风险事故发生概率大幅减</w:t>
            </w:r>
            <w:r>
              <w:rPr>
                <w:rFonts w:ascii="Times New Roman" w:hAnsi="Times New Roman" w:eastAsia="宋体" w:cs="Times New Roman"/>
                <w:sz w:val="24"/>
              </w:rPr>
              <w:t>小，造成的损失最小，因此本项目环境风险防范措施有效可行</w:t>
            </w:r>
            <w:r>
              <w:rPr>
                <w:rFonts w:hint="eastAsia" w:ascii="Times New Roman" w:hAnsi="Times New Roman" w:eastAsia="宋体" w:cs="Times New Roman"/>
                <w:sz w:val="24"/>
                <w:lang w:eastAsia="zh-CN"/>
              </w:rPr>
              <w:t>。</w:t>
            </w:r>
          </w:p>
          <w:p w14:paraId="25DD46E8">
            <w:pPr>
              <w:spacing w:line="480" w:lineRule="atLeast"/>
              <w:ind w:firstLine="482" w:firstLineChars="200"/>
              <w:rPr>
                <w:rFonts w:hint="eastAsia" w:ascii="Times New Roman" w:hAnsi="Times New Roman" w:eastAsia="宋体" w:cs="Times New Roman"/>
                <w:b/>
                <w:bCs/>
                <w:color w:val="auto"/>
                <w:sz w:val="24"/>
                <w:highlight w:val="none"/>
              </w:rPr>
            </w:pPr>
          </w:p>
          <w:p w14:paraId="72FE8F8E">
            <w:pPr>
              <w:widowControl w:val="0"/>
              <w:spacing w:line="480" w:lineRule="atLeast"/>
              <w:ind w:firstLine="480" w:firstLineChars="200"/>
              <w:jc w:val="both"/>
              <w:rPr>
                <w:rFonts w:hint="eastAsia" w:ascii="Times New Roman" w:hAnsi="宋体" w:eastAsia="宋体" w:cs="Times New Roman"/>
                <w:kern w:val="2"/>
                <w:sz w:val="24"/>
                <w:szCs w:val="24"/>
                <w:lang w:val="en-US" w:eastAsia="zh-CN" w:bidi="ar-SA"/>
              </w:rPr>
            </w:pPr>
          </w:p>
        </w:tc>
      </w:tr>
    </w:tbl>
    <w:p w14:paraId="2D108733">
      <w:pPr>
        <w:spacing w:line="360" w:lineRule="auto"/>
        <w:rPr>
          <w:rFonts w:ascii="宋体" w:hAnsi="Times New Roman" w:eastAsia="宋体" w:cs="宋体"/>
          <w:b/>
          <w:color w:val="000000" w:themeColor="text1"/>
          <w:sz w:val="28"/>
          <w:szCs w:val="28"/>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35649E89">
      <w:pPr>
        <w:pStyle w:val="27"/>
        <w:spacing w:before="312" w:beforeLines="100" w:beforeAutospacing="0" w:afterAutospacing="0"/>
        <w:jc w:val="center"/>
        <w:outlineLvl w:val="0"/>
        <w:rPr>
          <w:rFonts w:hint="default" w:ascii="黑体" w:eastAsia="黑体" w:cs="黑体"/>
          <w:b/>
          <w:bCs/>
          <w:color w:val="000000" w:themeColor="text1"/>
          <w:sz w:val="30"/>
          <w:szCs w:val="30"/>
          <w:highlight w:val="none"/>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五、</w:t>
      </w:r>
      <w:bookmarkStart w:id="6" w:name="_Hlk54167917"/>
      <w:r>
        <w:rPr>
          <w:rFonts w:ascii="黑体" w:eastAsia="黑体" w:cs="黑体"/>
          <w:snapToGrid w:val="0"/>
          <w:color w:val="000000" w:themeColor="text1"/>
          <w:sz w:val="30"/>
          <w:szCs w:val="30"/>
          <w:highlight w:val="none"/>
          <w14:textFill>
            <w14:solidFill>
              <w14:schemeClr w14:val="tx1"/>
            </w14:solidFill>
          </w14:textFill>
        </w:rPr>
        <w:t>环境保护措施监督检查清单</w:t>
      </w:r>
      <w:bookmarkEnd w:id="6"/>
    </w:p>
    <w:tbl>
      <w:tblPr>
        <w:tblStyle w:val="37"/>
        <w:tblW w:w="94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32"/>
        <w:gridCol w:w="1338"/>
        <w:gridCol w:w="2635"/>
        <w:gridCol w:w="2518"/>
      </w:tblGrid>
      <w:tr w14:paraId="31363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42" w:type="dxa"/>
            <w:tcBorders>
              <w:top w:val="single" w:color="auto" w:sz="8" w:space="0"/>
              <w:left w:val="single" w:color="auto" w:sz="8" w:space="0"/>
              <w:bottom w:val="single" w:color="auto" w:sz="4" w:space="0"/>
              <w:right w:val="single" w:color="auto" w:sz="4" w:space="0"/>
              <w:tl2br w:val="single" w:color="auto" w:sz="4" w:space="0"/>
            </w:tcBorders>
            <w:shd w:val="clear" w:color="auto" w:fill="auto"/>
          </w:tcPr>
          <w:p w14:paraId="4266C1D6">
            <w:pPr>
              <w:adjustRightInd w:val="0"/>
              <w:snapToGrid w:val="0"/>
              <w:spacing w:line="320" w:lineRule="exact"/>
              <w:ind w:firstLine="422" w:firstLineChars="200"/>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内容</w:t>
            </w:r>
          </w:p>
          <w:p w14:paraId="7FEAC0C0">
            <w:pPr>
              <w:adjustRightInd w:val="0"/>
              <w:snapToGrid w:val="0"/>
              <w:spacing w:line="320" w:lineRule="exact"/>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要素</w:t>
            </w:r>
          </w:p>
        </w:tc>
        <w:tc>
          <w:tcPr>
            <w:tcW w:w="1732" w:type="dxa"/>
            <w:tcBorders>
              <w:top w:val="single" w:color="auto" w:sz="8" w:space="0"/>
              <w:left w:val="single" w:color="auto" w:sz="4" w:space="0"/>
              <w:bottom w:val="single" w:color="auto" w:sz="4" w:space="0"/>
              <w:right w:val="single" w:color="auto" w:sz="4" w:space="0"/>
            </w:tcBorders>
            <w:shd w:val="clear" w:color="auto" w:fill="auto"/>
            <w:vAlign w:val="center"/>
          </w:tcPr>
          <w:p w14:paraId="218131EA">
            <w:pPr>
              <w:adjustRightInd w:val="0"/>
              <w:snapToGrid w:val="0"/>
              <w:spacing w:line="320" w:lineRule="exact"/>
              <w:jc w:val="center"/>
              <w:rPr>
                <w:rFonts w:hint="default" w:ascii="Times New Roman" w:hAnsi="Times New Roman" w:eastAsia="宋体" w:cs="Times New Roman"/>
                <w:b/>
                <w:bCs/>
                <w:color w:val="000000" w:themeColor="text1"/>
                <w:szCs w:val="21"/>
                <w:lang w:bidi="ar"/>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排放口（编号、</w:t>
            </w:r>
          </w:p>
          <w:p w14:paraId="31447D6F">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名称）/污染源</w:t>
            </w:r>
          </w:p>
        </w:tc>
        <w:tc>
          <w:tcPr>
            <w:tcW w:w="1338" w:type="dxa"/>
            <w:tcBorders>
              <w:top w:val="single" w:color="auto" w:sz="8" w:space="0"/>
              <w:left w:val="single" w:color="auto" w:sz="4" w:space="0"/>
              <w:bottom w:val="single" w:color="auto" w:sz="4" w:space="0"/>
              <w:right w:val="single" w:color="auto" w:sz="4" w:space="0"/>
            </w:tcBorders>
            <w:shd w:val="clear" w:color="auto" w:fill="auto"/>
            <w:vAlign w:val="center"/>
          </w:tcPr>
          <w:p w14:paraId="07B8BC6D">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污染物项目</w:t>
            </w:r>
          </w:p>
        </w:tc>
        <w:tc>
          <w:tcPr>
            <w:tcW w:w="2635" w:type="dxa"/>
            <w:tcBorders>
              <w:top w:val="single" w:color="auto" w:sz="8" w:space="0"/>
              <w:left w:val="single" w:color="auto" w:sz="4" w:space="0"/>
              <w:bottom w:val="single" w:color="auto" w:sz="4" w:space="0"/>
              <w:right w:val="single" w:color="auto" w:sz="4" w:space="0"/>
            </w:tcBorders>
            <w:shd w:val="clear" w:color="auto" w:fill="auto"/>
            <w:vAlign w:val="center"/>
          </w:tcPr>
          <w:p w14:paraId="128BEBE9">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环境保护措施</w:t>
            </w:r>
          </w:p>
        </w:tc>
        <w:tc>
          <w:tcPr>
            <w:tcW w:w="2518" w:type="dxa"/>
            <w:tcBorders>
              <w:top w:val="single" w:color="auto" w:sz="8" w:space="0"/>
              <w:left w:val="single" w:color="auto" w:sz="4" w:space="0"/>
              <w:bottom w:val="single" w:color="auto" w:sz="4" w:space="0"/>
              <w:right w:val="single" w:color="auto" w:sz="8" w:space="0"/>
            </w:tcBorders>
            <w:shd w:val="clear" w:color="auto" w:fill="auto"/>
            <w:vAlign w:val="center"/>
          </w:tcPr>
          <w:p w14:paraId="36D7CA8D">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执行标准</w:t>
            </w:r>
          </w:p>
        </w:tc>
      </w:tr>
      <w:tr w14:paraId="37272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restart"/>
            <w:tcBorders>
              <w:left w:val="single" w:color="auto" w:sz="8" w:space="0"/>
              <w:right w:val="single" w:color="auto" w:sz="4" w:space="0"/>
            </w:tcBorders>
            <w:shd w:val="clear" w:color="auto" w:fill="auto"/>
            <w:vAlign w:val="center"/>
          </w:tcPr>
          <w:p w14:paraId="0D07E534">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大气环境</w:t>
            </w:r>
          </w:p>
        </w:tc>
        <w:tc>
          <w:tcPr>
            <w:tcW w:w="1732" w:type="dxa"/>
            <w:vMerge w:val="restart"/>
            <w:tcBorders>
              <w:top w:val="single" w:color="auto" w:sz="4" w:space="0"/>
              <w:left w:val="single" w:color="auto" w:sz="4" w:space="0"/>
              <w:right w:val="single" w:color="auto" w:sz="4" w:space="0"/>
            </w:tcBorders>
            <w:shd w:val="clear" w:color="auto" w:fill="auto"/>
            <w:vAlign w:val="center"/>
          </w:tcPr>
          <w:p w14:paraId="177D91FE">
            <w:pPr>
              <w:adjustRightInd w:val="0"/>
              <w:snapToGrid w:val="0"/>
              <w:spacing w:line="320" w:lineRule="exact"/>
              <w:jc w:val="center"/>
              <w:rPr>
                <w:rFonts w:hint="default" w:ascii="Times New Roman" w:hAnsi="Times New Roman" w:cs="Times New Roman"/>
                <w:color w:val="auto"/>
              </w:rPr>
            </w:pPr>
            <w:r>
              <w:rPr>
                <w:rFonts w:hint="eastAsia" w:eastAsia="宋体"/>
                <w:color w:val="auto"/>
                <w:lang w:eastAsia="zh-CN"/>
              </w:rPr>
              <w:t>注塑</w:t>
            </w:r>
            <w:r>
              <w:rPr>
                <w:rFonts w:hint="eastAsia"/>
                <w:color w:val="auto"/>
                <w:lang w:eastAsia="zh-CN"/>
              </w:rPr>
              <w:t>工序</w:t>
            </w:r>
            <w:r>
              <w:rPr>
                <w:rFonts w:hint="default" w:ascii="Times New Roman" w:hAnsi="Times New Roman" w:cs="Times New Roman"/>
                <w:color w:val="auto"/>
              </w:rPr>
              <w:t>/DA001</w:t>
            </w:r>
          </w:p>
        </w:tc>
        <w:tc>
          <w:tcPr>
            <w:tcW w:w="1338" w:type="dxa"/>
            <w:tcBorders>
              <w:top w:val="single" w:color="auto" w:sz="4" w:space="0"/>
              <w:left w:val="single" w:color="auto" w:sz="4" w:space="0"/>
              <w:right w:val="single" w:color="auto" w:sz="4" w:space="0"/>
            </w:tcBorders>
            <w:shd w:val="clear" w:color="auto" w:fill="auto"/>
            <w:vAlign w:val="center"/>
          </w:tcPr>
          <w:p w14:paraId="1FB45898">
            <w:pPr>
              <w:adjustRightInd w:val="0"/>
              <w:snapToGrid w:val="0"/>
              <w:spacing w:line="320" w:lineRule="exact"/>
              <w:jc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highlight w:val="none"/>
                <w:lang w:val="en-US" w:eastAsia="zh-CN"/>
              </w:rPr>
              <w:t>非甲烷总烃</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07BCCB5E">
            <w:pPr>
              <w:adjustRightInd w:val="0"/>
              <w:snapToGrid w:val="0"/>
              <w:spacing w:line="320" w:lineRule="exact"/>
              <w:jc w:val="center"/>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auto"/>
                <w:sz w:val="21"/>
                <w:szCs w:val="21"/>
                <w:highlight w:val="none"/>
                <w:lang w:val="en-US" w:eastAsia="zh-CN"/>
              </w:rPr>
              <w:t>经集气罩（带软帘）收集后经“活性炭吸附/脱附+催化燃烧装置”（TA001）处理，处理后经15m高排气筒DA001排放</w:t>
            </w:r>
          </w:p>
        </w:tc>
        <w:tc>
          <w:tcPr>
            <w:tcW w:w="2518" w:type="dxa"/>
            <w:tcBorders>
              <w:top w:val="single" w:color="auto" w:sz="4" w:space="0"/>
              <w:left w:val="single" w:color="auto" w:sz="4" w:space="0"/>
              <w:right w:val="single" w:color="auto" w:sz="8" w:space="0"/>
            </w:tcBorders>
            <w:shd w:val="clear" w:color="auto" w:fill="auto"/>
            <w:vAlign w:val="center"/>
          </w:tcPr>
          <w:p w14:paraId="33F7CB4D">
            <w:pPr>
              <w:jc w:val="center"/>
              <w:rPr>
                <w:rFonts w:hint="default" w:ascii="Times New Roman" w:hAnsi="Times New Roman" w:cs="Times New Roman"/>
                <w:color w:val="auto"/>
                <w:szCs w:val="21"/>
              </w:rPr>
            </w:pPr>
            <w:r>
              <w:rPr>
                <w:rFonts w:hint="eastAsia" w:ascii="Times New Roman" w:hAnsi="Times New Roman" w:eastAsia="宋体" w:cs="Times New Roman"/>
                <w:b w:val="0"/>
                <w:bCs/>
                <w:color w:val="auto"/>
                <w:szCs w:val="21"/>
                <w:lang w:val="en-US" w:eastAsia="zh-CN"/>
              </w:rPr>
              <w:t>《工业企业挥发性有机物排放控制标准》（DB13/2322-2016）表1中“有机化工业”排放限值及《合成树脂工业污染物排放标准》（GB31572-2015，含2024年修改单）中表5大气污染物特别排放限值要求</w:t>
            </w:r>
          </w:p>
        </w:tc>
      </w:tr>
      <w:tr w14:paraId="6A2721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50AF1245">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7B546972">
            <w:pPr>
              <w:adjustRightInd w:val="0"/>
              <w:snapToGrid w:val="0"/>
              <w:spacing w:line="320" w:lineRule="exact"/>
              <w:jc w:val="center"/>
              <w:rPr>
                <w:rFonts w:hint="eastAsia" w:eastAsia="宋体"/>
                <w:color w:val="auto"/>
                <w:lang w:eastAsia="zh-CN"/>
              </w:rPr>
            </w:pPr>
          </w:p>
        </w:tc>
        <w:tc>
          <w:tcPr>
            <w:tcW w:w="1338" w:type="dxa"/>
            <w:tcBorders>
              <w:top w:val="single" w:color="auto" w:sz="4" w:space="0"/>
              <w:left w:val="single" w:color="auto" w:sz="4" w:space="0"/>
              <w:right w:val="single" w:color="auto" w:sz="4" w:space="0"/>
            </w:tcBorders>
            <w:shd w:val="clear" w:color="auto" w:fill="auto"/>
            <w:vAlign w:val="center"/>
          </w:tcPr>
          <w:p w14:paraId="0D13DB4C">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臭气浓度</w:t>
            </w:r>
          </w:p>
        </w:tc>
        <w:tc>
          <w:tcPr>
            <w:tcW w:w="2635" w:type="dxa"/>
            <w:vMerge w:val="continue"/>
            <w:tcBorders>
              <w:left w:val="single" w:color="auto" w:sz="4" w:space="0"/>
              <w:right w:val="single" w:color="auto" w:sz="4" w:space="0"/>
            </w:tcBorders>
            <w:shd w:val="clear" w:color="auto" w:fill="auto"/>
            <w:vAlign w:val="center"/>
          </w:tcPr>
          <w:p w14:paraId="54E6F16D">
            <w:pPr>
              <w:adjustRightInd w:val="0"/>
              <w:snapToGrid w:val="0"/>
              <w:spacing w:line="320" w:lineRule="exact"/>
              <w:jc w:val="center"/>
              <w:rPr>
                <w:rFonts w:hint="eastAsia" w:ascii="Times New Roman" w:hAnsi="Times New Roman" w:eastAsia="宋体" w:cs="Times New Roman"/>
                <w:b w:val="0"/>
                <w:bCs/>
                <w:color w:val="auto"/>
                <w:szCs w:val="21"/>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2465CBA">
            <w:pPr>
              <w:jc w:val="center"/>
              <w:rPr>
                <w:rFonts w:hint="default" w:ascii="Times New Roman" w:hAnsi="Times New Roman" w:cs="Times New Roman"/>
                <w:color w:val="auto"/>
                <w:szCs w:val="21"/>
              </w:rPr>
            </w:pPr>
            <w:r>
              <w:rPr>
                <w:rFonts w:hint="eastAsia" w:ascii="Times New Roman" w:hAnsi="Times New Roman" w:eastAsia="宋体" w:cs="Times New Roman"/>
                <w:b w:val="0"/>
                <w:bCs/>
                <w:color w:val="auto"/>
                <w:szCs w:val="21"/>
                <w:lang w:val="en-US" w:eastAsia="zh-CN"/>
              </w:rPr>
              <w:t>《恶臭污染物排放标准》（GB 14554-93）表2 恶臭污染物排放标准值</w:t>
            </w:r>
          </w:p>
        </w:tc>
      </w:tr>
      <w:tr w14:paraId="5C0472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57612154">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tcBorders>
              <w:top w:val="single" w:color="auto" w:sz="4" w:space="0"/>
              <w:left w:val="single" w:color="auto" w:sz="4" w:space="0"/>
              <w:right w:val="single" w:color="auto" w:sz="4" w:space="0"/>
            </w:tcBorders>
            <w:shd w:val="clear" w:color="auto" w:fill="auto"/>
            <w:vAlign w:val="center"/>
          </w:tcPr>
          <w:p w14:paraId="40530AA9">
            <w:pPr>
              <w:adjustRightInd w:val="0"/>
              <w:snapToGrid w:val="0"/>
              <w:spacing w:line="32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szCs w:val="21"/>
                <w:highlight w:val="none"/>
                <w:lang w:val="en-US" w:eastAsia="zh-CN"/>
              </w:rPr>
              <w:t>粉碎工序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2</w:t>
            </w:r>
          </w:p>
        </w:tc>
        <w:tc>
          <w:tcPr>
            <w:tcW w:w="1338" w:type="dxa"/>
            <w:tcBorders>
              <w:top w:val="single" w:color="auto" w:sz="4" w:space="0"/>
              <w:left w:val="single" w:color="auto" w:sz="4" w:space="0"/>
              <w:right w:val="single" w:color="auto" w:sz="4" w:space="0"/>
            </w:tcBorders>
            <w:shd w:val="clear" w:color="auto" w:fill="auto"/>
            <w:vAlign w:val="center"/>
          </w:tcPr>
          <w:p w14:paraId="0655B7FB">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snapToGrid w:val="0"/>
                <w:szCs w:val="21"/>
                <w:lang w:eastAsia="zh-CN"/>
              </w:rPr>
              <w:t>颗粒物</w:t>
            </w:r>
          </w:p>
        </w:tc>
        <w:tc>
          <w:tcPr>
            <w:tcW w:w="2635" w:type="dxa"/>
            <w:tcBorders>
              <w:top w:val="single" w:color="auto" w:sz="4" w:space="0"/>
              <w:left w:val="single" w:color="auto" w:sz="4" w:space="0"/>
              <w:right w:val="single" w:color="auto" w:sz="4" w:space="0"/>
            </w:tcBorders>
            <w:shd w:val="clear" w:color="auto" w:fill="auto"/>
            <w:vAlign w:val="center"/>
          </w:tcPr>
          <w:p w14:paraId="0D3D01EC">
            <w:pPr>
              <w:adjustRightInd w:val="0"/>
              <w:snapToGrid w:val="0"/>
              <w:spacing w:line="320" w:lineRule="exact"/>
              <w:jc w:val="center"/>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auto"/>
                <w:szCs w:val="21"/>
                <w:highlight w:val="none"/>
                <w:lang w:val="en-US" w:eastAsia="zh-CN"/>
              </w:rPr>
              <w:t>经集气罩（带软帘）收集后经布袋除尘器（TA002）处理，处理后经15m高排气筒DA002排放</w:t>
            </w:r>
          </w:p>
        </w:tc>
        <w:tc>
          <w:tcPr>
            <w:tcW w:w="2518" w:type="dxa"/>
            <w:tcBorders>
              <w:top w:val="single" w:color="auto" w:sz="4" w:space="0"/>
              <w:left w:val="single" w:color="auto" w:sz="4" w:space="0"/>
              <w:right w:val="single" w:color="auto" w:sz="8" w:space="0"/>
            </w:tcBorders>
            <w:shd w:val="clear" w:color="auto" w:fill="auto"/>
            <w:vAlign w:val="center"/>
          </w:tcPr>
          <w:p w14:paraId="4355EB45">
            <w:pPr>
              <w:jc w:val="center"/>
              <w:rPr>
                <w:rFonts w:hint="default" w:ascii="Times New Roman" w:hAnsi="Times New Roman" w:cs="Times New Roman"/>
                <w:color w:val="auto"/>
                <w:szCs w:val="21"/>
                <w:lang w:eastAsia="zh-CN"/>
              </w:rPr>
            </w:pPr>
            <w:r>
              <w:rPr>
                <w:rFonts w:hint="eastAsia" w:ascii="Times New Roman" w:hAnsi="Times New Roman" w:eastAsia="宋体" w:cs="Times New Roman"/>
                <w:b w:val="0"/>
                <w:bCs/>
                <w:color w:val="auto"/>
                <w:szCs w:val="21"/>
                <w:lang w:val="en-US" w:eastAsia="zh-CN"/>
              </w:rPr>
              <w:t>《合成树脂工业污染物排放标准》（GB31572-2015，含2024年修改单）中表5大气污染物特别排放标准限值</w:t>
            </w:r>
          </w:p>
        </w:tc>
      </w:tr>
      <w:tr w14:paraId="6826B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BBCA288">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089081E2">
            <w:pPr>
              <w:adjustRightInd w:val="0"/>
              <w:snapToGrid w:val="0"/>
              <w:spacing w:line="32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无组织废气</w:t>
            </w:r>
          </w:p>
        </w:tc>
        <w:tc>
          <w:tcPr>
            <w:tcW w:w="1338" w:type="dxa"/>
            <w:tcBorders>
              <w:top w:val="single" w:color="auto" w:sz="4" w:space="0"/>
              <w:left w:val="single" w:color="auto" w:sz="4" w:space="0"/>
              <w:right w:val="single" w:color="auto" w:sz="4" w:space="0"/>
            </w:tcBorders>
            <w:shd w:val="clear" w:color="auto" w:fill="auto"/>
            <w:vAlign w:val="center"/>
          </w:tcPr>
          <w:p w14:paraId="727BC37C">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0EACC931">
            <w:pPr>
              <w:adjustRightInd w:val="0"/>
              <w:snapToGrid w:val="0"/>
              <w:spacing w:line="320" w:lineRule="exact"/>
              <w:jc w:val="center"/>
              <w:rPr>
                <w:rFonts w:hint="default" w:ascii="Times New Roman" w:hAnsi="Times New Roman" w:cs="Times New Roman"/>
                <w:color w:val="FF0000"/>
                <w:sz w:val="21"/>
                <w:szCs w:val="21"/>
                <w:highlight w:val="none"/>
                <w:lang w:val="en-US" w:eastAsia="zh-CN"/>
              </w:rPr>
            </w:pPr>
            <w:r>
              <w:rPr>
                <w:rFonts w:hint="eastAsia" w:ascii="Times New Roman" w:hAnsi="Times New Roman" w:cs="Times New Roman"/>
                <w:color w:val="auto"/>
                <w:sz w:val="21"/>
                <w:szCs w:val="21"/>
                <w:highlight w:val="none"/>
                <w:lang w:val="en-US" w:eastAsia="zh-CN"/>
              </w:rPr>
              <w:t>车间密闭</w:t>
            </w:r>
          </w:p>
        </w:tc>
        <w:tc>
          <w:tcPr>
            <w:tcW w:w="2518" w:type="dxa"/>
            <w:tcBorders>
              <w:top w:val="single" w:color="auto" w:sz="4" w:space="0"/>
              <w:left w:val="single" w:color="auto" w:sz="4" w:space="0"/>
              <w:right w:val="single" w:color="auto" w:sz="8" w:space="0"/>
            </w:tcBorders>
            <w:shd w:val="clear" w:color="auto" w:fill="auto"/>
            <w:vAlign w:val="center"/>
          </w:tcPr>
          <w:p w14:paraId="32208FA5">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b w:val="0"/>
                <w:bCs/>
                <w:color w:val="auto"/>
                <w:lang w:val="en-US" w:eastAsia="zh-CN"/>
              </w:rPr>
              <w:t>《合成树脂工业污染物排放标准》（GB31572-2015，含2024年修改单）中</w:t>
            </w:r>
            <w:r>
              <w:rPr>
                <w:rFonts w:ascii="Times New Roman" w:hAnsi="Times New Roman" w:cs="Times New Roman"/>
                <w:color w:val="auto"/>
                <w:sz w:val="21"/>
                <w:szCs w:val="21"/>
              </w:rPr>
              <w:t>表9企业边界大气污染物浓度限值</w:t>
            </w:r>
          </w:p>
        </w:tc>
      </w:tr>
      <w:tr w14:paraId="59FDF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42BBC70E">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0EAD939A">
            <w:pPr>
              <w:adjustRightInd w:val="0"/>
              <w:snapToGrid w:val="0"/>
              <w:spacing w:line="320" w:lineRule="exact"/>
              <w:jc w:val="center"/>
              <w:rPr>
                <w:rFonts w:hint="eastAsia" w:ascii="Times New Roman" w:hAnsi="Times New Roman" w:cs="Times New Roman"/>
                <w:color w:val="auto"/>
                <w:lang w:val="en-US" w:eastAsia="zh-CN"/>
              </w:rPr>
            </w:pPr>
          </w:p>
        </w:tc>
        <w:tc>
          <w:tcPr>
            <w:tcW w:w="1338" w:type="dxa"/>
            <w:vMerge w:val="restart"/>
            <w:tcBorders>
              <w:top w:val="single" w:color="auto" w:sz="4" w:space="0"/>
              <w:left w:val="single" w:color="auto" w:sz="4" w:space="0"/>
              <w:right w:val="single" w:color="auto" w:sz="4" w:space="0"/>
            </w:tcBorders>
            <w:shd w:val="clear" w:color="auto" w:fill="auto"/>
            <w:vAlign w:val="center"/>
          </w:tcPr>
          <w:p w14:paraId="6940CD8D">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2635" w:type="dxa"/>
            <w:vMerge w:val="continue"/>
            <w:tcBorders>
              <w:left w:val="single" w:color="auto" w:sz="4" w:space="0"/>
              <w:right w:val="single" w:color="auto" w:sz="4" w:space="0"/>
            </w:tcBorders>
            <w:shd w:val="clear" w:color="auto" w:fill="auto"/>
            <w:vAlign w:val="center"/>
          </w:tcPr>
          <w:p w14:paraId="6F984C39">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32436C1F">
            <w:pPr>
              <w:adjustRightInd w:val="0"/>
              <w:snapToGrid w:val="0"/>
              <w:spacing w:line="320" w:lineRule="exact"/>
              <w:jc w:val="center"/>
              <w:rPr>
                <w:rFonts w:hint="default" w:ascii="Times New Roman" w:hAnsi="Times New Roman" w:cs="Times New Roman"/>
                <w:b w:val="0"/>
                <w:bCs/>
                <w:color w:val="auto"/>
                <w:lang w:val="en-US" w:eastAsia="zh-CN"/>
              </w:rPr>
            </w:pPr>
            <w:r>
              <w:rPr>
                <w:rFonts w:hint="eastAsia" w:ascii="Times New Roman" w:hAnsi="Times New Roman" w:cs="Times New Roman"/>
                <w:b w:val="0"/>
                <w:bCs/>
                <w:color w:val="auto"/>
                <w:lang w:val="en-US" w:eastAsia="zh-CN"/>
              </w:rPr>
              <w:t>去除效率不达标时，车间口无组织非甲烷总烃执行《工业企业挥发性有机物排放标准》（DB13/2322-2016）表3生产车间或生产设备边界大气污染物浓度限值</w:t>
            </w:r>
          </w:p>
        </w:tc>
      </w:tr>
      <w:tr w14:paraId="796BA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61DCF8C1">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1F8F81B8">
            <w:pPr>
              <w:adjustRightInd w:val="0"/>
              <w:snapToGrid w:val="0"/>
              <w:spacing w:line="320" w:lineRule="exact"/>
              <w:jc w:val="center"/>
              <w:rPr>
                <w:rFonts w:hint="default" w:ascii="Times New Roman" w:hAnsi="Times New Roman" w:cs="Times New Roman"/>
                <w:color w:val="auto"/>
                <w:lang w:val="en-US" w:eastAsia="zh-CN"/>
              </w:rPr>
            </w:pPr>
          </w:p>
        </w:tc>
        <w:tc>
          <w:tcPr>
            <w:tcW w:w="1338" w:type="dxa"/>
            <w:vMerge w:val="continue"/>
            <w:tcBorders>
              <w:left w:val="single" w:color="auto" w:sz="4" w:space="0"/>
              <w:right w:val="single" w:color="auto" w:sz="4" w:space="0"/>
            </w:tcBorders>
            <w:shd w:val="clear" w:color="auto" w:fill="auto"/>
            <w:vAlign w:val="center"/>
          </w:tcPr>
          <w:p w14:paraId="69274C90">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p>
        </w:tc>
        <w:tc>
          <w:tcPr>
            <w:tcW w:w="2635" w:type="dxa"/>
            <w:vMerge w:val="continue"/>
            <w:tcBorders>
              <w:left w:val="single" w:color="auto" w:sz="4" w:space="0"/>
              <w:right w:val="single" w:color="auto" w:sz="4" w:space="0"/>
            </w:tcBorders>
            <w:shd w:val="clear" w:color="auto" w:fill="auto"/>
            <w:vAlign w:val="center"/>
          </w:tcPr>
          <w:p w14:paraId="76839D3B">
            <w:pPr>
              <w:adjustRightInd w:val="0"/>
              <w:snapToGrid w:val="0"/>
              <w:spacing w:line="320" w:lineRule="exact"/>
              <w:jc w:val="center"/>
              <w:rPr>
                <w:rFonts w:hint="eastAsia" w:ascii="Times New Roman" w:hAnsi="Times New Roman" w:cs="Times New Roman"/>
                <w:color w:val="FF0000"/>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1AB3009">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《工业企业挥发性有机物排放控制标准》（DB13/2322-2016）表2其他企业边界大气污染物浓度限值要求，同时满足《挥发性有机物无组织排放控制标准》（GB37822-2019）表 A.1 厂区内VOCs无组织特别排放限值要求</w:t>
            </w:r>
          </w:p>
        </w:tc>
      </w:tr>
      <w:tr w14:paraId="55F879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restart"/>
            <w:tcBorders>
              <w:top w:val="single" w:color="auto" w:sz="4" w:space="0"/>
              <w:left w:val="single" w:color="auto" w:sz="8" w:space="0"/>
              <w:right w:val="single" w:color="auto" w:sz="4" w:space="0"/>
            </w:tcBorders>
            <w:shd w:val="clear" w:color="auto" w:fill="auto"/>
            <w:vAlign w:val="center"/>
          </w:tcPr>
          <w:p w14:paraId="20B5FA9E">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地表水环境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5D23BFB1">
            <w:pPr>
              <w:adjustRightInd w:val="0"/>
              <w:spacing w:line="400" w:lineRule="exact"/>
              <w:jc w:val="center"/>
              <w:rPr>
                <w:rFonts w:hint="default" w:ascii="Times New Roman" w:hAnsi="Times New Roman" w:eastAsia="宋体" w:cs="Times New Roman"/>
                <w:color w:val="auto"/>
                <w:sz w:val="21"/>
                <w:szCs w:val="21"/>
              </w:rPr>
            </w:pPr>
            <w:r>
              <w:rPr>
                <w:rFonts w:hint="default" w:eastAsia="宋体"/>
                <w:color w:val="auto"/>
                <w:lang w:val="en-US" w:eastAsia="zh-CN"/>
              </w:rPr>
              <w:t>冷却用水</w:t>
            </w:r>
          </w:p>
        </w:tc>
        <w:tc>
          <w:tcPr>
            <w:tcW w:w="1338" w:type="dxa"/>
            <w:tcBorders>
              <w:top w:val="single" w:color="auto" w:sz="4" w:space="0"/>
              <w:left w:val="single" w:color="auto" w:sz="4" w:space="0"/>
              <w:right w:val="single" w:color="auto" w:sz="4" w:space="0"/>
            </w:tcBorders>
            <w:shd w:val="clear" w:color="auto" w:fill="auto"/>
            <w:vAlign w:val="center"/>
          </w:tcPr>
          <w:p w14:paraId="2C9B106E">
            <w:pPr>
              <w:spacing w:line="400" w:lineRule="exact"/>
              <w:jc w:val="center"/>
              <w:rPr>
                <w:rFonts w:hint="eastAsia" w:ascii="Times New Roman" w:hAnsi="Times New Roman" w:cs="Times New Roman" w:eastAsiaTheme="minorEastAsia"/>
                <w:color w:val="auto"/>
                <w:sz w:val="21"/>
                <w:szCs w:val="21"/>
                <w:lang w:eastAsia="zh-CN"/>
              </w:rPr>
            </w:pPr>
            <w:r>
              <w:rPr>
                <w:rFonts w:ascii="Times New Roman" w:hAnsi="Times New Roman"/>
                <w:color w:val="auto"/>
                <w:spacing w:val="-6"/>
                <w:sz w:val="21"/>
                <w:szCs w:val="21"/>
              </w:rPr>
              <w:t>SS</w:t>
            </w:r>
          </w:p>
        </w:tc>
        <w:tc>
          <w:tcPr>
            <w:tcW w:w="2635" w:type="dxa"/>
            <w:tcBorders>
              <w:top w:val="single" w:color="auto" w:sz="4" w:space="0"/>
              <w:left w:val="single" w:color="auto" w:sz="4" w:space="0"/>
              <w:right w:val="single" w:color="auto" w:sz="4" w:space="0"/>
            </w:tcBorders>
            <w:shd w:val="clear" w:color="auto" w:fill="auto"/>
            <w:vAlign w:val="center"/>
          </w:tcPr>
          <w:p w14:paraId="2A47260D">
            <w:pPr>
              <w:adjustRightInd w:val="0"/>
              <w:spacing w:line="400" w:lineRule="exact"/>
              <w:jc w:val="center"/>
              <w:rPr>
                <w:rFonts w:hint="default" w:ascii="Times New Roman" w:hAnsi="Times New Roman" w:eastAsia="宋体" w:cs="Times New Roman"/>
                <w:color w:val="auto"/>
                <w:sz w:val="21"/>
                <w:szCs w:val="21"/>
              </w:rPr>
            </w:pPr>
            <w:r>
              <w:rPr>
                <w:rFonts w:hint="eastAsia"/>
                <w:color w:val="auto"/>
              </w:rPr>
              <w:t>循环使用，定期补充</w:t>
            </w:r>
          </w:p>
        </w:tc>
        <w:tc>
          <w:tcPr>
            <w:tcW w:w="2518" w:type="dxa"/>
            <w:tcBorders>
              <w:top w:val="single" w:color="auto" w:sz="4" w:space="0"/>
              <w:left w:val="single" w:color="auto" w:sz="4" w:space="0"/>
              <w:right w:val="single" w:color="auto" w:sz="8" w:space="0"/>
            </w:tcBorders>
            <w:shd w:val="clear" w:color="auto" w:fill="auto"/>
            <w:vAlign w:val="center"/>
          </w:tcPr>
          <w:p w14:paraId="390A0B2B">
            <w:pPr>
              <w:adjustRightInd w:val="0"/>
              <w:spacing w:line="400" w:lineRule="exact"/>
              <w:jc w:val="center"/>
              <w:rPr>
                <w:rFonts w:hint="default" w:ascii="Times New Roman" w:hAnsi="Times New Roman" w:eastAsia="宋体" w:cs="Times New Roman"/>
                <w:color w:val="auto"/>
                <w:sz w:val="21"/>
                <w:szCs w:val="21"/>
              </w:rPr>
            </w:pPr>
            <w:r>
              <w:rPr>
                <w:rFonts w:hint="eastAsia"/>
                <w:color w:val="auto"/>
              </w:rPr>
              <w:t>不外排</w:t>
            </w:r>
          </w:p>
        </w:tc>
      </w:tr>
      <w:tr w14:paraId="4981FC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continue"/>
            <w:tcBorders>
              <w:left w:val="single" w:color="auto" w:sz="8" w:space="0"/>
              <w:right w:val="single" w:color="auto" w:sz="4" w:space="0"/>
            </w:tcBorders>
            <w:shd w:val="clear" w:color="auto" w:fill="auto"/>
            <w:vAlign w:val="center"/>
          </w:tcPr>
          <w:p w14:paraId="32631247">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19D5BB49">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w:t>
            </w:r>
          </w:p>
        </w:tc>
        <w:tc>
          <w:tcPr>
            <w:tcW w:w="1338" w:type="dxa"/>
            <w:tcBorders>
              <w:top w:val="single" w:color="auto" w:sz="4" w:space="0"/>
              <w:left w:val="single" w:color="auto" w:sz="4" w:space="0"/>
              <w:right w:val="single" w:color="auto" w:sz="4" w:space="0"/>
            </w:tcBorders>
            <w:shd w:val="clear" w:color="auto" w:fill="auto"/>
            <w:vAlign w:val="center"/>
          </w:tcPr>
          <w:p w14:paraId="1F01B24B">
            <w:pPr>
              <w:adjustRightInd w:val="0"/>
              <w:snapToGrid w:val="0"/>
              <w:spacing w:line="320" w:lineRule="exact"/>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pH、</w:t>
            </w:r>
            <w:r>
              <w:rPr>
                <w:rFonts w:hint="default" w:ascii="Times New Roman" w:hAnsi="Times New Roman" w:cs="Times New Roman"/>
                <w:b w:val="0"/>
                <w:bCs w:val="0"/>
                <w:color w:val="auto"/>
                <w:sz w:val="21"/>
                <w:szCs w:val="21"/>
              </w:rPr>
              <w:t>COD、BOD</w:t>
            </w:r>
            <w:r>
              <w:rPr>
                <w:rFonts w:hint="default" w:ascii="Times New Roman" w:hAnsi="Times New Roman" w:cs="Times New Roman"/>
                <w:b w:val="0"/>
                <w:bCs w:val="0"/>
                <w:color w:val="auto"/>
                <w:sz w:val="21"/>
                <w:szCs w:val="21"/>
                <w:vertAlign w:val="subscript"/>
              </w:rPr>
              <w:t>5</w:t>
            </w:r>
            <w:r>
              <w:rPr>
                <w:rFonts w:hint="default" w:ascii="Times New Roman" w:hAnsi="Times New Roman" w:cs="Times New Roman"/>
                <w:b w:val="0"/>
                <w:bCs w:val="0"/>
                <w:color w:val="auto"/>
                <w:sz w:val="21"/>
                <w:szCs w:val="21"/>
              </w:rPr>
              <w:t>、SS、</w:t>
            </w: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2635" w:type="dxa"/>
            <w:tcBorders>
              <w:top w:val="single" w:color="auto" w:sz="4" w:space="0"/>
              <w:left w:val="single" w:color="auto" w:sz="4" w:space="0"/>
              <w:right w:val="single" w:color="auto" w:sz="4" w:space="0"/>
            </w:tcBorders>
            <w:shd w:val="clear" w:color="auto" w:fill="auto"/>
            <w:vAlign w:val="center"/>
          </w:tcPr>
          <w:p w14:paraId="4622CF17">
            <w:pPr>
              <w:adjustRightInd w:val="0"/>
              <w:snapToGrid w:val="0"/>
              <w:spacing w:line="320" w:lineRule="exact"/>
              <w:jc w:val="center"/>
              <w:rPr>
                <w:rFonts w:hint="eastAsia" w:ascii="Times New Roman" w:hAnsi="Times New Roman" w:cs="Times New Roman"/>
                <w:color w:val="auto"/>
                <w:sz w:val="21"/>
                <w:szCs w:val="21"/>
              </w:rPr>
            </w:pPr>
            <w:r>
              <w:rPr>
                <w:rFonts w:hint="eastAsia"/>
                <w:color w:val="auto"/>
                <w:lang w:val="en-US" w:eastAsia="zh-CN"/>
              </w:rPr>
              <w:t>生活污水经厂区化粪池处理，化粪池定期清掏，不外排</w:t>
            </w:r>
          </w:p>
        </w:tc>
        <w:tc>
          <w:tcPr>
            <w:tcW w:w="2518" w:type="dxa"/>
            <w:tcBorders>
              <w:top w:val="single" w:color="auto" w:sz="4" w:space="0"/>
              <w:left w:val="single" w:color="auto" w:sz="4" w:space="0"/>
              <w:right w:val="single" w:color="auto" w:sz="8" w:space="0"/>
            </w:tcBorders>
            <w:shd w:val="clear" w:color="auto" w:fill="auto"/>
            <w:vAlign w:val="center"/>
          </w:tcPr>
          <w:p w14:paraId="4665D09B">
            <w:pPr>
              <w:adjustRightInd w:val="0"/>
              <w:snapToGrid w:val="0"/>
              <w:spacing w:line="320" w:lineRule="exact"/>
              <w:jc w:val="center"/>
              <w:rPr>
                <w:rFonts w:hint="eastAsia" w:ascii="Times New Roman" w:hAnsi="Times New Roman" w:eastAsia="宋体" w:cs="Times New Roman"/>
                <w:color w:val="auto"/>
                <w:szCs w:val="21"/>
                <w:lang w:val="en-US" w:eastAsia="zh-CN"/>
              </w:rPr>
            </w:pPr>
            <w:r>
              <w:rPr>
                <w:rFonts w:hint="eastAsia"/>
                <w:color w:val="auto"/>
              </w:rPr>
              <w:t>不外排</w:t>
            </w:r>
          </w:p>
        </w:tc>
      </w:tr>
      <w:tr w14:paraId="1A972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3FB31520">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声环境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340D52E7">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厂界</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2F674950">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Leq</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5C73C8FD">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选用低噪声设备，基础减振、厂房隔声等降噪措施；设备定期维护和保养</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2E0546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《工业企业厂界环境噪声排放标准》（GB12348-2008）中</w:t>
            </w:r>
            <w:r>
              <w:rPr>
                <w:rFonts w:hint="eastAsia" w:ascii="Times New Roman" w:hAnsi="Times New Roman" w:eastAsia="宋体" w:cs="Times New Roman"/>
                <w:color w:val="auto"/>
                <w:spacing w:val="-4"/>
                <w:szCs w:val="21"/>
                <w:lang w:val="en-US" w:eastAsia="zh-CN"/>
              </w:rPr>
              <w:t>2</w:t>
            </w:r>
            <w:r>
              <w:rPr>
                <w:rFonts w:hint="default" w:ascii="Times New Roman" w:hAnsi="Times New Roman" w:eastAsia="宋体" w:cs="Times New Roman"/>
                <w:color w:val="auto"/>
                <w:spacing w:val="-4"/>
                <w:szCs w:val="21"/>
              </w:rPr>
              <w:t>类标准</w:t>
            </w:r>
          </w:p>
        </w:tc>
      </w:tr>
      <w:tr w14:paraId="5CE6D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1ED33965">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电磁辐射</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4B976A1D">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715F8B27">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3C686C8A">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93BAF4C">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14:paraId="6A90A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77781BBD">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固体废物</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9D27A9A">
            <w:pPr>
              <w:pStyle w:val="108"/>
              <w:spacing w:line="288" w:lineRule="auto"/>
              <w:ind w:firstLine="0" w:firstLineChars="0"/>
              <w:jc w:val="left"/>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一</w:t>
            </w:r>
            <w:r>
              <w:rPr>
                <w:rFonts w:hint="default" w:ascii="Times New Roman" w:hAnsi="Times New Roman" w:eastAsia="宋体" w:cs="Times New Roman"/>
                <w:color w:val="auto"/>
                <w:sz w:val="21"/>
                <w:lang w:val="en-US" w:eastAsia="zh-CN"/>
              </w:rPr>
              <w:t>般工业固废：</w:t>
            </w:r>
            <w:r>
              <w:rPr>
                <w:rFonts w:hint="eastAsia" w:ascii="Times New Roman" w:hAnsi="Times New Roman" w:eastAsia="宋体"/>
                <w:color w:val="auto"/>
                <w:sz w:val="21"/>
                <w:szCs w:val="21"/>
                <w:highlight w:val="none"/>
                <w:lang w:eastAsia="zh-CN"/>
              </w:rPr>
              <w:t>废边角料经低速断料机剪切后回用于生产，不合格品及退货订单产品经粉碎机粉碎后回用于生产；布袋除尘器收集尘、废布袋、</w:t>
            </w:r>
            <w:r>
              <w:rPr>
                <w:rFonts w:ascii="Times New Roman" w:hAnsi="Times New Roman" w:eastAsia="宋体"/>
                <w:color w:val="auto"/>
                <w:sz w:val="21"/>
                <w:szCs w:val="21"/>
                <w:highlight w:val="none"/>
              </w:rPr>
              <w:t>废包装</w:t>
            </w:r>
            <w:r>
              <w:rPr>
                <w:rFonts w:hint="eastAsia" w:ascii="Times New Roman" w:hAnsi="Times New Roman" w:eastAsia="宋体"/>
                <w:color w:val="auto"/>
                <w:sz w:val="21"/>
                <w:szCs w:val="21"/>
                <w:highlight w:val="none"/>
                <w:lang w:eastAsia="zh-CN"/>
              </w:rPr>
              <w:t>物</w:t>
            </w:r>
            <w:r>
              <w:rPr>
                <w:rFonts w:ascii="Times New Roman" w:hAnsi="Times New Roman" w:eastAsia="宋体"/>
                <w:color w:val="auto"/>
                <w:sz w:val="21"/>
                <w:szCs w:val="21"/>
                <w:highlight w:val="none"/>
              </w:rPr>
              <w:t>外售综合利用</w:t>
            </w:r>
            <w:r>
              <w:rPr>
                <w:rFonts w:hint="eastAsia" w:ascii="Times New Roman" w:hAnsi="Times New Roman" w:eastAsia="宋体"/>
                <w:color w:val="auto"/>
                <w:sz w:val="21"/>
                <w:szCs w:val="21"/>
                <w:highlight w:val="none"/>
              </w:rPr>
              <w:t>；</w:t>
            </w:r>
          </w:p>
          <w:p w14:paraId="305D6B4B">
            <w:pPr>
              <w:pStyle w:val="108"/>
              <w:spacing w:line="288" w:lineRule="auto"/>
              <w:ind w:firstLine="0" w:firstLineChars="0"/>
              <w:jc w:val="left"/>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危险废物：</w:t>
            </w:r>
            <w:r>
              <w:rPr>
                <w:rFonts w:hint="eastAsia" w:ascii="Times New Roman" w:hAnsi="Times New Roman" w:eastAsia="宋体" w:cs="Times New Roman"/>
                <w:color w:val="auto"/>
                <w:sz w:val="21"/>
                <w:lang w:val="en-US" w:eastAsia="zh-CN"/>
              </w:rPr>
              <w:t>废机油、废机油桶、</w:t>
            </w:r>
            <w:r>
              <w:rPr>
                <w:rFonts w:hint="eastAsia" w:ascii="Times New Roman" w:hAnsi="Times New Roman" w:eastAsia="宋体"/>
                <w:color w:val="auto"/>
                <w:sz w:val="21"/>
                <w:szCs w:val="21"/>
                <w:highlight w:val="none"/>
              </w:rPr>
              <w:t>废活性炭、</w:t>
            </w:r>
            <w:r>
              <w:rPr>
                <w:rFonts w:hint="eastAsia" w:ascii="Times New Roman" w:hAnsi="Times New Roman" w:eastAsia="宋体"/>
                <w:color w:val="auto"/>
                <w:sz w:val="21"/>
                <w:szCs w:val="21"/>
                <w:highlight w:val="none"/>
                <w:lang w:eastAsia="zh-CN"/>
              </w:rPr>
              <w:t>废催化剂</w:t>
            </w:r>
            <w:r>
              <w:rPr>
                <w:rFonts w:hint="default" w:ascii="Times New Roman" w:hAnsi="Times New Roman" w:eastAsia="宋体" w:cs="Times New Roman"/>
                <w:color w:val="auto"/>
                <w:sz w:val="21"/>
                <w:lang w:val="en-US" w:eastAsia="zh-CN"/>
              </w:rPr>
              <w:t>暂存于危废间，定期交有资质单位处理；</w:t>
            </w:r>
          </w:p>
          <w:p w14:paraId="2BC7E943">
            <w:pPr>
              <w:pStyle w:val="108"/>
              <w:spacing w:line="288" w:lineRule="auto"/>
              <w:ind w:firstLine="0" w:firstLineChars="0"/>
              <w:rPr>
                <w:rFonts w:hint="default" w:ascii="Times New Roman" w:hAnsi="Times New Roman" w:eastAsia="宋体" w:cs="Times New Roman"/>
                <w:color w:val="auto"/>
                <w:sz w:val="21"/>
              </w:rPr>
            </w:pPr>
            <w:r>
              <w:rPr>
                <w:rFonts w:hint="default" w:ascii="Times New Roman" w:hAnsi="Times New Roman" w:eastAsia="宋体" w:cs="Times New Roman"/>
                <w:color w:val="auto"/>
                <w:sz w:val="21"/>
                <w:lang w:val="en-US" w:eastAsia="zh-CN"/>
              </w:rPr>
              <w:t>生活垃圾：</w:t>
            </w:r>
            <w:r>
              <w:rPr>
                <w:rFonts w:hint="default" w:ascii="Times New Roman" w:hAnsi="Times New Roman" w:eastAsia="宋体" w:cs="Times New Roman"/>
                <w:color w:val="auto"/>
                <w:sz w:val="21"/>
              </w:rPr>
              <w:t>生活垃圾交由当地环卫部门统一清运处理。</w:t>
            </w:r>
          </w:p>
        </w:tc>
      </w:tr>
      <w:tr w14:paraId="179C7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62DD5A5F">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土壤及地下水污染防治措施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00AE837">
            <w:pPr>
              <w:pStyle w:val="69"/>
              <w:spacing w:line="320" w:lineRule="exact"/>
              <w:ind w:firstLine="0" w:firstLineChars="0"/>
              <w:jc w:val="left"/>
              <w:rPr>
                <w:rFonts w:hint="default" w:ascii="Times New Roman" w:hAnsi="Times New Roman" w:cs="Times New Roman"/>
                <w:color w:val="auto"/>
                <w:sz w:val="21"/>
                <w:szCs w:val="21"/>
              </w:rPr>
            </w:pPr>
            <w:r>
              <w:rPr>
                <w:rFonts w:ascii="Times New Roman" w:hAnsi="Times New Roman"/>
                <w:color w:val="auto"/>
                <w:sz w:val="21"/>
                <w:szCs w:val="21"/>
              </w:rPr>
              <w:t>厂区采取分区防渗措施，危废暂存间为重点防渗区， 防渗效果达到等效黏 土防渗层</w:t>
            </w:r>
            <w:r>
              <w:rPr>
                <w:rFonts w:ascii="Times New Roman" w:hAnsi="Times New Roman" w:eastAsia="Times New Roman"/>
                <w:color w:val="auto"/>
                <w:sz w:val="21"/>
                <w:szCs w:val="21"/>
              </w:rPr>
              <w:t xml:space="preserve">Mb≥6.0m </w:t>
            </w:r>
            <w:r>
              <w:rPr>
                <w:rFonts w:ascii="Times New Roman" w:hAnsi="Times New Roman"/>
                <w:color w:val="auto"/>
                <w:sz w:val="21"/>
                <w:szCs w:val="21"/>
              </w:rPr>
              <w:t>，</w:t>
            </w:r>
            <w:r>
              <w:rPr>
                <w:rFonts w:ascii="Times New Roman" w:hAnsi="Times New Roman" w:eastAsia="Times New Roman"/>
                <w:color w:val="auto"/>
                <w:sz w:val="21"/>
                <w:szCs w:val="21"/>
              </w:rPr>
              <w:t>K≤1×10</w:t>
            </w:r>
            <w:r>
              <w:rPr>
                <w:rFonts w:ascii="Times New Roman" w:hAnsi="Times New Roman"/>
                <w:color w:val="auto"/>
                <w:sz w:val="21"/>
                <w:szCs w:val="21"/>
                <w:vertAlign w:val="superscript"/>
              </w:rPr>
              <w:t>-10</w:t>
            </w:r>
            <w:r>
              <w:rPr>
                <w:rFonts w:ascii="Times New Roman" w:hAnsi="Times New Roman" w:eastAsia="Times New Roman"/>
                <w:color w:val="auto"/>
                <w:sz w:val="21"/>
                <w:szCs w:val="21"/>
              </w:rPr>
              <w:t>cm/s</w:t>
            </w:r>
            <w:r>
              <w:rPr>
                <w:rFonts w:ascii="Times New Roman" w:hAnsi="Times New Roman"/>
                <w:color w:val="auto"/>
                <w:sz w:val="21"/>
                <w:szCs w:val="21"/>
              </w:rPr>
              <w:t>；生产区</w:t>
            </w:r>
            <w:r>
              <w:rPr>
                <w:rFonts w:hint="eastAsia" w:ascii="Times New Roman" w:hAnsi="Times New Roman"/>
                <w:color w:val="auto"/>
                <w:sz w:val="21"/>
                <w:szCs w:val="21"/>
                <w:lang w:eastAsia="zh-CN"/>
              </w:rPr>
              <w:t>、原料存放区、产品存放区</w:t>
            </w:r>
            <w:r>
              <w:rPr>
                <w:rFonts w:ascii="Times New Roman" w:hAnsi="Times New Roman"/>
                <w:color w:val="auto"/>
                <w:sz w:val="21"/>
                <w:szCs w:val="21"/>
              </w:rPr>
              <w:t>为一般防渗区，防渗效果 达到等效黏土防渗层</w:t>
            </w:r>
            <w:r>
              <w:rPr>
                <w:rFonts w:ascii="Times New Roman" w:hAnsi="Times New Roman" w:eastAsia="Times New Roman"/>
                <w:color w:val="auto"/>
                <w:sz w:val="21"/>
                <w:szCs w:val="21"/>
              </w:rPr>
              <w:t xml:space="preserve">Mb≥1.5m </w:t>
            </w:r>
            <w:r>
              <w:rPr>
                <w:rFonts w:ascii="Times New Roman" w:hAnsi="Times New Roman"/>
                <w:color w:val="auto"/>
                <w:sz w:val="21"/>
                <w:szCs w:val="21"/>
              </w:rPr>
              <w:t>，</w:t>
            </w:r>
            <w:r>
              <w:rPr>
                <w:rFonts w:ascii="Times New Roman" w:hAnsi="Times New Roman" w:eastAsia="Times New Roman"/>
                <w:color w:val="auto"/>
                <w:sz w:val="21"/>
                <w:szCs w:val="21"/>
              </w:rPr>
              <w:t>K≤1×10</w:t>
            </w:r>
            <w:r>
              <w:rPr>
                <w:rFonts w:ascii="Times New Roman" w:hAnsi="Times New Roman"/>
                <w:color w:val="auto"/>
                <w:sz w:val="21"/>
                <w:szCs w:val="21"/>
                <w:vertAlign w:val="superscript"/>
              </w:rPr>
              <w:t>-7</w:t>
            </w:r>
            <w:r>
              <w:rPr>
                <w:rFonts w:ascii="Times New Roman" w:hAnsi="Times New Roman" w:eastAsia="Times New Roman"/>
                <w:color w:val="auto"/>
                <w:sz w:val="21"/>
                <w:szCs w:val="21"/>
              </w:rPr>
              <w:t>cm/s</w:t>
            </w:r>
            <w:r>
              <w:rPr>
                <w:rFonts w:ascii="Times New Roman" w:hAnsi="Times New Roman"/>
                <w:color w:val="auto"/>
                <w:sz w:val="21"/>
                <w:szCs w:val="21"/>
              </w:rPr>
              <w:t>要求； 办公区为简单防渗区， 采用水泥硬化。</w:t>
            </w:r>
          </w:p>
        </w:tc>
      </w:tr>
      <w:tr w14:paraId="2ABE9C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07188AB4">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生态保护措施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53BA2495">
            <w:pPr>
              <w:adjustRightInd w:val="0"/>
              <w:snapToGrid w:val="0"/>
              <w:spacing w:line="320" w:lineRule="exact"/>
              <w:jc w:val="left"/>
              <w:rPr>
                <w:rFonts w:hint="default" w:ascii="Times New Roman" w:hAnsi="Times New Roman" w:eastAsia="宋体" w:cs="Times New Roman"/>
                <w:color w:val="auto"/>
                <w:szCs w:val="21"/>
              </w:rPr>
            </w:pPr>
            <w:r>
              <w:rPr>
                <w:rFonts w:hint="default" w:ascii="Times New Roman" w:hAnsi="Times New Roman" w:cs="Times New Roman"/>
                <w:color w:val="auto"/>
              </w:rPr>
              <w:t>无</w:t>
            </w:r>
          </w:p>
        </w:tc>
      </w:tr>
      <w:tr w14:paraId="0FD29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5A025774">
            <w:pPr>
              <w:adjustRightInd w:val="0"/>
              <w:snapToGrid w:val="0"/>
              <w:spacing w:line="320" w:lineRule="exact"/>
              <w:jc w:val="center"/>
              <w:rPr>
                <w:rFonts w:hint="default" w:ascii="Times New Roman" w:hAnsi="Times New Roman" w:eastAsia="宋体" w:cs="Times New Roman"/>
                <w:color w:val="000000" w:themeColor="text1"/>
                <w:spacing w:val="-8"/>
                <w:szCs w:val="21"/>
                <w14:textFill>
                  <w14:solidFill>
                    <w14:schemeClr w14:val="tx1"/>
                  </w14:solidFill>
                </w14:textFill>
              </w:rPr>
            </w:pPr>
            <w:r>
              <w:rPr>
                <w:rFonts w:hint="default" w:ascii="Times New Roman" w:hAnsi="Times New Roman" w:eastAsia="宋体" w:cs="Times New Roman"/>
                <w:color w:val="000000" w:themeColor="text1"/>
                <w:spacing w:val="-8"/>
                <w:szCs w:val="21"/>
                <w:lang w:bidi="ar"/>
                <w14:textFill>
                  <w14:solidFill>
                    <w14:schemeClr w14:val="tx1"/>
                  </w14:solidFill>
                </w14:textFill>
              </w:rPr>
              <w:t>环境风险</w:t>
            </w:r>
          </w:p>
          <w:p w14:paraId="5DCA1BEF">
            <w:pPr>
              <w:adjustRightInd w:val="0"/>
              <w:snapToGrid w:val="0"/>
              <w:spacing w:line="320" w:lineRule="exact"/>
              <w:jc w:val="center"/>
              <w:rPr>
                <w:rFonts w:hint="default" w:ascii="Times New Roman" w:hAnsi="Times New Roman" w:eastAsia="宋体" w:cs="Times New Roman"/>
                <w:color w:val="000000" w:themeColor="text1"/>
                <w:spacing w:val="-8"/>
                <w:szCs w:val="21"/>
                <w14:textFill>
                  <w14:solidFill>
                    <w14:schemeClr w14:val="tx1"/>
                  </w14:solidFill>
                </w14:textFill>
              </w:rPr>
            </w:pPr>
            <w:r>
              <w:rPr>
                <w:rFonts w:hint="default" w:ascii="Times New Roman" w:hAnsi="Times New Roman" w:eastAsia="宋体" w:cs="Times New Roman"/>
                <w:color w:val="000000" w:themeColor="text1"/>
                <w:spacing w:val="-8"/>
                <w:szCs w:val="21"/>
                <w:lang w:bidi="ar"/>
                <w14:textFill>
                  <w14:solidFill>
                    <w14:schemeClr w14:val="tx1"/>
                  </w14:solidFill>
                </w14:textFill>
              </w:rPr>
              <w:t>防范措施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002185F0">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1）火灾风险防范措施 </w:t>
            </w:r>
          </w:p>
          <w:p w14:paraId="01724A1C">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①危废间</w:t>
            </w:r>
            <w:r>
              <w:rPr>
                <w:rFonts w:hint="eastAsia" w:ascii="Times New Roman" w:hAnsi="Times New Roman"/>
                <w:color w:val="auto"/>
                <w:sz w:val="21"/>
                <w:szCs w:val="21"/>
              </w:rPr>
              <w:t>和车间</w:t>
            </w:r>
            <w:r>
              <w:rPr>
                <w:rFonts w:ascii="Times New Roman" w:hAnsi="Times New Roman"/>
                <w:color w:val="auto"/>
                <w:sz w:val="21"/>
                <w:szCs w:val="21"/>
              </w:rPr>
              <w:t xml:space="preserve">附近的区域设置灭火器、消火栓等。配备经过培训的专兼职消防人员，并做好防尘、防雨、防渗、防腐“四防”措施，避免渗漏引发火灾。 </w:t>
            </w:r>
          </w:p>
          <w:p w14:paraId="1B0B332C">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4229E2E6">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③严格遵守相关法律法规及行业标准，严格按照岗位操作规程作业。 </w:t>
            </w:r>
          </w:p>
          <w:p w14:paraId="4CA9F586">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④企业应定期检查消防水枪、灭火器等设施设备是否完好。同时各类作业人员还应按规定配备必要的劳动防护用品。</w:t>
            </w:r>
          </w:p>
          <w:p w14:paraId="3D85E198">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2）危废贮存间风险防范措施</w:t>
            </w:r>
          </w:p>
          <w:p w14:paraId="2E19D00E">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危险废物的收集、暂存等过程中存在一定的风险，为保证项目产生的危险废物得到有效处置，使其风险减小到最小程度，项目采取以下风险防范措施：</w:t>
            </w:r>
          </w:p>
          <w:p w14:paraId="62295473">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color w:val="auto"/>
                <w:sz w:val="21"/>
                <w:szCs w:val="21"/>
              </w:rPr>
              <w:t>5</w:t>
            </w:r>
            <w:r>
              <w:rPr>
                <w:rFonts w:ascii="Times New Roman" w:hAnsi="Times New Roman"/>
                <w:color w:val="auto"/>
                <w:sz w:val="21"/>
                <w:szCs w:val="21"/>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0A3A2E3C">
            <w:pPr>
              <w:spacing w:line="40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3）废气治理设施风险防范措施</w:t>
            </w:r>
          </w:p>
          <w:p w14:paraId="061C85B7">
            <w:pPr>
              <w:spacing w:line="40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设专人管理及监控，领导定期检查运行情况和检查、维修设备的配备情况。</w:t>
            </w:r>
          </w:p>
          <w:p w14:paraId="5C4207BF">
            <w:pPr>
              <w:spacing w:line="40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①管理人员应熟悉废气治理设施的原理、性能、使用条件，掌握维修方法。</w:t>
            </w:r>
          </w:p>
          <w:p w14:paraId="39CA53E8">
            <w:pPr>
              <w:spacing w:line="40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②环保设备需要定时的清理和维护，维护周期需要根据生产操作环境和设备工作时间确定。</w:t>
            </w:r>
          </w:p>
          <w:p w14:paraId="2B540576">
            <w:pPr>
              <w:spacing w:line="400" w:lineRule="exact"/>
              <w:ind w:firstLine="420" w:firstLineChars="200"/>
              <w:rPr>
                <w:rFonts w:hint="eastAsia" w:ascii="Times New Roman" w:hAnsi="Times New Roman"/>
                <w:color w:val="auto"/>
                <w:sz w:val="21"/>
                <w:szCs w:val="21"/>
                <w:lang w:eastAsia="zh-CN"/>
              </w:rPr>
            </w:pPr>
            <w:r>
              <w:rPr>
                <w:rFonts w:hint="eastAsia" w:ascii="Times New Roman" w:hAnsi="Times New Roman"/>
                <w:color w:val="auto"/>
                <w:sz w:val="21"/>
                <w:szCs w:val="21"/>
              </w:rPr>
              <w:t>③针对生产时间密集阶段，操作人员需要自行调整设备维护周期和方式。发生故障后立即停止生产作业</w:t>
            </w:r>
            <w:r>
              <w:rPr>
                <w:rFonts w:hint="eastAsia" w:ascii="Times New Roman" w:hAnsi="Times New Roman"/>
                <w:color w:val="auto"/>
                <w:sz w:val="21"/>
                <w:szCs w:val="21"/>
                <w:lang w:eastAsia="zh-CN"/>
              </w:rPr>
              <w:t>。</w:t>
            </w:r>
          </w:p>
          <w:p w14:paraId="41F9E798">
            <w:pPr>
              <w:spacing w:line="40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④对故障废气设备进行维修，停止生产，发现严重超标时，立即通知运行人员立即通知总经理，实施部分停工或减少废气排放，并迅速调查清楚超标原因。</w:t>
            </w:r>
          </w:p>
          <w:p w14:paraId="4C0BBFA7">
            <w:pPr>
              <w:spacing w:line="400" w:lineRule="exact"/>
              <w:ind w:firstLine="420" w:firstLineChars="200"/>
              <w:rPr>
                <w:rFonts w:hint="default" w:ascii="Times New Roman" w:hAnsi="Times New Roman" w:cs="Times New Roman"/>
                <w:color w:val="auto"/>
                <w:szCs w:val="21"/>
              </w:rPr>
            </w:pPr>
            <w:r>
              <w:rPr>
                <w:rFonts w:ascii="Times New Roman" w:hAnsi="Times New Roman"/>
                <w:color w:val="auto"/>
                <w:sz w:val="21"/>
                <w:szCs w:val="21"/>
              </w:rPr>
              <w:t>采用以上措施后，可有效降低风险源处存在的潜在风险</w:t>
            </w:r>
            <w:r>
              <w:rPr>
                <w:rFonts w:hint="default" w:ascii="Times New Roman" w:hAnsi="Times New Roman"/>
                <w:color w:val="auto"/>
                <w:sz w:val="21"/>
                <w:szCs w:val="21"/>
              </w:rPr>
              <w:t>。</w:t>
            </w:r>
          </w:p>
        </w:tc>
      </w:tr>
      <w:tr w14:paraId="7E2F8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242" w:type="dxa"/>
            <w:tcBorders>
              <w:top w:val="single" w:color="auto" w:sz="4" w:space="0"/>
              <w:left w:val="single" w:color="auto" w:sz="8" w:space="0"/>
              <w:bottom w:val="single" w:color="auto" w:sz="8" w:space="0"/>
              <w:right w:val="single" w:color="auto" w:sz="4" w:space="0"/>
            </w:tcBorders>
            <w:shd w:val="clear" w:color="auto" w:fill="auto"/>
            <w:vAlign w:val="center"/>
          </w:tcPr>
          <w:p w14:paraId="15673501">
            <w:pPr>
              <w:adjustRightInd w:val="0"/>
              <w:snapToGrid w:val="0"/>
              <w:spacing w:line="320" w:lineRule="exact"/>
              <w:jc w:val="center"/>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lang w:bidi="ar"/>
                <w14:textFill>
                  <w14:solidFill>
                    <w14:schemeClr w14:val="tx1"/>
                  </w14:solidFill>
                </w14:textFill>
              </w:rPr>
              <w:t>其他环境</w:t>
            </w:r>
          </w:p>
          <w:p w14:paraId="411A2810">
            <w:pPr>
              <w:adjustRightInd w:val="0"/>
              <w:snapToGrid w:val="0"/>
              <w:spacing w:line="320" w:lineRule="exact"/>
              <w:jc w:val="center"/>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lang w:bidi="ar"/>
                <w14:textFill>
                  <w14:solidFill>
                    <w14:schemeClr w14:val="tx1"/>
                  </w14:solidFill>
                </w14:textFill>
              </w:rPr>
              <w:t>管理要求</w:t>
            </w:r>
          </w:p>
        </w:tc>
        <w:tc>
          <w:tcPr>
            <w:tcW w:w="8223" w:type="dxa"/>
            <w:gridSpan w:val="4"/>
            <w:tcBorders>
              <w:top w:val="single" w:color="auto" w:sz="4" w:space="0"/>
              <w:left w:val="single" w:color="auto" w:sz="4" w:space="0"/>
              <w:bottom w:val="single" w:color="auto" w:sz="8" w:space="0"/>
              <w:right w:val="single" w:color="auto" w:sz="8" w:space="0"/>
            </w:tcBorders>
            <w:shd w:val="clear" w:color="auto" w:fill="auto"/>
            <w:vAlign w:val="center"/>
          </w:tcPr>
          <w:p w14:paraId="39B65089">
            <w:pPr>
              <w:adjustRightInd w:val="0"/>
              <w:snapToGrid w:val="0"/>
              <w:spacing w:line="400" w:lineRule="exact"/>
              <w:jc w:val="left"/>
              <w:rPr>
                <w:rFonts w:ascii="Times New Roman" w:hAnsi="Times New Roman" w:eastAsia="宋体" w:cs="Times New Roman"/>
                <w:color w:val="auto"/>
                <w:sz w:val="21"/>
                <w:szCs w:val="21"/>
              </w:rPr>
            </w:pPr>
            <w:r>
              <w:rPr>
                <w:rFonts w:hint="default" w:ascii="Times New Roman" w:hAnsi="Times New Roman" w:cs="Times New Roman"/>
                <w:b/>
                <w:bCs/>
                <w:color w:val="000000" w:themeColor="text1"/>
                <w:szCs w:val="18"/>
                <w:highlight w:val="none"/>
                <w14:textFill>
                  <w14:solidFill>
                    <w14:schemeClr w14:val="tx1"/>
                  </w14:solidFill>
                </w14:textFill>
              </w:rPr>
              <w:t>排污口规范化管理：</w:t>
            </w:r>
            <w:r>
              <w:rPr>
                <w:rFonts w:ascii="Times New Roman" w:hAnsi="Times New Roman" w:eastAsia="宋体" w:cs="Times New Roman"/>
                <w:color w:val="auto"/>
                <w:sz w:val="21"/>
                <w:szCs w:val="21"/>
              </w:rPr>
              <w:t>根据《关于开展排放口规范化整治工作的通知》（环发[1999]24号），为进一步强化对污染源的现场监督管理及更好的落实污染物总量控制的要求，规定一切新建、扩建、改造和限期治理的排污单位必须在建设污染源治理实施的同时建设规范化排污口，并作为落实环境保护“三同时”制度的必要组成部分和项目验收内容之一。排污口规范化的技术要求如下：</w:t>
            </w:r>
          </w:p>
          <w:p w14:paraId="0F95D50B">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1）如实向环保管理部门申报所排放的主要污染物种类、数量、浓度、排放去向等情况。</w:t>
            </w:r>
          </w:p>
          <w:p w14:paraId="27B69100">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2）按照《环境保护图形标志——排放口（源）》（GB15562.1-1995）的规定，排放口应设置相应的环保图形标志牌。</w:t>
            </w:r>
          </w:p>
          <w:p w14:paraId="4736C9F3">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3）填写由国家环保总局统一印制的《中华人民共和国规范化排污口标志登记证》，并根据登记证的内容建立排污口管理档案。</w:t>
            </w:r>
          </w:p>
          <w:p w14:paraId="2DF7A6AD">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4）规范化排污口有关设施属环境保护设施，企业要将其纳入本公司设备管理，并选派责任心强、有专业知识和技能的专业或兼职人员对排污口进行管理。</w:t>
            </w:r>
          </w:p>
          <w:p w14:paraId="43900BBF">
            <w:pPr>
              <w:adjustRightInd w:val="0"/>
              <w:snapToGrid w:val="0"/>
              <w:spacing w:line="400" w:lineRule="exact"/>
              <w:jc w:val="center"/>
              <w:rPr>
                <w:rFonts w:ascii="Times New Roman" w:hAnsi="Times New Roman" w:eastAsia="宋体" w:cs="Times New Roman"/>
                <w:b/>
                <w:bCs/>
                <w:color w:val="auto"/>
                <w:szCs w:val="21"/>
              </w:rPr>
            </w:pPr>
          </w:p>
          <w:p w14:paraId="53DB117E">
            <w:pPr>
              <w:adjustRightInd w:val="0"/>
              <w:snapToGrid w:val="0"/>
              <w:spacing w:line="400" w:lineRule="exac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表</w:t>
            </w:r>
            <w:r>
              <w:rPr>
                <w:rFonts w:hint="eastAsia" w:ascii="Times New Roman" w:hAnsi="Times New Roman" w:eastAsia="宋体" w:cs="Times New Roman"/>
                <w:b/>
                <w:bCs/>
                <w:color w:val="auto"/>
                <w:szCs w:val="21"/>
                <w:lang w:val="en-US" w:eastAsia="zh-CN"/>
              </w:rPr>
              <w:t>5-1</w:t>
            </w:r>
            <w:r>
              <w:rPr>
                <w:rFonts w:ascii="Times New Roman" w:hAnsi="Times New Roman" w:eastAsia="宋体" w:cs="Times New Roman"/>
                <w:b/>
                <w:bCs/>
                <w:color w:val="auto"/>
                <w:szCs w:val="21"/>
              </w:rPr>
              <w:t xml:space="preserve">  排放口标志一览表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0" w:type="dxa"/>
                <w:right w:w="108" w:type="dxa"/>
              </w:tblCellMar>
            </w:tblPr>
            <w:tblGrid>
              <w:gridCol w:w="1449"/>
              <w:gridCol w:w="1178"/>
              <w:gridCol w:w="2265"/>
              <w:gridCol w:w="3099"/>
            </w:tblGrid>
            <w:tr w14:paraId="265278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378" w:hRule="atLeast"/>
                <w:jc w:val="center"/>
              </w:trPr>
              <w:tc>
                <w:tcPr>
                  <w:tcW w:w="906" w:type="pct"/>
                  <w:tcBorders>
                    <w:top w:val="single" w:color="auto" w:sz="4" w:space="0"/>
                    <w:left w:val="single" w:color="auto" w:sz="4" w:space="0"/>
                    <w:bottom w:val="single" w:color="auto" w:sz="6" w:space="0"/>
                    <w:right w:val="single" w:color="auto" w:sz="6" w:space="0"/>
                  </w:tcBorders>
                  <w:noWrap w:val="0"/>
                  <w:vAlign w:val="center"/>
                </w:tcPr>
                <w:p w14:paraId="769FDFB5">
                  <w:pPr>
                    <w:snapToGrid w:val="0"/>
                    <w:jc w:val="center"/>
                    <w:rPr>
                      <w:rFonts w:ascii="Calibri" w:hAnsi="Calibri" w:eastAsia="宋体" w:cs="Times New Roman"/>
                      <w:color w:val="auto"/>
                      <w:szCs w:val="21"/>
                    </w:rPr>
                  </w:pPr>
                  <w:r>
                    <w:rPr>
                      <w:rFonts w:ascii="Calibri" w:hAnsi="Calibri" w:eastAsia="宋体" w:cs="Times New Roman"/>
                      <w:color w:val="auto"/>
                      <w:szCs w:val="21"/>
                    </w:rPr>
                    <w:t>排放口名称</w:t>
                  </w:r>
                </w:p>
              </w:tc>
              <w:tc>
                <w:tcPr>
                  <w:tcW w:w="737" w:type="pct"/>
                  <w:tcBorders>
                    <w:top w:val="single" w:color="auto" w:sz="4" w:space="0"/>
                    <w:left w:val="single" w:color="auto" w:sz="6" w:space="0"/>
                    <w:bottom w:val="single" w:color="auto" w:sz="6" w:space="0"/>
                    <w:right w:val="single" w:color="auto" w:sz="6" w:space="0"/>
                  </w:tcBorders>
                  <w:noWrap w:val="0"/>
                  <w:vAlign w:val="center"/>
                </w:tcPr>
                <w:p w14:paraId="1601B6A0">
                  <w:pPr>
                    <w:snapToGrid w:val="0"/>
                    <w:jc w:val="center"/>
                    <w:rPr>
                      <w:rFonts w:ascii="Calibri" w:hAnsi="Calibri" w:eastAsia="宋体" w:cs="Times New Roman"/>
                      <w:color w:val="auto"/>
                      <w:szCs w:val="21"/>
                    </w:rPr>
                  </w:pPr>
                  <w:r>
                    <w:rPr>
                      <w:rFonts w:ascii="Calibri" w:hAnsi="Calibri" w:eastAsia="宋体" w:cs="Times New Roman"/>
                      <w:color w:val="auto"/>
                      <w:szCs w:val="21"/>
                    </w:rPr>
                    <w:t>编号示例</w:t>
                  </w:r>
                </w:p>
              </w:tc>
              <w:tc>
                <w:tcPr>
                  <w:tcW w:w="1417" w:type="pct"/>
                  <w:tcBorders>
                    <w:top w:val="single" w:color="auto" w:sz="4" w:space="0"/>
                    <w:left w:val="single" w:color="auto" w:sz="6" w:space="0"/>
                    <w:bottom w:val="single" w:color="auto" w:sz="6" w:space="0"/>
                    <w:right w:val="single" w:color="auto" w:sz="6" w:space="0"/>
                  </w:tcBorders>
                  <w:noWrap w:val="0"/>
                  <w:vAlign w:val="center"/>
                </w:tcPr>
                <w:p w14:paraId="15E29469">
                  <w:pPr>
                    <w:snapToGrid w:val="0"/>
                    <w:jc w:val="center"/>
                    <w:rPr>
                      <w:rFonts w:ascii="Calibri" w:hAnsi="Calibri" w:eastAsia="宋体" w:cs="Times New Roman"/>
                      <w:color w:val="auto"/>
                      <w:szCs w:val="21"/>
                    </w:rPr>
                  </w:pPr>
                  <w:r>
                    <w:rPr>
                      <w:rFonts w:ascii="Calibri" w:hAnsi="Calibri" w:eastAsia="宋体" w:cs="Times New Roman"/>
                      <w:color w:val="auto"/>
                      <w:szCs w:val="21"/>
                    </w:rPr>
                    <w:t>图形标志</w:t>
                  </w:r>
                </w:p>
              </w:tc>
              <w:tc>
                <w:tcPr>
                  <w:tcW w:w="1939" w:type="pct"/>
                  <w:tcBorders>
                    <w:top w:val="single" w:color="auto" w:sz="4" w:space="0"/>
                    <w:left w:val="single" w:color="auto" w:sz="6" w:space="0"/>
                    <w:bottom w:val="single" w:color="auto" w:sz="6" w:space="0"/>
                    <w:right w:val="single" w:color="auto" w:sz="4" w:space="0"/>
                  </w:tcBorders>
                  <w:noWrap w:val="0"/>
                  <w:vAlign w:val="center"/>
                </w:tcPr>
                <w:p w14:paraId="378595FB">
                  <w:pPr>
                    <w:snapToGrid w:val="0"/>
                    <w:jc w:val="center"/>
                    <w:rPr>
                      <w:rFonts w:ascii="Calibri" w:hAnsi="Calibri" w:eastAsia="宋体" w:cs="Times New Roman"/>
                      <w:color w:val="auto"/>
                      <w:szCs w:val="21"/>
                    </w:rPr>
                  </w:pPr>
                  <w:r>
                    <w:rPr>
                      <w:rFonts w:ascii="Calibri" w:hAnsi="Calibri" w:eastAsia="宋体" w:cs="Times New Roman"/>
                      <w:color w:val="auto"/>
                      <w:szCs w:val="21"/>
                    </w:rPr>
                    <w:t>要求</w:t>
                  </w:r>
                </w:p>
              </w:tc>
            </w:tr>
            <w:tr w14:paraId="6A9111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719"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4EB4E754">
                  <w:pPr>
                    <w:snapToGrid w:val="0"/>
                    <w:jc w:val="center"/>
                    <w:rPr>
                      <w:rFonts w:ascii="Calibri" w:hAnsi="Calibri" w:eastAsia="宋体" w:cs="Times New Roman"/>
                      <w:color w:val="auto"/>
                      <w:szCs w:val="21"/>
                    </w:rPr>
                  </w:pPr>
                  <w:r>
                    <w:rPr>
                      <w:rFonts w:ascii="Calibri" w:hAnsi="Calibri" w:eastAsia="宋体" w:cs="Times New Roman"/>
                      <w:color w:val="auto"/>
                      <w:szCs w:val="21"/>
                    </w:rPr>
                    <w:t>排气筒</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6BFB270">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DA001</w:t>
                  </w:r>
                </w:p>
              </w:tc>
              <w:tc>
                <w:tcPr>
                  <w:tcW w:w="1417" w:type="pct"/>
                  <w:tcBorders>
                    <w:top w:val="single" w:color="auto" w:sz="6" w:space="0"/>
                    <w:left w:val="single" w:color="auto" w:sz="6" w:space="0"/>
                    <w:bottom w:val="single" w:color="auto" w:sz="6" w:space="0"/>
                    <w:right w:val="single" w:color="auto" w:sz="6" w:space="0"/>
                  </w:tcBorders>
                  <w:noWrap w:val="0"/>
                  <w:vAlign w:val="center"/>
                </w:tcPr>
                <w:p w14:paraId="20BF3B7C">
                  <w:pPr>
                    <w:snapToGrid w:val="0"/>
                    <w:ind w:firstLine="86"/>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63930" cy="963930"/>
                        <wp:effectExtent l="0" t="0" r="7620" b="7620"/>
                        <wp:docPr id="179" name="图片 1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1"/>
                                <pic:cNvPicPr>
                                  <a:picLocks noChangeAspect="1"/>
                                </pic:cNvPicPr>
                              </pic:nvPicPr>
                              <pic:blipFill>
                                <a:blip r:embed="rId18"/>
                                <a:stretch>
                                  <a:fillRect/>
                                </a:stretch>
                              </pic:blipFill>
                              <pic:spPr>
                                <a:xfrm>
                                  <a:off x="0" y="0"/>
                                  <a:ext cx="963930" cy="963930"/>
                                </a:xfrm>
                                <a:prstGeom prst="rect">
                                  <a:avLst/>
                                </a:prstGeom>
                                <a:noFill/>
                                <a:ln>
                                  <a:noFill/>
                                </a:ln>
                              </pic:spPr>
                            </pic:pic>
                          </a:graphicData>
                        </a:graphic>
                      </wp:inline>
                    </w:drawing>
                  </w:r>
                </w:p>
              </w:tc>
              <w:tc>
                <w:tcPr>
                  <w:tcW w:w="1939" w:type="pct"/>
                  <w:vMerge w:val="restart"/>
                  <w:tcBorders>
                    <w:top w:val="single" w:color="auto" w:sz="6" w:space="0"/>
                    <w:left w:val="single" w:color="auto" w:sz="6" w:space="0"/>
                    <w:bottom w:val="single" w:color="auto" w:sz="4" w:space="0"/>
                    <w:right w:val="single" w:color="auto" w:sz="4" w:space="0"/>
                  </w:tcBorders>
                  <w:noWrap w:val="0"/>
                  <w:vAlign w:val="center"/>
                </w:tcPr>
                <w:p w14:paraId="035FBFC4">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辅助标志内容：(1)排放口标志名称；(2)单位名称；(3)编号；(4)污染物种类； </w:t>
                  </w:r>
                </w:p>
                <w:p w14:paraId="688179A8">
                  <w:pPr>
                    <w:adjustRightInd w:val="0"/>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t>辅助标志字型：黑体字；</w:t>
                  </w:r>
                </w:p>
                <w:p w14:paraId="51DCDB47">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标志牌尺寸：(1)提示标志：480×300mm；(2)警告标志：边长420mm；</w:t>
                  </w:r>
                </w:p>
                <w:p w14:paraId="3EE56D0E">
                  <w:pPr>
                    <w:adjustRightInd w:val="0"/>
                    <w:snapToGrid w:val="0"/>
                    <w:jc w:val="left"/>
                    <w:rPr>
                      <w:rFonts w:ascii="Calibri" w:hAnsi="Calibri" w:eastAsia="宋体" w:cs="Times New Roman"/>
                      <w:color w:val="auto"/>
                      <w:szCs w:val="21"/>
                    </w:rPr>
                  </w:pPr>
                  <w:r>
                    <w:rPr>
                      <w:rFonts w:ascii="Times New Roman" w:hAnsi="Times New Roman" w:eastAsia="宋体" w:cs="Times New Roman"/>
                      <w:color w:val="auto"/>
                      <w:szCs w:val="21"/>
                    </w:rPr>
                    <w:t>标志牌材料：1.5~2mm冷轧钢板，表面采用搪瓷或反光贴膜。</w:t>
                  </w:r>
                </w:p>
              </w:tc>
            </w:tr>
            <w:tr w14:paraId="0E1B43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45"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2194E38F">
                  <w:pPr>
                    <w:snapToGrid w:val="0"/>
                    <w:jc w:val="center"/>
                    <w:rPr>
                      <w:rFonts w:ascii="Calibri" w:hAnsi="Calibri" w:eastAsia="宋体" w:cs="Times New Roman"/>
                      <w:color w:val="auto"/>
                      <w:szCs w:val="21"/>
                    </w:rPr>
                  </w:pPr>
                  <w:r>
                    <w:rPr>
                      <w:rFonts w:ascii="Calibri" w:hAnsi="Calibri" w:eastAsia="宋体" w:cs="Times New Roman"/>
                      <w:color w:val="auto"/>
                      <w:szCs w:val="21"/>
                    </w:rPr>
                    <w:t>噪声源</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F847118">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ZS-01</w:t>
                  </w:r>
                </w:p>
              </w:tc>
              <w:tc>
                <w:tcPr>
                  <w:tcW w:w="1417" w:type="pct"/>
                  <w:tcBorders>
                    <w:top w:val="single" w:color="auto" w:sz="6" w:space="0"/>
                    <w:left w:val="single" w:color="auto" w:sz="6" w:space="0"/>
                    <w:bottom w:val="single" w:color="auto" w:sz="6" w:space="0"/>
                    <w:right w:val="single" w:color="auto" w:sz="6" w:space="0"/>
                  </w:tcBorders>
                  <w:noWrap w:val="0"/>
                  <w:vAlign w:val="center"/>
                </w:tcPr>
                <w:p w14:paraId="7212FECB">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97585" cy="997585"/>
                        <wp:effectExtent l="0" t="0" r="12065" b="12065"/>
                        <wp:docPr id="181" name="图片 13">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3"/>
                                <pic:cNvPicPr>
                                  <a:picLocks noChangeAspect="1"/>
                                </pic:cNvPicPr>
                              </pic:nvPicPr>
                              <pic:blipFill>
                                <a:blip r:embed="rId20"/>
                                <a:stretch>
                                  <a:fillRect/>
                                </a:stretch>
                              </pic:blipFill>
                              <pic:spPr>
                                <a:xfrm>
                                  <a:off x="0" y="0"/>
                                  <a:ext cx="997585" cy="997585"/>
                                </a:xfrm>
                                <a:prstGeom prst="rect">
                                  <a:avLst/>
                                </a:prstGeom>
                                <a:noFill/>
                                <a:ln>
                                  <a:noFill/>
                                </a:ln>
                              </pic:spPr>
                            </pic:pic>
                          </a:graphicData>
                        </a:graphic>
                      </wp:inline>
                    </w:drawing>
                  </w:r>
                </w:p>
              </w:tc>
              <w:tc>
                <w:tcPr>
                  <w:tcW w:w="1939" w:type="pct"/>
                  <w:vMerge w:val="continue"/>
                  <w:tcBorders>
                    <w:top w:val="single" w:color="auto" w:sz="6" w:space="0"/>
                    <w:left w:val="single" w:color="auto" w:sz="6" w:space="0"/>
                    <w:bottom w:val="single" w:color="auto" w:sz="4" w:space="0"/>
                    <w:right w:val="single" w:color="auto" w:sz="4" w:space="0"/>
                  </w:tcBorders>
                  <w:noWrap w:val="0"/>
                  <w:vAlign w:val="center"/>
                </w:tcPr>
                <w:p w14:paraId="1C151F5C">
                  <w:pPr>
                    <w:jc w:val="left"/>
                    <w:rPr>
                      <w:rFonts w:ascii="Calibri" w:hAnsi="Calibri" w:eastAsia="宋体" w:cs="Times New Roman"/>
                      <w:color w:val="auto"/>
                      <w:szCs w:val="21"/>
                    </w:rPr>
                  </w:pPr>
                </w:p>
              </w:tc>
            </w:tr>
            <w:tr w14:paraId="3AE758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811"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02A7C45">
                  <w:pPr>
                    <w:snapToGrid w:val="0"/>
                    <w:jc w:val="center"/>
                    <w:rPr>
                      <w:rFonts w:ascii="Calibri" w:hAnsi="Calibri" w:eastAsia="宋体" w:cs="Times New Roman"/>
                      <w:color w:val="auto"/>
                      <w:szCs w:val="21"/>
                    </w:rPr>
                  </w:pPr>
                  <w:r>
                    <w:rPr>
                      <w:rFonts w:ascii="Calibri" w:hAnsi="Calibri" w:eastAsia="宋体" w:cs="Times New Roman"/>
                      <w:color w:val="auto"/>
                      <w:szCs w:val="21"/>
                    </w:rPr>
                    <w:t>一般工业固废</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3762F349">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GF-01</w:t>
                  </w:r>
                </w:p>
              </w:tc>
              <w:tc>
                <w:tcPr>
                  <w:tcW w:w="1417" w:type="pct"/>
                  <w:tcBorders>
                    <w:top w:val="single" w:color="auto" w:sz="6" w:space="0"/>
                    <w:left w:val="single" w:color="auto" w:sz="6" w:space="0"/>
                    <w:bottom w:val="single" w:color="auto" w:sz="6" w:space="0"/>
                    <w:right w:val="single" w:color="auto" w:sz="6" w:space="0"/>
                  </w:tcBorders>
                  <w:noWrap w:val="0"/>
                  <w:vAlign w:val="center"/>
                </w:tcPr>
                <w:p w14:paraId="6F671AD7">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rPr>
                    <w:drawing>
                      <wp:inline distT="0" distB="0" distL="114300" distR="114300">
                        <wp:extent cx="1005205" cy="840105"/>
                        <wp:effectExtent l="0" t="0" r="4445" b="17145"/>
                        <wp:docPr id="182" name="图片 14" descr="一般固废提示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4" descr="一般固废提示标志"/>
                                <pic:cNvPicPr>
                                  <a:picLocks noChangeAspect="1"/>
                                </pic:cNvPicPr>
                              </pic:nvPicPr>
                              <pic:blipFill>
                                <a:blip r:embed="rId21"/>
                                <a:stretch>
                                  <a:fillRect/>
                                </a:stretch>
                              </pic:blipFill>
                              <pic:spPr>
                                <a:xfrm>
                                  <a:off x="0" y="0"/>
                                  <a:ext cx="1005205" cy="840105"/>
                                </a:xfrm>
                                <a:prstGeom prst="rect">
                                  <a:avLst/>
                                </a:prstGeom>
                                <a:noFill/>
                                <a:ln>
                                  <a:noFill/>
                                </a:ln>
                              </pic:spPr>
                            </pic:pic>
                          </a:graphicData>
                        </a:graphic>
                      </wp:inline>
                    </w:drawing>
                  </w:r>
                </w:p>
              </w:tc>
              <w:tc>
                <w:tcPr>
                  <w:tcW w:w="1939" w:type="pct"/>
                  <w:vMerge w:val="continue"/>
                  <w:tcBorders>
                    <w:top w:val="single" w:color="auto" w:sz="6" w:space="0"/>
                    <w:left w:val="single" w:color="auto" w:sz="6" w:space="0"/>
                    <w:bottom w:val="single" w:color="auto" w:sz="4" w:space="0"/>
                    <w:right w:val="single" w:color="auto" w:sz="4" w:space="0"/>
                  </w:tcBorders>
                  <w:noWrap w:val="0"/>
                  <w:vAlign w:val="center"/>
                </w:tcPr>
                <w:p w14:paraId="035FD1E7">
                  <w:pPr>
                    <w:jc w:val="left"/>
                    <w:rPr>
                      <w:rFonts w:ascii="Calibri" w:hAnsi="Calibri" w:eastAsia="宋体" w:cs="Times New Roman"/>
                      <w:color w:val="auto"/>
                      <w:szCs w:val="21"/>
                    </w:rPr>
                  </w:pPr>
                </w:p>
              </w:tc>
            </w:tr>
            <w:tr w14:paraId="52D299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563"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94764FB">
                  <w:pPr>
                    <w:snapToGrid w:val="0"/>
                    <w:jc w:val="center"/>
                    <w:rPr>
                      <w:rFonts w:ascii="Calibri" w:hAnsi="Calibri" w:eastAsia="宋体" w:cs="Times New Roman"/>
                      <w:color w:val="auto"/>
                      <w:szCs w:val="21"/>
                    </w:rPr>
                  </w:pPr>
                  <w:r>
                    <w:rPr>
                      <w:rFonts w:ascii="Calibri" w:hAnsi="Calibri" w:eastAsia="宋体" w:cs="Times New Roman"/>
                      <w:color w:val="auto"/>
                      <w:szCs w:val="21"/>
                    </w:rPr>
                    <w:t>危废暂存间</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580F9337">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WF-01</w:t>
                  </w:r>
                </w:p>
              </w:tc>
              <w:tc>
                <w:tcPr>
                  <w:tcW w:w="1417" w:type="pct"/>
                  <w:tcBorders>
                    <w:top w:val="single" w:color="auto" w:sz="6" w:space="0"/>
                    <w:left w:val="single" w:color="auto" w:sz="6" w:space="0"/>
                    <w:bottom w:val="single" w:color="auto" w:sz="6" w:space="0"/>
                    <w:right w:val="single" w:color="auto" w:sz="6" w:space="0"/>
                  </w:tcBorders>
                  <w:noWrap w:val="0"/>
                  <w:vAlign w:val="center"/>
                </w:tcPr>
                <w:p w14:paraId="7FA2D857">
                  <w:pPr>
                    <w:snapToGrid w:val="0"/>
                    <w:rPr>
                      <w:rFonts w:ascii="Calibri" w:hAnsi="Calibri" w:eastAsia="宋体" w:cs="Times New Roman"/>
                      <w:color w:val="auto"/>
                      <w:szCs w:val="21"/>
                    </w:rPr>
                  </w:pPr>
                  <w:r>
                    <w:rPr>
                      <w:rFonts w:ascii="Calibri" w:hAnsi="Calibri" w:eastAsia="宋体" w:cs="Times New Roman"/>
                    </w:rPr>
                    <w:drawing>
                      <wp:inline distT="0" distB="0" distL="114300" distR="114300">
                        <wp:extent cx="1304925" cy="815975"/>
                        <wp:effectExtent l="0" t="0" r="9525" b="3175"/>
                        <wp:docPr id="18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5"/>
                                <pic:cNvPicPr>
                                  <a:picLocks noChangeAspect="1"/>
                                </pic:cNvPicPr>
                              </pic:nvPicPr>
                              <pic:blipFill>
                                <a:blip r:embed="rId22"/>
                                <a:stretch>
                                  <a:fillRect/>
                                </a:stretch>
                              </pic:blipFill>
                              <pic:spPr>
                                <a:xfrm>
                                  <a:off x="0" y="0"/>
                                  <a:ext cx="1304925" cy="815975"/>
                                </a:xfrm>
                                <a:prstGeom prst="rect">
                                  <a:avLst/>
                                </a:prstGeom>
                                <a:noFill/>
                                <a:ln>
                                  <a:noFill/>
                                </a:ln>
                              </pic:spPr>
                            </pic:pic>
                          </a:graphicData>
                        </a:graphic>
                      </wp:inline>
                    </w:drawing>
                  </w:r>
                </w:p>
              </w:tc>
              <w:tc>
                <w:tcPr>
                  <w:tcW w:w="1939" w:type="pct"/>
                  <w:vMerge w:val="continue"/>
                  <w:tcBorders>
                    <w:top w:val="single" w:color="auto" w:sz="6" w:space="0"/>
                    <w:left w:val="single" w:color="auto" w:sz="6" w:space="0"/>
                    <w:bottom w:val="single" w:color="auto" w:sz="6" w:space="0"/>
                    <w:right w:val="single" w:color="auto" w:sz="4" w:space="0"/>
                  </w:tcBorders>
                  <w:noWrap w:val="0"/>
                  <w:vAlign w:val="center"/>
                </w:tcPr>
                <w:p w14:paraId="7E67C9F4">
                  <w:pPr>
                    <w:jc w:val="left"/>
                    <w:rPr>
                      <w:rFonts w:ascii="Calibri" w:hAnsi="Calibri" w:eastAsia="宋体" w:cs="Times New Roman"/>
                      <w:color w:val="auto"/>
                      <w:szCs w:val="21"/>
                    </w:rPr>
                  </w:pPr>
                </w:p>
              </w:tc>
            </w:tr>
          </w:tbl>
          <w:p w14:paraId="131063A4">
            <w:pPr>
              <w:adjustRightInd w:val="0"/>
              <w:snapToGrid w:val="0"/>
              <w:spacing w:line="320" w:lineRule="exact"/>
              <w:jc w:val="left"/>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b/>
                <w:bCs/>
                <w:color w:val="000000" w:themeColor="text1"/>
                <w:szCs w:val="18"/>
                <w:highlight w:val="none"/>
                <w14:textFill>
                  <w14:solidFill>
                    <w14:schemeClr w14:val="tx1"/>
                  </w14:solidFill>
                </w14:textFill>
              </w:rPr>
              <w:t>排污许可制度：</w:t>
            </w:r>
            <w:r>
              <w:rPr>
                <w:rFonts w:hint="default" w:ascii="Times New Roman" w:hAnsi="Times New Roman" w:cs="Times New Roman"/>
                <w:color w:val="000000" w:themeColor="text1"/>
                <w:szCs w:val="18"/>
                <w:highlight w:val="none"/>
                <w14:textFill>
                  <w14:solidFill>
                    <w14:schemeClr w14:val="tx1"/>
                  </w14:solidFill>
                </w14:textFill>
              </w:rPr>
              <w:t>根据《固定污染源排污许可证分类管理名录（2019年版）》（部令第11号）相关规定，针对企业事业单位和其他生产经营者污染物产生量、排放量和对环境的影响程度等因素，实行排污许可重点管理、简化管理和登记管理。根据《固定污染源排污许可分类管理名录（2019年版）》，建设单位应当在启动生产设施或者发生实际排污之前填报。</w:t>
            </w:r>
          </w:p>
          <w:p w14:paraId="19E6A290">
            <w:pPr>
              <w:adjustRightInd w:val="0"/>
              <w:snapToGrid w:val="0"/>
              <w:spacing w:line="320" w:lineRule="exact"/>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18"/>
                <w:highlight w:val="none"/>
                <w14:textFill>
                  <w14:solidFill>
                    <w14:schemeClr w14:val="tx1"/>
                  </w14:solidFill>
                </w14:textFill>
              </w:rPr>
              <w:t>环保验收：</w:t>
            </w:r>
            <w:r>
              <w:rPr>
                <w:rFonts w:hint="default" w:ascii="Times New Roman" w:hAnsi="Times New Roman" w:cs="Times New Roman"/>
                <w:color w:val="000000" w:themeColor="text1"/>
                <w:szCs w:val="18"/>
                <w:highlight w:val="none"/>
                <w14:textFill>
                  <w14:solidFill>
                    <w14:schemeClr w14:val="tx1"/>
                  </w14:solidFill>
                </w14:textFill>
              </w:rPr>
              <w:t>本项目竣工后建设单位应依据《建设项目环境保护管理条例》和《建设项目竣工环境保护验收暂行办法</w:t>
            </w:r>
            <w:r>
              <w:rPr>
                <w:rFonts w:hint="eastAsia" w:ascii="Times New Roman" w:hAnsi="Times New Roman" w:cs="Times New Roman"/>
                <w:color w:val="000000" w:themeColor="text1"/>
                <w:szCs w:val="18"/>
                <w:highlight w:val="none"/>
                <w:lang w:eastAsia="zh-CN"/>
                <w14:textFill>
                  <w14:solidFill>
                    <w14:schemeClr w14:val="tx1"/>
                  </w14:solidFill>
                </w14:textFill>
              </w:rPr>
              <w:t>》《</w:t>
            </w:r>
            <w:r>
              <w:rPr>
                <w:rFonts w:hint="default" w:ascii="Times New Roman" w:hAnsi="Times New Roman" w:cs="Times New Roman"/>
                <w:color w:val="000000" w:themeColor="text1"/>
                <w:szCs w:val="18"/>
                <w:highlight w:val="none"/>
                <w14:textFill>
                  <w14:solidFill>
                    <w14:schemeClr w14:val="tx1"/>
                  </w14:solidFill>
                </w14:textFill>
              </w:rPr>
              <w:t>建设项目竣工环境保护验收技术指南污染影响类》，对配套建设的环境保护设施进行验收，编制验收报告。</w:t>
            </w:r>
          </w:p>
        </w:tc>
      </w:tr>
    </w:tbl>
    <w:p w14:paraId="0190FD35">
      <w:pPr>
        <w:pStyle w:val="27"/>
        <w:jc w:val="center"/>
        <w:outlineLvl w:val="0"/>
        <w:rPr>
          <w:rFonts w:hint="default" w:ascii="黑体" w:eastAsia="黑体" w:cs="黑体"/>
          <w:color w:val="000000" w:themeColor="text1"/>
          <w:sz w:val="30"/>
          <w:szCs w:val="30"/>
          <w14:textFill>
            <w14:solidFill>
              <w14:schemeClr w14:val="tx1"/>
            </w14:solidFill>
          </w14:textFill>
        </w:rPr>
      </w:pPr>
      <w:r>
        <w:rPr>
          <w:snapToGrid w:val="0"/>
          <w:color w:val="000000" w:themeColor="text1"/>
          <w:lang w:bidi="ar"/>
          <w14:textFill>
            <w14:solidFill>
              <w14:schemeClr w14:val="tx1"/>
            </w14:solidFill>
          </w14:textFill>
        </w:rPr>
        <w:br w:type="page"/>
      </w:r>
      <w:r>
        <w:rPr>
          <w:rFonts w:ascii="黑体" w:eastAsia="黑体" w:cs="黑体"/>
          <w:snapToGrid w:val="0"/>
          <w:color w:val="000000" w:themeColor="text1"/>
          <w:sz w:val="30"/>
          <w:szCs w:val="30"/>
          <w14:textFill>
            <w14:solidFill>
              <w14:schemeClr w14:val="tx1"/>
            </w14:solidFill>
          </w14:textFill>
        </w:rPr>
        <w:t>六、结论</w:t>
      </w:r>
    </w:p>
    <w:tbl>
      <w:tblPr>
        <w:tblStyle w:val="37"/>
        <w:tblW w:w="93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301"/>
      </w:tblGrid>
      <w:tr w14:paraId="0E7F7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301" w:type="dxa"/>
            <w:tcBorders>
              <w:top w:val="single" w:color="auto" w:sz="8" w:space="0"/>
              <w:left w:val="single" w:color="auto" w:sz="8" w:space="0"/>
              <w:bottom w:val="single" w:color="auto" w:sz="8" w:space="0"/>
              <w:right w:val="single" w:color="auto" w:sz="8" w:space="0"/>
            </w:tcBorders>
            <w:shd w:val="clear" w:color="auto" w:fill="auto"/>
          </w:tcPr>
          <w:p w14:paraId="24AB48BC">
            <w:pPr>
              <w:spacing w:line="360" w:lineRule="auto"/>
              <w:ind w:firstLine="480" w:firstLineChars="200"/>
              <w:textAlignment w:val="baseline"/>
              <w:rPr>
                <w:rFonts w:ascii="Times New Roman" w:hAnsi="Times New Roman" w:cs="Times New Roman"/>
                <w:color w:val="000000" w:themeColor="text1"/>
                <w:szCs w:val="20"/>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建设符合国家产业政策，区域环境质量现状良好，无重大环境制约因素。评价认为该项目平面布局合理，在满足本报告表提出的污染物防治措施与主体工程“三同时”的前提下，废气、噪声达标排放，不会对当地环境质量产生明显不利影响，具有较好的社会效益和环境效益，从环境保护角度分析该项目是可行的</w:t>
            </w:r>
            <w:r>
              <w:rPr>
                <w:rFonts w:ascii="Times New Roman" w:hAnsi="Times New Roman" w:cs="Times New Roman"/>
                <w:color w:val="000000" w:themeColor="text1"/>
                <w:szCs w:val="20"/>
                <w14:textFill>
                  <w14:solidFill>
                    <w14:schemeClr w14:val="tx1"/>
                  </w14:solidFill>
                </w14:textFill>
              </w:rPr>
              <w:t>。</w:t>
            </w:r>
          </w:p>
          <w:p w14:paraId="55DA1A9C">
            <w:pPr>
              <w:spacing w:line="360" w:lineRule="auto"/>
              <w:rPr>
                <w:rFonts w:ascii="宋体" w:hAnsi="Times New Roman" w:eastAsia="宋体" w:cs="宋体"/>
                <w:color w:val="000000" w:themeColor="text1"/>
                <w:sz w:val="24"/>
                <w14:textFill>
                  <w14:solidFill>
                    <w14:schemeClr w14:val="tx1"/>
                  </w14:solidFill>
                </w14:textFill>
              </w:rPr>
            </w:pPr>
          </w:p>
        </w:tc>
      </w:tr>
    </w:tbl>
    <w:p w14:paraId="651A08C0">
      <w:pPr>
        <w:rPr>
          <w:rFonts w:ascii="宋体" w:hAnsi="Times New Roman" w:eastAsia="宋体" w:cs="Times New Roman"/>
          <w:color w:val="000000" w:themeColor="text1"/>
          <w:lang w:bidi="ar"/>
          <w14:textFill>
            <w14:solidFill>
              <w14:schemeClr w14:val="tx1"/>
            </w14:solidFill>
          </w14:textFill>
        </w:rPr>
        <w:sectPr>
          <w:pgSz w:w="11906" w:h="16838"/>
          <w:pgMar w:top="1531" w:right="1531" w:bottom="1531" w:left="1531" w:header="851" w:footer="851" w:gutter="0"/>
          <w:cols w:space="425" w:num="1"/>
          <w:docGrid w:type="lines" w:linePitch="312" w:charSpace="0"/>
        </w:sectPr>
      </w:pPr>
    </w:p>
    <w:p w14:paraId="5D6E6B1E">
      <w:pPr>
        <w:pStyle w:val="27"/>
        <w:adjustRightInd w:val="0"/>
        <w:snapToGrid w:val="0"/>
        <w:spacing w:beforeAutospacing="0" w:afterAutospacing="0"/>
        <w:outlineLvl w:val="0"/>
        <w:rPr>
          <w:rFonts w:hint="default" w:ascii="黑体" w:eastAsia="黑体" w:cs="黑体"/>
          <w:color w:val="000000" w:themeColor="text1"/>
          <w:sz w:val="32"/>
          <w:szCs w:val="32"/>
          <w14:textFill>
            <w14:solidFill>
              <w14:schemeClr w14:val="tx1"/>
            </w14:solidFill>
          </w14:textFill>
        </w:rPr>
      </w:pPr>
      <w:r>
        <w:rPr>
          <w:rFonts w:ascii="黑体" w:eastAsia="黑体" w:cs="黑体"/>
          <w:snapToGrid w:val="0"/>
          <w:color w:val="000000" w:themeColor="text1"/>
          <w:sz w:val="32"/>
          <w:szCs w:val="32"/>
          <w14:textFill>
            <w14:solidFill>
              <w14:schemeClr w14:val="tx1"/>
            </w14:solidFill>
          </w14:textFill>
        </w:rPr>
        <w:t>附表</w:t>
      </w:r>
    </w:p>
    <w:p w14:paraId="450AE2F7">
      <w:pPr>
        <w:pStyle w:val="27"/>
        <w:adjustRightInd w:val="0"/>
        <w:snapToGrid w:val="0"/>
        <w:spacing w:beforeAutospacing="0" w:afterAutospacing="0"/>
        <w:jc w:val="center"/>
        <w:outlineLvl w:val="0"/>
        <w:rPr>
          <w:rFonts w:hint="default" w:cs="宋体"/>
          <w:b/>
          <w:bCs/>
          <w:snapToGrid w:val="0"/>
          <w:color w:val="000000" w:themeColor="text1"/>
          <w:sz w:val="38"/>
          <w:szCs w:val="38"/>
          <w14:textFill>
            <w14:solidFill>
              <w14:schemeClr w14:val="tx1"/>
            </w14:solidFill>
          </w14:textFill>
        </w:rPr>
      </w:pPr>
      <w:r>
        <w:rPr>
          <w:rFonts w:cs="宋体"/>
          <w:b/>
          <w:bCs/>
          <w:snapToGrid w:val="0"/>
          <w:color w:val="000000" w:themeColor="text1"/>
          <w:sz w:val="38"/>
          <w:szCs w:val="38"/>
          <w14:textFill>
            <w14:solidFill>
              <w14:schemeClr w14:val="tx1"/>
            </w14:solidFill>
          </w14:textFill>
        </w:rPr>
        <w:t>建设项目污染物排放量汇总表</w:t>
      </w:r>
    </w:p>
    <w:p w14:paraId="17D1332F">
      <w:pPr>
        <w:pStyle w:val="17"/>
        <w:rPr>
          <w:color w:val="000000" w:themeColor="text1"/>
          <w14:textFill>
            <w14:solidFill>
              <w14:schemeClr w14:val="tx1"/>
            </w14:solidFill>
          </w14:textFill>
        </w:rPr>
      </w:pPr>
    </w:p>
    <w:tbl>
      <w:tblPr>
        <w:tblStyle w:val="37"/>
        <w:tblW w:w="143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427"/>
        <w:gridCol w:w="1714"/>
        <w:gridCol w:w="1285"/>
        <w:gridCol w:w="1714"/>
        <w:gridCol w:w="1570"/>
        <w:gridCol w:w="1775"/>
        <w:gridCol w:w="1917"/>
        <w:gridCol w:w="1379"/>
      </w:tblGrid>
      <w:tr w14:paraId="72D18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599" w:type="dxa"/>
            <w:tcBorders>
              <w:top w:val="single" w:color="auto" w:sz="8" w:space="0"/>
              <w:left w:val="single" w:color="auto" w:sz="8" w:space="0"/>
              <w:bottom w:val="single" w:color="auto" w:sz="4" w:space="0"/>
              <w:right w:val="single" w:color="auto" w:sz="4" w:space="0"/>
              <w:tl2br w:val="single" w:color="auto" w:sz="4" w:space="0"/>
            </w:tcBorders>
            <w:shd w:val="clear" w:color="auto" w:fill="auto"/>
            <w:tcMar>
              <w:left w:w="28" w:type="dxa"/>
              <w:right w:w="28" w:type="dxa"/>
            </w:tcMar>
            <w:vAlign w:val="center"/>
          </w:tcPr>
          <w:p w14:paraId="0A9F8907">
            <w:pPr>
              <w:pStyle w:val="64"/>
              <w:widowControl/>
              <w:spacing w:before="31" w:line="240" w:lineRule="auto"/>
              <w:jc w:val="right"/>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项目</w:t>
            </w:r>
          </w:p>
          <w:p w14:paraId="50FD3598">
            <w:pPr>
              <w:pStyle w:val="64"/>
              <w:widowControl/>
              <w:spacing w:before="31" w:line="240" w:lineRule="auto"/>
              <w:jc w:val="left"/>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分类</w:t>
            </w:r>
          </w:p>
        </w:tc>
        <w:tc>
          <w:tcPr>
            <w:tcW w:w="142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1C9885B4">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污染物名称</w:t>
            </w:r>
          </w:p>
        </w:tc>
        <w:tc>
          <w:tcPr>
            <w:tcW w:w="171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6D85C290">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现有工程</w:t>
            </w:r>
          </w:p>
          <w:p w14:paraId="48E6A356">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1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①</w:t>
            </w:r>
            <w:r>
              <w:rPr>
                <w:rFonts w:hint="default" w:ascii="Times New Roman" w:eastAsia="黑体"/>
                <w:color w:val="auto"/>
                <w:spacing w:val="-6"/>
                <w:kern w:val="21"/>
                <w:sz w:val="21"/>
                <w:szCs w:val="21"/>
              </w:rPr>
              <w:fldChar w:fldCharType="end"/>
            </w:r>
          </w:p>
        </w:tc>
        <w:tc>
          <w:tcPr>
            <w:tcW w:w="1285"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534514C">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现有工程</w:t>
            </w:r>
          </w:p>
          <w:p w14:paraId="78F05788">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许可排放量</w:t>
            </w:r>
          </w:p>
          <w:p w14:paraId="6B4F6FE9">
            <w:pPr>
              <w:pStyle w:val="64"/>
              <w:widowControl/>
              <w:spacing w:before="31"/>
              <w:rPr>
                <w:rFonts w:hint="default" w:ascii="Times New Roman" w:eastAsia="黑体"/>
                <w:snapToGrid w:val="0"/>
                <w:color w:val="auto"/>
                <w:spacing w:val="-6"/>
                <w:kern w:val="21"/>
                <w:sz w:val="21"/>
                <w:szCs w:val="21"/>
              </w:rPr>
            </w:pPr>
            <w:r>
              <w:rPr>
                <w:rFonts w:hint="default" w:ascii="Times New Roman" w:eastAsia="黑体"/>
                <w:color w:val="auto"/>
                <w:spacing w:val="-6"/>
                <w:kern w:val="21"/>
                <w:sz w:val="21"/>
                <w:szCs w:val="21"/>
              </w:rPr>
              <w:fldChar w:fldCharType="begin"/>
            </w:r>
            <w:r>
              <w:rPr>
                <w:rFonts w:hint="default" w:ascii="Times New Roman" w:eastAsia="黑体"/>
                <w:color w:val="auto"/>
                <w:spacing w:val="-6"/>
                <w:kern w:val="21"/>
                <w:sz w:val="21"/>
                <w:szCs w:val="21"/>
              </w:rPr>
              <w:instrText xml:space="preserve"> </w:instrText>
            </w:r>
            <w:r>
              <w:rPr>
                <w:rFonts w:hint="default" w:ascii="Times New Roman" w:eastAsia="黑体"/>
                <w:snapToGrid w:val="0"/>
                <w:color w:val="auto"/>
                <w:spacing w:val="-6"/>
                <w:kern w:val="21"/>
                <w:sz w:val="21"/>
                <w:szCs w:val="21"/>
              </w:rPr>
              <w:instrText xml:space="preserve">= 2 \* GB3 \* MERGEFORMAT </w:instrText>
            </w:r>
            <w:r>
              <w:rPr>
                <w:rFonts w:hint="default" w:ascii="Times New Roman" w:eastAsia="黑体"/>
                <w:color w:val="auto"/>
                <w:spacing w:val="-6"/>
                <w:kern w:val="21"/>
                <w:sz w:val="21"/>
                <w:szCs w:val="21"/>
              </w:rPr>
              <w:fldChar w:fldCharType="separate"/>
            </w:r>
            <w:r>
              <w:rPr>
                <w:rFonts w:hint="default" w:ascii="Times New Roman" w:eastAsia="黑体"/>
                <w:snapToGrid w:val="0"/>
                <w:color w:val="auto"/>
                <w:spacing w:val="-6"/>
                <w:kern w:val="21"/>
                <w:sz w:val="21"/>
                <w:szCs w:val="21"/>
              </w:rPr>
              <w:t>②</w:t>
            </w:r>
            <w:r>
              <w:rPr>
                <w:rFonts w:hint="default" w:ascii="Times New Roman" w:eastAsia="黑体"/>
                <w:color w:val="auto"/>
                <w:spacing w:val="-6"/>
                <w:kern w:val="21"/>
                <w:sz w:val="21"/>
                <w:szCs w:val="21"/>
              </w:rPr>
              <w:fldChar w:fldCharType="end"/>
            </w:r>
          </w:p>
        </w:tc>
        <w:tc>
          <w:tcPr>
            <w:tcW w:w="171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20C9611D">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在建工程</w:t>
            </w:r>
          </w:p>
          <w:p w14:paraId="29D67B48">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3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③</w:t>
            </w:r>
            <w:r>
              <w:rPr>
                <w:rFonts w:hint="default" w:ascii="Times New Roman" w:eastAsia="黑体"/>
                <w:color w:val="auto"/>
                <w:spacing w:val="-6"/>
                <w:kern w:val="21"/>
                <w:sz w:val="21"/>
                <w:szCs w:val="21"/>
              </w:rPr>
              <w:fldChar w:fldCharType="end"/>
            </w:r>
          </w:p>
        </w:tc>
        <w:tc>
          <w:tcPr>
            <w:tcW w:w="1570"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EE04F3E">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本项目</w:t>
            </w:r>
          </w:p>
          <w:p w14:paraId="3933EB8C">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4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④</w:t>
            </w:r>
            <w:r>
              <w:rPr>
                <w:rFonts w:hint="default" w:ascii="Times New Roman" w:eastAsia="黑体"/>
                <w:color w:val="auto"/>
                <w:spacing w:val="-6"/>
                <w:kern w:val="21"/>
                <w:sz w:val="21"/>
                <w:szCs w:val="21"/>
              </w:rPr>
              <w:fldChar w:fldCharType="end"/>
            </w:r>
          </w:p>
        </w:tc>
        <w:tc>
          <w:tcPr>
            <w:tcW w:w="1775"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D708AD9">
            <w:pPr>
              <w:pStyle w:val="64"/>
              <w:widowControl/>
              <w:spacing w:before="31" w:line="240" w:lineRule="auto"/>
              <w:rPr>
                <w:rFonts w:hint="default" w:ascii="Times New Roman" w:eastAsia="黑体"/>
                <w:color w:val="auto"/>
                <w:spacing w:val="-16"/>
                <w:kern w:val="21"/>
                <w:sz w:val="21"/>
                <w:szCs w:val="21"/>
              </w:rPr>
            </w:pPr>
            <w:r>
              <w:rPr>
                <w:rFonts w:hint="default" w:ascii="Times New Roman" w:eastAsia="黑体"/>
                <w:snapToGrid w:val="0"/>
                <w:color w:val="auto"/>
                <w:spacing w:val="-16"/>
                <w:kern w:val="21"/>
                <w:sz w:val="21"/>
                <w:szCs w:val="21"/>
              </w:rPr>
              <w:t>以新带老削减量</w:t>
            </w:r>
          </w:p>
          <w:p w14:paraId="64E71FD6">
            <w:pPr>
              <w:pStyle w:val="64"/>
              <w:widowControl/>
              <w:spacing w:before="31" w:line="240" w:lineRule="auto"/>
              <w:rPr>
                <w:rFonts w:hint="default" w:ascii="Times New Roman" w:eastAsia="黑体"/>
                <w:snapToGrid w:val="0"/>
                <w:color w:val="auto"/>
                <w:spacing w:val="-16"/>
                <w:kern w:val="21"/>
                <w:sz w:val="21"/>
                <w:szCs w:val="21"/>
              </w:rPr>
            </w:pPr>
            <w:r>
              <w:rPr>
                <w:rFonts w:hint="default" w:ascii="Times New Roman" w:eastAsia="黑体"/>
                <w:snapToGrid w:val="0"/>
                <w:color w:val="auto"/>
                <w:spacing w:val="-16"/>
                <w:kern w:val="21"/>
                <w:sz w:val="21"/>
                <w:szCs w:val="21"/>
              </w:rPr>
              <w:t>（新建项目不填）</w:t>
            </w:r>
            <w:r>
              <w:rPr>
                <w:rFonts w:hint="default" w:ascii="Times New Roman" w:eastAsia="黑体"/>
                <w:color w:val="auto"/>
                <w:spacing w:val="-16"/>
                <w:kern w:val="21"/>
                <w:sz w:val="21"/>
                <w:szCs w:val="21"/>
              </w:rPr>
              <w:fldChar w:fldCharType="begin"/>
            </w:r>
            <w:r>
              <w:rPr>
                <w:rFonts w:hint="default" w:ascii="Times New Roman" w:eastAsia="黑体"/>
                <w:snapToGrid w:val="0"/>
                <w:color w:val="auto"/>
                <w:spacing w:val="-16"/>
                <w:kern w:val="21"/>
                <w:sz w:val="21"/>
                <w:szCs w:val="21"/>
              </w:rPr>
              <w:instrText xml:space="preserve"> = 5 \* GB3 \* MERGEFORMAT </w:instrText>
            </w:r>
            <w:r>
              <w:rPr>
                <w:rFonts w:hint="default" w:ascii="Times New Roman" w:eastAsia="黑体"/>
                <w:color w:val="auto"/>
                <w:spacing w:val="-16"/>
                <w:kern w:val="21"/>
                <w:sz w:val="21"/>
                <w:szCs w:val="21"/>
              </w:rPr>
              <w:fldChar w:fldCharType="separate"/>
            </w:r>
            <w:r>
              <w:rPr>
                <w:rFonts w:hint="default" w:ascii="Times New Roman" w:eastAsia="黑体"/>
                <w:color w:val="auto"/>
                <w:kern w:val="2"/>
                <w:sz w:val="21"/>
                <w:szCs w:val="21"/>
              </w:rPr>
              <w:t>⑤</w:t>
            </w:r>
            <w:r>
              <w:rPr>
                <w:rFonts w:hint="default" w:ascii="Times New Roman" w:eastAsia="黑体"/>
                <w:color w:val="auto"/>
                <w:spacing w:val="-16"/>
                <w:kern w:val="21"/>
                <w:sz w:val="21"/>
                <w:szCs w:val="21"/>
              </w:rPr>
              <w:fldChar w:fldCharType="end"/>
            </w:r>
          </w:p>
        </w:tc>
        <w:tc>
          <w:tcPr>
            <w:tcW w:w="191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DABF4FA">
            <w:pPr>
              <w:pStyle w:val="64"/>
              <w:widowControl/>
              <w:spacing w:before="31" w:line="240" w:lineRule="auto"/>
              <w:rPr>
                <w:rFonts w:hint="default" w:ascii="Times New Roman" w:eastAsia="黑体"/>
                <w:color w:val="auto"/>
                <w:spacing w:val="-16"/>
                <w:kern w:val="21"/>
                <w:sz w:val="21"/>
                <w:szCs w:val="21"/>
              </w:rPr>
            </w:pPr>
            <w:r>
              <w:rPr>
                <w:rFonts w:hint="default" w:ascii="Times New Roman" w:eastAsia="黑体"/>
                <w:snapToGrid w:val="0"/>
                <w:color w:val="auto"/>
                <w:spacing w:val="-16"/>
                <w:kern w:val="21"/>
                <w:sz w:val="21"/>
                <w:szCs w:val="21"/>
              </w:rPr>
              <w:t>本项目建成后</w:t>
            </w:r>
          </w:p>
          <w:p w14:paraId="40E21722">
            <w:pPr>
              <w:pStyle w:val="64"/>
              <w:widowControl/>
              <w:spacing w:before="31" w:line="240" w:lineRule="auto"/>
              <w:rPr>
                <w:rFonts w:hint="default" w:ascii="Times New Roman" w:eastAsia="黑体"/>
                <w:snapToGrid w:val="0"/>
                <w:color w:val="auto"/>
                <w:spacing w:val="-16"/>
                <w:kern w:val="21"/>
                <w:sz w:val="21"/>
                <w:szCs w:val="21"/>
              </w:rPr>
            </w:pPr>
            <w:r>
              <w:rPr>
                <w:rFonts w:hint="default" w:ascii="Times New Roman" w:eastAsia="黑体"/>
                <w:snapToGrid w:val="0"/>
                <w:color w:val="auto"/>
                <w:spacing w:val="-16"/>
                <w:kern w:val="21"/>
                <w:sz w:val="21"/>
                <w:szCs w:val="21"/>
              </w:rPr>
              <w:t>全厂排放量（固体废物产生量）</w:t>
            </w:r>
            <w:r>
              <w:rPr>
                <w:rFonts w:hint="default" w:ascii="Times New Roman" w:eastAsia="黑体"/>
                <w:color w:val="auto"/>
                <w:spacing w:val="-16"/>
                <w:kern w:val="21"/>
                <w:sz w:val="21"/>
                <w:szCs w:val="21"/>
              </w:rPr>
              <w:fldChar w:fldCharType="begin"/>
            </w:r>
            <w:r>
              <w:rPr>
                <w:rFonts w:hint="default" w:ascii="Times New Roman" w:eastAsia="黑体"/>
                <w:snapToGrid w:val="0"/>
                <w:color w:val="auto"/>
                <w:spacing w:val="-16"/>
                <w:kern w:val="21"/>
                <w:sz w:val="21"/>
                <w:szCs w:val="21"/>
              </w:rPr>
              <w:instrText xml:space="preserve"> = 6 \* GB3 \* MERGEFORMAT </w:instrText>
            </w:r>
            <w:r>
              <w:rPr>
                <w:rFonts w:hint="default" w:ascii="Times New Roman" w:eastAsia="黑体"/>
                <w:color w:val="auto"/>
                <w:spacing w:val="-16"/>
                <w:kern w:val="21"/>
                <w:sz w:val="21"/>
                <w:szCs w:val="21"/>
              </w:rPr>
              <w:fldChar w:fldCharType="separate"/>
            </w:r>
            <w:r>
              <w:rPr>
                <w:rFonts w:hint="default" w:ascii="Times New Roman" w:eastAsia="黑体"/>
                <w:color w:val="auto"/>
                <w:kern w:val="2"/>
                <w:sz w:val="21"/>
                <w:szCs w:val="21"/>
              </w:rPr>
              <w:t>⑥</w:t>
            </w:r>
            <w:r>
              <w:rPr>
                <w:rFonts w:hint="default" w:ascii="Times New Roman" w:eastAsia="黑体"/>
                <w:color w:val="auto"/>
                <w:spacing w:val="-16"/>
                <w:kern w:val="21"/>
                <w:sz w:val="21"/>
                <w:szCs w:val="21"/>
              </w:rPr>
              <w:fldChar w:fldCharType="end"/>
            </w:r>
          </w:p>
        </w:tc>
        <w:tc>
          <w:tcPr>
            <w:tcW w:w="1379" w:type="dxa"/>
            <w:tcBorders>
              <w:top w:val="single" w:color="auto" w:sz="8" w:space="0"/>
              <w:left w:val="single" w:color="auto" w:sz="4" w:space="0"/>
              <w:bottom w:val="single" w:color="auto" w:sz="4" w:space="0"/>
              <w:right w:val="single" w:color="auto" w:sz="8" w:space="0"/>
            </w:tcBorders>
            <w:shd w:val="clear" w:color="auto" w:fill="auto"/>
            <w:tcMar>
              <w:left w:w="28" w:type="dxa"/>
              <w:right w:w="28" w:type="dxa"/>
            </w:tcMar>
            <w:vAlign w:val="center"/>
          </w:tcPr>
          <w:p w14:paraId="11F5B9CC">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变化量</w:t>
            </w:r>
          </w:p>
          <w:p w14:paraId="71DCD688">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color w:val="auto"/>
                <w:spacing w:val="-6"/>
                <w:kern w:val="21"/>
                <w:sz w:val="21"/>
                <w:szCs w:val="21"/>
              </w:rPr>
              <w:fldChar w:fldCharType="begin"/>
            </w:r>
            <w:r>
              <w:rPr>
                <w:rFonts w:hint="default" w:ascii="Times New Roman" w:eastAsia="黑体"/>
                <w:color w:val="auto"/>
                <w:spacing w:val="-6"/>
                <w:kern w:val="21"/>
                <w:sz w:val="21"/>
                <w:szCs w:val="21"/>
              </w:rPr>
              <w:instrText xml:space="preserve"> </w:instrText>
            </w:r>
            <w:r>
              <w:rPr>
                <w:rFonts w:hint="default" w:ascii="Times New Roman" w:eastAsia="黑体"/>
                <w:snapToGrid w:val="0"/>
                <w:color w:val="auto"/>
                <w:spacing w:val="-6"/>
                <w:kern w:val="21"/>
                <w:sz w:val="21"/>
                <w:szCs w:val="21"/>
              </w:rPr>
              <w:instrText xml:space="preserve">= 7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⑦</w:t>
            </w:r>
            <w:r>
              <w:rPr>
                <w:rFonts w:hint="default" w:ascii="Times New Roman" w:eastAsia="黑体"/>
                <w:color w:val="auto"/>
                <w:spacing w:val="-6"/>
                <w:kern w:val="21"/>
                <w:sz w:val="21"/>
                <w:szCs w:val="21"/>
              </w:rPr>
              <w:fldChar w:fldCharType="end"/>
            </w:r>
          </w:p>
        </w:tc>
      </w:tr>
      <w:tr w14:paraId="363757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restart"/>
            <w:tcBorders>
              <w:left w:val="single" w:color="auto" w:sz="8" w:space="0"/>
              <w:right w:val="single" w:color="auto" w:sz="4" w:space="0"/>
            </w:tcBorders>
            <w:shd w:val="clear" w:color="auto" w:fill="auto"/>
            <w:vAlign w:val="center"/>
          </w:tcPr>
          <w:p w14:paraId="2DAC3898">
            <w:pPr>
              <w:pStyle w:val="64"/>
              <w:widowControl/>
              <w:spacing w:before="31" w:line="240" w:lineRule="auto"/>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eastAsia="zh-CN"/>
              </w:rPr>
              <w:t>废气</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00839D7">
            <w:pPr>
              <w:pStyle w:val="64"/>
              <w:widowControl/>
              <w:spacing w:before="31" w:line="240" w:lineRule="auto"/>
              <w:ind w:right="113" w:rightChars="0"/>
              <w:jc w:val="center"/>
              <w:rPr>
                <w:rFonts w:hint="default" w:ascii="Times New Roman" w:eastAsia="宋体"/>
                <w:snapToGrid w:val="0"/>
                <w:color w:val="auto"/>
                <w:kern w:val="21"/>
                <w:sz w:val="21"/>
                <w:szCs w:val="21"/>
                <w:vertAlign w:val="subscript"/>
                <w:lang w:val="en-US" w:eastAsia="zh-CN"/>
              </w:rPr>
            </w:pPr>
            <w:r>
              <w:rPr>
                <w:rFonts w:hint="default" w:ascii="Times New Roman" w:hAnsi="Times New Roman" w:cs="Times New Roman"/>
                <w:b w:val="0"/>
                <w:bCs w:val="0"/>
                <w:color w:val="auto"/>
                <w:kern w:val="0"/>
                <w:sz w:val="21"/>
                <w:szCs w:val="21"/>
                <w:lang w:val="en-US" w:eastAsia="zh-CN"/>
              </w:rPr>
              <w:t>颗粒物</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21EC5DC">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033205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D59AE04">
            <w:pPr>
              <w:pStyle w:val="64"/>
              <w:widowControl/>
              <w:spacing w:before="31" w:line="240" w:lineRule="auto"/>
              <w:ind w:right="113" w:rightChars="0"/>
              <w:jc w:val="center"/>
              <w:rPr>
                <w:rFonts w:hint="eastAsia" w:ascii="Times New Roman"/>
                <w:snapToGrid w:val="0"/>
                <w:color w:val="auto"/>
                <w:kern w:val="21"/>
                <w:sz w:val="21"/>
                <w:szCs w:val="21"/>
              </w:rPr>
            </w:pPr>
            <w:r>
              <w:rPr>
                <w:rFonts w:ascii="Times New Roman"/>
                <w:snapToGrid w:val="0"/>
                <w:color w:val="auto"/>
                <w:kern w:val="21"/>
                <w:sz w:val="21"/>
                <w:szCs w:val="21"/>
              </w:rPr>
              <w:t>/</w:t>
            </w:r>
            <w:bookmarkStart w:id="7" w:name="_GoBack"/>
            <w:bookmarkEnd w:id="7"/>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321FF60">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0.0075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EBFD5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9098F60">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0.0075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D9A475A">
            <w:pPr>
              <w:pStyle w:val="64"/>
              <w:widowControl/>
              <w:spacing w:before="31" w:line="240" w:lineRule="auto"/>
              <w:ind w:right="113" w:rightChars="0"/>
              <w:jc w:val="center"/>
              <w:rPr>
                <w:rFonts w:hint="default" w:ascii="Times New Roman" w:hAnsi="Times New Roman" w:eastAsia="等线" w:cs="Times New Roman"/>
                <w:color w:val="auto"/>
                <w:kern w:val="0"/>
                <w:sz w:val="21"/>
                <w:szCs w:val="21"/>
                <w:lang w:val="en-US" w:eastAsia="zh-CN"/>
              </w:rPr>
            </w:pPr>
            <w:r>
              <w:rPr>
                <w:rFonts w:hint="eastAsia" w:ascii="Times New Roman"/>
                <w:snapToGrid w:val="0"/>
                <w:color w:val="auto"/>
                <w:kern w:val="21"/>
                <w:sz w:val="21"/>
                <w:szCs w:val="21"/>
                <w:lang w:val="en-US" w:eastAsia="zh-CN"/>
              </w:rPr>
              <w:t>/</w:t>
            </w:r>
          </w:p>
        </w:tc>
      </w:tr>
      <w:tr w14:paraId="69BBD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12CA6C87">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8F9AD3D">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SO</w:t>
            </w:r>
            <w:r>
              <w:rPr>
                <w:rFonts w:hint="eastAsia" w:ascii="Times New Roman"/>
                <w:snapToGrid w:val="0"/>
                <w:color w:val="auto"/>
                <w:kern w:val="21"/>
                <w:sz w:val="21"/>
                <w:szCs w:val="21"/>
                <w:vertAlign w:val="subscript"/>
                <w:lang w:val="en-US" w:eastAsia="zh-CN"/>
              </w:rPr>
              <w:t>2</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5015929">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314C3B9">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E71677C">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214094E">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6CA94F42">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0F21D62">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131F02C">
            <w:pPr>
              <w:pStyle w:val="64"/>
              <w:widowControl/>
              <w:spacing w:before="31" w:line="240" w:lineRule="auto"/>
              <w:ind w:right="113" w:rightChars="0"/>
              <w:jc w:val="center"/>
              <w:rPr>
                <w:rFonts w:ascii="Times New Roman"/>
                <w:snapToGrid w:val="0"/>
                <w:color w:val="auto"/>
                <w:kern w:val="21"/>
                <w:sz w:val="21"/>
                <w:szCs w:val="21"/>
              </w:rPr>
            </w:pPr>
            <w:r>
              <w:rPr>
                <w:rFonts w:hint="eastAsia" w:ascii="Times New Roman"/>
                <w:snapToGrid w:val="0"/>
                <w:color w:val="auto"/>
                <w:kern w:val="21"/>
                <w:sz w:val="21"/>
                <w:szCs w:val="21"/>
                <w:lang w:val="en-US" w:eastAsia="zh-CN"/>
              </w:rPr>
              <w:t>/</w:t>
            </w:r>
          </w:p>
        </w:tc>
      </w:tr>
      <w:tr w14:paraId="795DA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01728F1F">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165E8B4">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NOx</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9E294AF">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A0A10E0">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815A254">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17F88B9F">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59B3ED1">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501CDCF">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943FA4A">
            <w:pPr>
              <w:pStyle w:val="64"/>
              <w:widowControl/>
              <w:spacing w:before="31" w:line="240" w:lineRule="auto"/>
              <w:ind w:right="113" w:rightChars="0"/>
              <w:jc w:val="center"/>
              <w:rPr>
                <w:rFonts w:hint="default" w:ascii="Times New Roman"/>
                <w:snapToGrid w:val="0"/>
                <w:color w:val="auto"/>
                <w:kern w:val="21"/>
                <w:sz w:val="21"/>
                <w:szCs w:val="21"/>
                <w:lang w:val="en-US"/>
              </w:rPr>
            </w:pPr>
            <w:r>
              <w:rPr>
                <w:rFonts w:hint="eastAsia" w:ascii="Times New Roman"/>
                <w:snapToGrid w:val="0"/>
                <w:color w:val="auto"/>
                <w:kern w:val="21"/>
                <w:sz w:val="21"/>
                <w:szCs w:val="21"/>
                <w:lang w:val="en-US" w:eastAsia="zh-CN"/>
              </w:rPr>
              <w:t>/</w:t>
            </w:r>
          </w:p>
        </w:tc>
      </w:tr>
      <w:tr w14:paraId="7D5B5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317D7E24">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597D5F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hAnsi="Times New Roman" w:cs="Times New Roman"/>
                <w:color w:val="auto"/>
                <w:kern w:val="0"/>
                <w:sz w:val="21"/>
                <w:szCs w:val="21"/>
                <w:lang w:eastAsia="zh-CN"/>
              </w:rPr>
              <w:t>非甲烷总烃</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372A1B5">
            <w:pPr>
              <w:pStyle w:val="64"/>
              <w:widowControl/>
              <w:spacing w:before="31" w:line="240" w:lineRule="auto"/>
              <w:ind w:right="113" w:rightChars="0"/>
              <w:jc w:val="center"/>
              <w:rPr>
                <w:rFonts w:hint="eastAsia" w:ascii="Times New Roman" w:eastAsia="宋体"/>
                <w:snapToGrid w:val="0"/>
                <w:color w:val="auto"/>
                <w:kern w:val="21"/>
                <w:sz w:val="21"/>
                <w:szCs w:val="21"/>
                <w:lang w:eastAsia="zh-CN"/>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23DF422">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43A2D00">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B02BF22">
            <w:pPr>
              <w:jc w:val="center"/>
              <w:rPr>
                <w:rFonts w:ascii="Times New Roman"/>
                <w:snapToGrid w:val="0"/>
                <w:color w:val="auto"/>
                <w:kern w:val="21"/>
                <w:sz w:val="21"/>
                <w:szCs w:val="21"/>
              </w:rPr>
            </w:pPr>
            <w:r>
              <w:rPr>
                <w:rFonts w:hint="eastAsia" w:ascii="Times New Roman" w:hAnsi="Times New Roman" w:eastAsia="宋体" w:cs="Times New Roman"/>
                <w:bCs/>
                <w:color w:val="auto"/>
                <w:szCs w:val="21"/>
                <w:lang w:val="en-US" w:eastAsia="zh-CN"/>
              </w:rPr>
              <w:t>2.16</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5B73DC8C">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034C9BD">
            <w:pPr>
              <w:jc w:val="center"/>
              <w:rPr>
                <w:rFonts w:ascii="Times New Roman"/>
                <w:snapToGrid w:val="0"/>
                <w:color w:val="auto"/>
                <w:kern w:val="21"/>
                <w:sz w:val="21"/>
                <w:szCs w:val="21"/>
              </w:rPr>
            </w:pPr>
            <w:r>
              <w:rPr>
                <w:rFonts w:hint="eastAsia" w:ascii="Times New Roman" w:hAnsi="Times New Roman" w:eastAsia="宋体" w:cs="Times New Roman"/>
                <w:bCs/>
                <w:color w:val="auto"/>
                <w:szCs w:val="21"/>
                <w:lang w:val="en-US" w:eastAsia="zh-CN"/>
              </w:rPr>
              <w:t>2.16</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43E0686">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53F601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16DF61D8">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废水</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494AEA8">
            <w:pPr>
              <w:pStyle w:val="64"/>
              <w:widowControl/>
              <w:spacing w:before="31" w:line="240" w:lineRule="auto"/>
              <w:jc w:val="center"/>
              <w:rPr>
                <w:rFonts w:hint="default" w:ascii="Times New Roman"/>
                <w:snapToGrid w:val="0"/>
                <w:color w:val="auto"/>
                <w:kern w:val="21"/>
                <w:sz w:val="21"/>
                <w:szCs w:val="21"/>
              </w:rPr>
            </w:pPr>
            <w:r>
              <w:rPr>
                <w:rFonts w:ascii="Times New Roman"/>
                <w:snapToGrid w:val="0"/>
                <w:color w:val="auto"/>
                <w:kern w:val="21"/>
                <w:sz w:val="21"/>
                <w:szCs w:val="21"/>
              </w:rPr>
              <w:t>COD</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4728B4F">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FAC1FFA">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AC60F96">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023EB0A">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EA67566">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A7047D2">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529BCD3">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r>
      <w:tr w14:paraId="57535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2D9F5D75">
            <w:pPr>
              <w:rPr>
                <w:rFonts w:ascii="Times New Roman" w:hAnsi="Times New Roman" w:cs="Times New Roman"/>
                <w:color w:val="auto"/>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611AF9E">
            <w:pPr>
              <w:pStyle w:val="64"/>
              <w:widowControl/>
              <w:spacing w:before="31" w:line="240" w:lineRule="auto"/>
              <w:jc w:val="center"/>
              <w:rPr>
                <w:rFonts w:hint="default" w:ascii="Times New Roman"/>
                <w:snapToGrid w:val="0"/>
                <w:color w:val="auto"/>
                <w:kern w:val="21"/>
                <w:sz w:val="21"/>
                <w:szCs w:val="21"/>
              </w:rPr>
            </w:pPr>
            <w:r>
              <w:rPr>
                <w:rFonts w:ascii="Times New Roman"/>
                <w:snapToGrid w:val="0"/>
                <w:color w:val="auto"/>
                <w:kern w:val="21"/>
                <w:sz w:val="21"/>
                <w:szCs w:val="21"/>
              </w:rPr>
              <w:t>氨氮</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60D495B">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F9374FC">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3125520">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B7B2056">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0858AFDF">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70F48D4">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548EE2B">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r>
      <w:tr w14:paraId="07778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451BABF9">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一般工业</w:t>
            </w:r>
          </w:p>
          <w:p w14:paraId="5F6EE92A">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固体废物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EA370">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废边角料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7DE7085">
            <w:pPr>
              <w:pStyle w:val="64"/>
              <w:widowControl/>
              <w:spacing w:before="31" w:line="240" w:lineRule="auto"/>
              <w:ind w:right="113" w:rightChars="0"/>
              <w:jc w:val="center"/>
              <w:rPr>
                <w:rFonts w:hint="default"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C519395">
            <w:pPr>
              <w:pStyle w:val="64"/>
              <w:widowControl/>
              <w:spacing w:before="31" w:line="240" w:lineRule="auto"/>
              <w:jc w:val="center"/>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32744EF">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322CFAC">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100</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C9F1422">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AC89E58">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100</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AD4BCEE">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844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AD0CCD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4B1D9">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不合格品及退货订单产品</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72F14C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C62DE2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291496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4452E4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FAF22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66AB7A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6BCD4C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E03E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ACC7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388DE0F">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布袋除尘器收集尘</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6BBE670">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0C4FAD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49A4A9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2ACFFD13">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0.1425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0572AE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BD2E340">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0.1425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CE1343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28E75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46C23D1">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39CAB7B1">
            <w:pPr>
              <w:widowControl/>
              <w:spacing w:line="280" w:lineRule="atLeast"/>
              <w:jc w:val="center"/>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废布袋</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927A50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806E04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BDE6D3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751F1A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010D695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13A6B8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87A95F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52FD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91A346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5F66A5D">
            <w:pPr>
              <w:widowControl/>
              <w:spacing w:line="280" w:lineRule="atLeast"/>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废包装物</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80E0D3D">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1B894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B99253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3A91651E">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58A891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D7B2496">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749CFA7">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64AABD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5A3312B4">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危险废物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2B1C4D7">
            <w:pPr>
              <w:widowControl/>
              <w:spacing w:line="280" w:lineRule="atLeast"/>
              <w:jc w:val="center"/>
              <w:rPr>
                <w:rFonts w:hint="default" w:ascii="Times New Roman"/>
                <w:snapToGrid w:val="0"/>
                <w:color w:val="auto"/>
                <w:kern w:val="21"/>
                <w:sz w:val="21"/>
                <w:szCs w:val="21"/>
              </w:rPr>
            </w:pPr>
            <w:r>
              <w:rPr>
                <w:rFonts w:hint="eastAsia" w:ascii="Times New Roman" w:hAnsi="Times New Roman" w:eastAsia="宋体" w:cs="Times New Roman"/>
                <w:color w:val="auto"/>
                <w:szCs w:val="21"/>
                <w:lang w:val="en-US" w:eastAsia="zh-CN"/>
              </w:rPr>
              <w:t>废机油</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0492275">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82A92A8">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D7D18ED">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3B8F4A8">
            <w:pPr>
              <w:spacing w:line="280" w:lineRule="atLeast"/>
              <w:jc w:val="center"/>
              <w:rPr>
                <w:rFonts w:hint="default" w:ascii="Times New Roman" w:eastAsiaTheme="minorEastAsia"/>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7BA24E6">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F852DE4">
            <w:pPr>
              <w:spacing w:line="280" w:lineRule="atLeast"/>
              <w:jc w:val="center"/>
              <w:rPr>
                <w:rFonts w:hint="default" w:ascii="Times New Roman"/>
                <w:snapToGrid w:val="0"/>
                <w:color w:val="auto"/>
                <w:kern w:val="21"/>
                <w:sz w:val="21"/>
                <w:szCs w:val="21"/>
                <w:lang w:val="en-US"/>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708571B">
            <w:pPr>
              <w:pStyle w:val="64"/>
              <w:widowControl/>
              <w:spacing w:before="31" w:line="240" w:lineRule="auto"/>
              <w:ind w:right="113" w:rightChars="0"/>
              <w:jc w:val="center"/>
              <w:rPr>
                <w:rFonts w:hint="default" w:ascii="Times New Roman"/>
                <w:snapToGrid w:val="0"/>
                <w:color w:val="auto"/>
                <w:kern w:val="21"/>
                <w:sz w:val="21"/>
                <w:szCs w:val="21"/>
                <w:lang w:val="en-US"/>
              </w:rPr>
            </w:pPr>
            <w:r>
              <w:rPr>
                <w:rFonts w:hint="eastAsia" w:ascii="Times New Roman"/>
                <w:snapToGrid w:val="0"/>
                <w:color w:val="auto"/>
                <w:kern w:val="21"/>
                <w:sz w:val="21"/>
                <w:szCs w:val="21"/>
                <w:lang w:val="en-US" w:eastAsia="zh-CN"/>
              </w:rPr>
              <w:t>/</w:t>
            </w:r>
          </w:p>
        </w:tc>
      </w:tr>
      <w:tr w14:paraId="17377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AE3900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2F0C39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9787A7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7252A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75584F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531943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3DD43DD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DAA26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04F7A01">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3D7A2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2ABD50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9157A3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56B6C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2E7E0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B6238D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F903E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0.375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CF8E2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DB18CD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0.375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1E8FC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3D09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F9EB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2648F1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640DA4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8CD7A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B53C4A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47E4FD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342AE6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B96F3E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FA055A9">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bl>
    <w:p w14:paraId="0CC465D9">
      <w:pPr>
        <w:pStyle w:val="64"/>
        <w:widowControl/>
        <w:wordWrap w:val="0"/>
        <w:spacing w:before="249" w:beforeLines="80" w:after="24"/>
        <w:jc w:val="both"/>
        <w:rPr>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③</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④</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⑤</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⑦</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int="default" w:hAnsi="宋体"/>
          <w:color w:val="000000" w:themeColor="text1"/>
          <w:spacing w:val="-6"/>
          <w:kern w:val="21"/>
          <w:szCs w:val="21"/>
          <w14:textFill>
            <w14:solidFill>
              <w14:schemeClr w14:val="tx1"/>
            </w14:solidFill>
          </w14:textFill>
        </w:rPr>
        <w:t xml:space="preserve">                                                                                                        </w:t>
      </w:r>
    </w:p>
    <w:sectPr>
      <w:pgSz w:w="16838" w:h="11906" w:orient="landscape"/>
      <w:pgMar w:top="1531" w:right="1702" w:bottom="1531" w:left="1702" w:header="851" w:footer="851"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8249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3B9D">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25C21"/>
    <w:multiLevelType w:val="singleLevel"/>
    <w:tmpl w:val="84B25C21"/>
    <w:lvl w:ilvl="0" w:tentative="0">
      <w:start w:val="2"/>
      <w:numFmt w:val="decimal"/>
      <w:suff w:val="nothing"/>
      <w:lvlText w:val="%1、"/>
      <w:lvlJc w:val="left"/>
    </w:lvl>
  </w:abstractNum>
  <w:abstractNum w:abstractNumId="1">
    <w:nsid w:val="DC7BF097"/>
    <w:multiLevelType w:val="singleLevel"/>
    <w:tmpl w:val="DC7BF097"/>
    <w:lvl w:ilvl="0" w:tentative="0">
      <w:start w:val="3"/>
      <w:numFmt w:val="decimal"/>
      <w:suff w:val="nothing"/>
      <w:lvlText w:val="（%1）"/>
      <w:lvlJc w:val="left"/>
    </w:lvl>
  </w:abstractNum>
  <w:abstractNum w:abstractNumId="2">
    <w:nsid w:val="EB062F64"/>
    <w:multiLevelType w:val="singleLevel"/>
    <w:tmpl w:val="EB062F64"/>
    <w:lvl w:ilvl="0" w:tentative="0">
      <w:start w:val="20"/>
      <w:numFmt w:val="upperLetter"/>
      <w:suff w:val="nothing"/>
      <w:lvlText w:val="%1-"/>
      <w:lvlJc w:val="left"/>
    </w:lvl>
  </w:abstractNum>
  <w:abstractNum w:abstractNumId="3">
    <w:nsid w:val="FE6A471F"/>
    <w:multiLevelType w:val="singleLevel"/>
    <w:tmpl w:val="FE6A471F"/>
    <w:lvl w:ilvl="0" w:tentative="0">
      <w:start w:val="14"/>
      <w:numFmt w:val="upperLetter"/>
      <w:suff w:val="nothing"/>
      <w:lvlText w:val="%1-"/>
      <w:lvlJc w:val="left"/>
    </w:lvl>
  </w:abstractNum>
  <w:abstractNum w:abstractNumId="4">
    <w:nsid w:val="00844835"/>
    <w:multiLevelType w:val="singleLevel"/>
    <w:tmpl w:val="00844835"/>
    <w:lvl w:ilvl="0" w:tentative="0">
      <w:start w:val="1"/>
      <w:numFmt w:val="bullet"/>
      <w:pStyle w:val="16"/>
      <w:lvlText w:val=""/>
      <w:lvlJc w:val="left"/>
      <w:pPr>
        <w:tabs>
          <w:tab w:val="left" w:pos="2040"/>
        </w:tabs>
        <w:ind w:left="2040" w:hanging="360"/>
      </w:pPr>
      <w:rPr>
        <w:rFonts w:hint="default" w:ascii="Wingdings" w:hAnsi="Wingdings"/>
      </w:rPr>
    </w:lvl>
  </w:abstractNum>
  <w:abstractNum w:abstractNumId="5">
    <w:nsid w:val="3A3CA2C2"/>
    <w:multiLevelType w:val="singleLevel"/>
    <w:tmpl w:val="3A3CA2C2"/>
    <w:lvl w:ilvl="0" w:tentative="0">
      <w:start w:val="4"/>
      <w:numFmt w:val="chineseCounting"/>
      <w:suff w:val="nothing"/>
      <w:lvlText w:val="%1、"/>
      <w:lvlJc w:val="left"/>
      <w:rPr>
        <w:rFonts w:hint="eastAsia"/>
      </w:rPr>
    </w:lvl>
  </w:abstractNum>
  <w:abstractNum w:abstractNumId="6">
    <w:nsid w:val="41EFFAEB"/>
    <w:multiLevelType w:val="singleLevel"/>
    <w:tmpl w:val="41EFFAEB"/>
    <w:lvl w:ilvl="0" w:tentative="0">
      <w:start w:val="1"/>
      <w:numFmt w:val="decimal"/>
      <w:suff w:val="nothing"/>
      <w:lvlText w:val="%1、"/>
      <w:lvlJc w:val="left"/>
    </w:lvl>
  </w:abstractNum>
  <w:abstractNum w:abstractNumId="7">
    <w:nsid w:val="5D0B29B1"/>
    <w:multiLevelType w:val="multilevel"/>
    <w:tmpl w:val="5D0B29B1"/>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rPr>
        <w:rFonts w:ascii="宋体" w:hAnsi="宋体" w:eastAsia="宋体"/>
        <w:b w:val="0"/>
        <w:sz w:val="24"/>
        <w:szCs w:val="24"/>
      </w:rPr>
    </w:lvl>
    <w:lvl w:ilvl="2" w:tentative="0">
      <w:start w:val="1"/>
      <w:numFmt w:val="decimal"/>
      <w:lvlText w:val="%1.%2.%3"/>
      <w:lvlJc w:val="left"/>
      <w:pPr>
        <w:tabs>
          <w:tab w:val="left" w:pos="766"/>
        </w:tabs>
        <w:ind w:left="766" w:hanging="720"/>
      </w:pPr>
    </w:lvl>
    <w:lvl w:ilvl="3" w:tentative="0">
      <w:start w:val="1"/>
      <w:numFmt w:val="decimal"/>
      <w:pStyle w:val="5"/>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7"/>
  </w:num>
  <w:num w:numId="2">
    <w:abstractNumId w:val="4"/>
  </w:num>
  <w:num w:numId="3">
    <w:abstractNumId w:val="0"/>
  </w:num>
  <w:num w:numId="4">
    <w:abstractNumId w:val="6"/>
  </w:num>
  <w:num w:numId="5">
    <w:abstractNumId w:val="1"/>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172A27"/>
    <w:rsid w:val="00016403"/>
    <w:rsid w:val="00016A9D"/>
    <w:rsid w:val="00020D26"/>
    <w:rsid w:val="00035A4A"/>
    <w:rsid w:val="00054413"/>
    <w:rsid w:val="0007605C"/>
    <w:rsid w:val="00091608"/>
    <w:rsid w:val="000A22DB"/>
    <w:rsid w:val="000B117A"/>
    <w:rsid w:val="000B342F"/>
    <w:rsid w:val="000D2D84"/>
    <w:rsid w:val="000E1149"/>
    <w:rsid w:val="000E4763"/>
    <w:rsid w:val="000F4E0B"/>
    <w:rsid w:val="0010022E"/>
    <w:rsid w:val="00105792"/>
    <w:rsid w:val="0011309A"/>
    <w:rsid w:val="00113817"/>
    <w:rsid w:val="00150A6D"/>
    <w:rsid w:val="001521DE"/>
    <w:rsid w:val="001571A5"/>
    <w:rsid w:val="00165405"/>
    <w:rsid w:val="00172A27"/>
    <w:rsid w:val="00172CD0"/>
    <w:rsid w:val="00176A99"/>
    <w:rsid w:val="00187521"/>
    <w:rsid w:val="00191B2E"/>
    <w:rsid w:val="0019536F"/>
    <w:rsid w:val="001A070D"/>
    <w:rsid w:val="001A502A"/>
    <w:rsid w:val="001A5E5F"/>
    <w:rsid w:val="001A6840"/>
    <w:rsid w:val="001A6A07"/>
    <w:rsid w:val="001A7B98"/>
    <w:rsid w:val="001B0F8A"/>
    <w:rsid w:val="001B2BBE"/>
    <w:rsid w:val="001B67DE"/>
    <w:rsid w:val="001C29AB"/>
    <w:rsid w:val="001C73C3"/>
    <w:rsid w:val="001D5F12"/>
    <w:rsid w:val="001E0594"/>
    <w:rsid w:val="001E35EF"/>
    <w:rsid w:val="001E3A21"/>
    <w:rsid w:val="001E57CC"/>
    <w:rsid w:val="001F1358"/>
    <w:rsid w:val="001F462B"/>
    <w:rsid w:val="001F6CB4"/>
    <w:rsid w:val="00202A74"/>
    <w:rsid w:val="002179D0"/>
    <w:rsid w:val="002235CA"/>
    <w:rsid w:val="002315DC"/>
    <w:rsid w:val="00235BB7"/>
    <w:rsid w:val="00240502"/>
    <w:rsid w:val="00243D42"/>
    <w:rsid w:val="0025083F"/>
    <w:rsid w:val="002514F6"/>
    <w:rsid w:val="00255054"/>
    <w:rsid w:val="002768AF"/>
    <w:rsid w:val="00281B92"/>
    <w:rsid w:val="002823D8"/>
    <w:rsid w:val="00287411"/>
    <w:rsid w:val="002B459D"/>
    <w:rsid w:val="002C1C65"/>
    <w:rsid w:val="002C240C"/>
    <w:rsid w:val="002D1C86"/>
    <w:rsid w:val="002E0B5F"/>
    <w:rsid w:val="002E5FCE"/>
    <w:rsid w:val="002E73C8"/>
    <w:rsid w:val="002F7FBA"/>
    <w:rsid w:val="0030765C"/>
    <w:rsid w:val="003078AC"/>
    <w:rsid w:val="00317BEA"/>
    <w:rsid w:val="003357D8"/>
    <w:rsid w:val="0035025C"/>
    <w:rsid w:val="003509E3"/>
    <w:rsid w:val="00356F33"/>
    <w:rsid w:val="00367D8B"/>
    <w:rsid w:val="00370788"/>
    <w:rsid w:val="00375D6B"/>
    <w:rsid w:val="0037766E"/>
    <w:rsid w:val="00380376"/>
    <w:rsid w:val="00381F0D"/>
    <w:rsid w:val="00384DC0"/>
    <w:rsid w:val="003A7BBA"/>
    <w:rsid w:val="003B4EC5"/>
    <w:rsid w:val="003D0B37"/>
    <w:rsid w:val="003D2619"/>
    <w:rsid w:val="003D3474"/>
    <w:rsid w:val="003D4E67"/>
    <w:rsid w:val="003E1702"/>
    <w:rsid w:val="003E387C"/>
    <w:rsid w:val="003E39AE"/>
    <w:rsid w:val="003E52F3"/>
    <w:rsid w:val="003F1358"/>
    <w:rsid w:val="003F39B7"/>
    <w:rsid w:val="003F7E8C"/>
    <w:rsid w:val="004019B4"/>
    <w:rsid w:val="0040576B"/>
    <w:rsid w:val="00411CA3"/>
    <w:rsid w:val="004124AA"/>
    <w:rsid w:val="00414020"/>
    <w:rsid w:val="00414E2D"/>
    <w:rsid w:val="00414EAA"/>
    <w:rsid w:val="00417C75"/>
    <w:rsid w:val="004228BB"/>
    <w:rsid w:val="00425A1B"/>
    <w:rsid w:val="0043533B"/>
    <w:rsid w:val="004523D6"/>
    <w:rsid w:val="0045476E"/>
    <w:rsid w:val="00461D29"/>
    <w:rsid w:val="004656A0"/>
    <w:rsid w:val="004A77BB"/>
    <w:rsid w:val="004B37FF"/>
    <w:rsid w:val="004B69D7"/>
    <w:rsid w:val="004C1C44"/>
    <w:rsid w:val="004C1C92"/>
    <w:rsid w:val="004C1E18"/>
    <w:rsid w:val="004C2144"/>
    <w:rsid w:val="004D3C0A"/>
    <w:rsid w:val="004D722B"/>
    <w:rsid w:val="00505830"/>
    <w:rsid w:val="00506555"/>
    <w:rsid w:val="0050783B"/>
    <w:rsid w:val="00514CFE"/>
    <w:rsid w:val="00515EBE"/>
    <w:rsid w:val="00522092"/>
    <w:rsid w:val="0052620D"/>
    <w:rsid w:val="0052792A"/>
    <w:rsid w:val="00530DC1"/>
    <w:rsid w:val="00533CA6"/>
    <w:rsid w:val="005414C7"/>
    <w:rsid w:val="00552758"/>
    <w:rsid w:val="00555DC4"/>
    <w:rsid w:val="00560B12"/>
    <w:rsid w:val="0056730E"/>
    <w:rsid w:val="00570158"/>
    <w:rsid w:val="00572447"/>
    <w:rsid w:val="00577C04"/>
    <w:rsid w:val="00580266"/>
    <w:rsid w:val="005838B7"/>
    <w:rsid w:val="0058523E"/>
    <w:rsid w:val="005870FE"/>
    <w:rsid w:val="00590875"/>
    <w:rsid w:val="005A4016"/>
    <w:rsid w:val="005A4D75"/>
    <w:rsid w:val="005B1CAF"/>
    <w:rsid w:val="005C2F44"/>
    <w:rsid w:val="005C39A7"/>
    <w:rsid w:val="005D24B2"/>
    <w:rsid w:val="005D2FE2"/>
    <w:rsid w:val="005D7703"/>
    <w:rsid w:val="005E0694"/>
    <w:rsid w:val="005E564D"/>
    <w:rsid w:val="005E5FCD"/>
    <w:rsid w:val="005E7655"/>
    <w:rsid w:val="005F4517"/>
    <w:rsid w:val="006023DB"/>
    <w:rsid w:val="00604918"/>
    <w:rsid w:val="00604F6C"/>
    <w:rsid w:val="00607A52"/>
    <w:rsid w:val="00607AE9"/>
    <w:rsid w:val="00613E02"/>
    <w:rsid w:val="00621C9D"/>
    <w:rsid w:val="0062519D"/>
    <w:rsid w:val="00632CB2"/>
    <w:rsid w:val="00653E1D"/>
    <w:rsid w:val="00665639"/>
    <w:rsid w:val="0067197B"/>
    <w:rsid w:val="00676D9A"/>
    <w:rsid w:val="00680462"/>
    <w:rsid w:val="00681149"/>
    <w:rsid w:val="00696711"/>
    <w:rsid w:val="006A0CF2"/>
    <w:rsid w:val="006A3EF3"/>
    <w:rsid w:val="006B2492"/>
    <w:rsid w:val="006C4C07"/>
    <w:rsid w:val="006C68A5"/>
    <w:rsid w:val="006D2ACF"/>
    <w:rsid w:val="006E2BB1"/>
    <w:rsid w:val="006E2E43"/>
    <w:rsid w:val="006E385F"/>
    <w:rsid w:val="006E5EC7"/>
    <w:rsid w:val="006F1EDB"/>
    <w:rsid w:val="006F27A3"/>
    <w:rsid w:val="006F2E82"/>
    <w:rsid w:val="006F3BC5"/>
    <w:rsid w:val="006F4E58"/>
    <w:rsid w:val="007054D1"/>
    <w:rsid w:val="00705A04"/>
    <w:rsid w:val="00705D3A"/>
    <w:rsid w:val="00727CE4"/>
    <w:rsid w:val="00734645"/>
    <w:rsid w:val="00744ADD"/>
    <w:rsid w:val="00752CFE"/>
    <w:rsid w:val="00775430"/>
    <w:rsid w:val="007756C4"/>
    <w:rsid w:val="00775A84"/>
    <w:rsid w:val="00777B14"/>
    <w:rsid w:val="00782C13"/>
    <w:rsid w:val="00786414"/>
    <w:rsid w:val="00787147"/>
    <w:rsid w:val="00787D53"/>
    <w:rsid w:val="007A3A7D"/>
    <w:rsid w:val="007A67D1"/>
    <w:rsid w:val="007A753D"/>
    <w:rsid w:val="007B6C44"/>
    <w:rsid w:val="007C27AD"/>
    <w:rsid w:val="007C2CDB"/>
    <w:rsid w:val="007C6347"/>
    <w:rsid w:val="007D60C0"/>
    <w:rsid w:val="007F0064"/>
    <w:rsid w:val="007F1CC0"/>
    <w:rsid w:val="007F39E3"/>
    <w:rsid w:val="007F4013"/>
    <w:rsid w:val="00800DC0"/>
    <w:rsid w:val="0080140E"/>
    <w:rsid w:val="0080436C"/>
    <w:rsid w:val="00807CFB"/>
    <w:rsid w:val="008112B5"/>
    <w:rsid w:val="00822AA8"/>
    <w:rsid w:val="00823A53"/>
    <w:rsid w:val="00831E64"/>
    <w:rsid w:val="00851801"/>
    <w:rsid w:val="008534EC"/>
    <w:rsid w:val="008635B9"/>
    <w:rsid w:val="0087216C"/>
    <w:rsid w:val="008923BC"/>
    <w:rsid w:val="008926F6"/>
    <w:rsid w:val="008936AA"/>
    <w:rsid w:val="008A04D9"/>
    <w:rsid w:val="008B09C1"/>
    <w:rsid w:val="008B73F9"/>
    <w:rsid w:val="008C2B64"/>
    <w:rsid w:val="008C443C"/>
    <w:rsid w:val="008C4773"/>
    <w:rsid w:val="008C774B"/>
    <w:rsid w:val="008D6BE4"/>
    <w:rsid w:val="008E561B"/>
    <w:rsid w:val="008F2CDB"/>
    <w:rsid w:val="008F5D55"/>
    <w:rsid w:val="008F6B5D"/>
    <w:rsid w:val="008F7D47"/>
    <w:rsid w:val="009132B0"/>
    <w:rsid w:val="009151A4"/>
    <w:rsid w:val="0092107F"/>
    <w:rsid w:val="00942394"/>
    <w:rsid w:val="00943F3F"/>
    <w:rsid w:val="00944652"/>
    <w:rsid w:val="0094508F"/>
    <w:rsid w:val="009503B9"/>
    <w:rsid w:val="00951361"/>
    <w:rsid w:val="00960249"/>
    <w:rsid w:val="0096086F"/>
    <w:rsid w:val="00971053"/>
    <w:rsid w:val="00980309"/>
    <w:rsid w:val="0098233C"/>
    <w:rsid w:val="009868D1"/>
    <w:rsid w:val="0099002F"/>
    <w:rsid w:val="0099187A"/>
    <w:rsid w:val="009A1794"/>
    <w:rsid w:val="009B5053"/>
    <w:rsid w:val="009B686A"/>
    <w:rsid w:val="009C498F"/>
    <w:rsid w:val="009C618B"/>
    <w:rsid w:val="009C721E"/>
    <w:rsid w:val="009E2ABB"/>
    <w:rsid w:val="009E797B"/>
    <w:rsid w:val="009E7B6D"/>
    <w:rsid w:val="009F4690"/>
    <w:rsid w:val="009F5C36"/>
    <w:rsid w:val="00A065FE"/>
    <w:rsid w:val="00A105DB"/>
    <w:rsid w:val="00A20610"/>
    <w:rsid w:val="00A20AF8"/>
    <w:rsid w:val="00A2600F"/>
    <w:rsid w:val="00A36D8B"/>
    <w:rsid w:val="00A36EA9"/>
    <w:rsid w:val="00A41C03"/>
    <w:rsid w:val="00A52CA4"/>
    <w:rsid w:val="00A53E3A"/>
    <w:rsid w:val="00A566D5"/>
    <w:rsid w:val="00A60A0C"/>
    <w:rsid w:val="00A73106"/>
    <w:rsid w:val="00A76A98"/>
    <w:rsid w:val="00A778AA"/>
    <w:rsid w:val="00A901E6"/>
    <w:rsid w:val="00A97E0B"/>
    <w:rsid w:val="00AA165F"/>
    <w:rsid w:val="00AC0FF9"/>
    <w:rsid w:val="00AC4B68"/>
    <w:rsid w:val="00AD3911"/>
    <w:rsid w:val="00AD4179"/>
    <w:rsid w:val="00AD4F0D"/>
    <w:rsid w:val="00AE1700"/>
    <w:rsid w:val="00AE7D1B"/>
    <w:rsid w:val="00B02045"/>
    <w:rsid w:val="00B120EA"/>
    <w:rsid w:val="00B20F03"/>
    <w:rsid w:val="00B21151"/>
    <w:rsid w:val="00B2494E"/>
    <w:rsid w:val="00B24EA3"/>
    <w:rsid w:val="00B277D9"/>
    <w:rsid w:val="00B3103C"/>
    <w:rsid w:val="00B33D4C"/>
    <w:rsid w:val="00B406C6"/>
    <w:rsid w:val="00B431FD"/>
    <w:rsid w:val="00B47171"/>
    <w:rsid w:val="00B5707C"/>
    <w:rsid w:val="00B73FEF"/>
    <w:rsid w:val="00B77438"/>
    <w:rsid w:val="00B8396F"/>
    <w:rsid w:val="00B92E7F"/>
    <w:rsid w:val="00B964B4"/>
    <w:rsid w:val="00BA4947"/>
    <w:rsid w:val="00BA5C16"/>
    <w:rsid w:val="00BA7CA7"/>
    <w:rsid w:val="00BB0AF8"/>
    <w:rsid w:val="00BB4938"/>
    <w:rsid w:val="00BB6670"/>
    <w:rsid w:val="00BC6F35"/>
    <w:rsid w:val="00BD0704"/>
    <w:rsid w:val="00BD07D2"/>
    <w:rsid w:val="00BE0C8D"/>
    <w:rsid w:val="00BF087E"/>
    <w:rsid w:val="00BF0E19"/>
    <w:rsid w:val="00BF488F"/>
    <w:rsid w:val="00C0614C"/>
    <w:rsid w:val="00C350A6"/>
    <w:rsid w:val="00C4077A"/>
    <w:rsid w:val="00C41187"/>
    <w:rsid w:val="00C57616"/>
    <w:rsid w:val="00C6513A"/>
    <w:rsid w:val="00C66EAB"/>
    <w:rsid w:val="00C77F5B"/>
    <w:rsid w:val="00CB07EA"/>
    <w:rsid w:val="00CB4956"/>
    <w:rsid w:val="00CB6C17"/>
    <w:rsid w:val="00CC2226"/>
    <w:rsid w:val="00CC32AB"/>
    <w:rsid w:val="00CC5ABD"/>
    <w:rsid w:val="00CC71E0"/>
    <w:rsid w:val="00CD2B45"/>
    <w:rsid w:val="00CD4EEB"/>
    <w:rsid w:val="00CD7426"/>
    <w:rsid w:val="00CE06E6"/>
    <w:rsid w:val="00CE341D"/>
    <w:rsid w:val="00CF0282"/>
    <w:rsid w:val="00D11146"/>
    <w:rsid w:val="00D12EFC"/>
    <w:rsid w:val="00D15815"/>
    <w:rsid w:val="00D24D38"/>
    <w:rsid w:val="00D273A2"/>
    <w:rsid w:val="00D30CB8"/>
    <w:rsid w:val="00D351C0"/>
    <w:rsid w:val="00D37387"/>
    <w:rsid w:val="00D37A21"/>
    <w:rsid w:val="00D434F1"/>
    <w:rsid w:val="00D43633"/>
    <w:rsid w:val="00D463ED"/>
    <w:rsid w:val="00D55046"/>
    <w:rsid w:val="00D56063"/>
    <w:rsid w:val="00D575F0"/>
    <w:rsid w:val="00D61CC7"/>
    <w:rsid w:val="00D73774"/>
    <w:rsid w:val="00D87288"/>
    <w:rsid w:val="00D90953"/>
    <w:rsid w:val="00D90CDC"/>
    <w:rsid w:val="00D97EED"/>
    <w:rsid w:val="00DA00E4"/>
    <w:rsid w:val="00DA4A1E"/>
    <w:rsid w:val="00DA62DC"/>
    <w:rsid w:val="00DB3EBA"/>
    <w:rsid w:val="00DB423F"/>
    <w:rsid w:val="00DC3081"/>
    <w:rsid w:val="00DD01AF"/>
    <w:rsid w:val="00DD30B6"/>
    <w:rsid w:val="00DD499D"/>
    <w:rsid w:val="00DE1BE7"/>
    <w:rsid w:val="00DE2612"/>
    <w:rsid w:val="00DE2C04"/>
    <w:rsid w:val="00DE7C6F"/>
    <w:rsid w:val="00DF260E"/>
    <w:rsid w:val="00DF500B"/>
    <w:rsid w:val="00E01687"/>
    <w:rsid w:val="00E04093"/>
    <w:rsid w:val="00E0464E"/>
    <w:rsid w:val="00E120EA"/>
    <w:rsid w:val="00E2260D"/>
    <w:rsid w:val="00E24E77"/>
    <w:rsid w:val="00E25076"/>
    <w:rsid w:val="00E2787E"/>
    <w:rsid w:val="00E27EE9"/>
    <w:rsid w:val="00E32C00"/>
    <w:rsid w:val="00E33997"/>
    <w:rsid w:val="00E369BE"/>
    <w:rsid w:val="00E41E05"/>
    <w:rsid w:val="00E473F3"/>
    <w:rsid w:val="00E60012"/>
    <w:rsid w:val="00E6601E"/>
    <w:rsid w:val="00E74AEB"/>
    <w:rsid w:val="00E76F52"/>
    <w:rsid w:val="00E77725"/>
    <w:rsid w:val="00E8153C"/>
    <w:rsid w:val="00E82D58"/>
    <w:rsid w:val="00E8604F"/>
    <w:rsid w:val="00E86099"/>
    <w:rsid w:val="00E862A7"/>
    <w:rsid w:val="00E90145"/>
    <w:rsid w:val="00E905C5"/>
    <w:rsid w:val="00E91C08"/>
    <w:rsid w:val="00EA5636"/>
    <w:rsid w:val="00EB5E49"/>
    <w:rsid w:val="00EB6E48"/>
    <w:rsid w:val="00EC08BF"/>
    <w:rsid w:val="00ED6248"/>
    <w:rsid w:val="00EE2EC5"/>
    <w:rsid w:val="00EE6627"/>
    <w:rsid w:val="00EF33E0"/>
    <w:rsid w:val="00EF36D0"/>
    <w:rsid w:val="00F07EE1"/>
    <w:rsid w:val="00F15FE2"/>
    <w:rsid w:val="00F21AAF"/>
    <w:rsid w:val="00F2448A"/>
    <w:rsid w:val="00F3071C"/>
    <w:rsid w:val="00F30CFD"/>
    <w:rsid w:val="00F31DF5"/>
    <w:rsid w:val="00F4366F"/>
    <w:rsid w:val="00F45CAF"/>
    <w:rsid w:val="00F55647"/>
    <w:rsid w:val="00F5693B"/>
    <w:rsid w:val="00F65E79"/>
    <w:rsid w:val="00F6655B"/>
    <w:rsid w:val="00F67749"/>
    <w:rsid w:val="00F71782"/>
    <w:rsid w:val="00F80B9A"/>
    <w:rsid w:val="00F8155F"/>
    <w:rsid w:val="00F8332B"/>
    <w:rsid w:val="00F904E2"/>
    <w:rsid w:val="00F913AC"/>
    <w:rsid w:val="00F92A03"/>
    <w:rsid w:val="00FA1061"/>
    <w:rsid w:val="00FA21D9"/>
    <w:rsid w:val="00FB0607"/>
    <w:rsid w:val="00FB0C2F"/>
    <w:rsid w:val="00FB6BA7"/>
    <w:rsid w:val="00FC1082"/>
    <w:rsid w:val="00FD4F85"/>
    <w:rsid w:val="00FE2FC6"/>
    <w:rsid w:val="00FE365B"/>
    <w:rsid w:val="00FF00EA"/>
    <w:rsid w:val="00FF3CAA"/>
    <w:rsid w:val="00FF71BC"/>
    <w:rsid w:val="010C0502"/>
    <w:rsid w:val="010F1DA1"/>
    <w:rsid w:val="012313A8"/>
    <w:rsid w:val="01255120"/>
    <w:rsid w:val="0132783D"/>
    <w:rsid w:val="01370AD2"/>
    <w:rsid w:val="0139378E"/>
    <w:rsid w:val="013F13FB"/>
    <w:rsid w:val="0142328E"/>
    <w:rsid w:val="01437EC0"/>
    <w:rsid w:val="014F56AC"/>
    <w:rsid w:val="0153200C"/>
    <w:rsid w:val="01560E9B"/>
    <w:rsid w:val="01664602"/>
    <w:rsid w:val="017635B7"/>
    <w:rsid w:val="017C5697"/>
    <w:rsid w:val="01822573"/>
    <w:rsid w:val="01853D52"/>
    <w:rsid w:val="018E53BB"/>
    <w:rsid w:val="01922578"/>
    <w:rsid w:val="01A12A06"/>
    <w:rsid w:val="01AF70E0"/>
    <w:rsid w:val="01B95932"/>
    <w:rsid w:val="01C50C77"/>
    <w:rsid w:val="01C91E23"/>
    <w:rsid w:val="02086836"/>
    <w:rsid w:val="021F6911"/>
    <w:rsid w:val="02342499"/>
    <w:rsid w:val="02555ED9"/>
    <w:rsid w:val="025A529E"/>
    <w:rsid w:val="025D6F66"/>
    <w:rsid w:val="0261299B"/>
    <w:rsid w:val="02740E96"/>
    <w:rsid w:val="027D0F8C"/>
    <w:rsid w:val="02892B56"/>
    <w:rsid w:val="028F7E01"/>
    <w:rsid w:val="02986115"/>
    <w:rsid w:val="029A1B3E"/>
    <w:rsid w:val="02A274FF"/>
    <w:rsid w:val="02AD4A68"/>
    <w:rsid w:val="02B7449E"/>
    <w:rsid w:val="02BC3862"/>
    <w:rsid w:val="02BF115D"/>
    <w:rsid w:val="02C03AE6"/>
    <w:rsid w:val="02C1531D"/>
    <w:rsid w:val="02D50DC8"/>
    <w:rsid w:val="02DC181A"/>
    <w:rsid w:val="02E5074D"/>
    <w:rsid w:val="02F53218"/>
    <w:rsid w:val="02F645A9"/>
    <w:rsid w:val="030B6CED"/>
    <w:rsid w:val="033E696D"/>
    <w:rsid w:val="03546191"/>
    <w:rsid w:val="03575C81"/>
    <w:rsid w:val="0359519F"/>
    <w:rsid w:val="03791753"/>
    <w:rsid w:val="037B74D7"/>
    <w:rsid w:val="03822CFE"/>
    <w:rsid w:val="038E0515"/>
    <w:rsid w:val="03914210"/>
    <w:rsid w:val="03A01B9C"/>
    <w:rsid w:val="03A26EFC"/>
    <w:rsid w:val="03B779D9"/>
    <w:rsid w:val="03C055D4"/>
    <w:rsid w:val="03DD7F34"/>
    <w:rsid w:val="03DE4DE7"/>
    <w:rsid w:val="03DE5A5A"/>
    <w:rsid w:val="03FC21AE"/>
    <w:rsid w:val="04095D82"/>
    <w:rsid w:val="04096F7B"/>
    <w:rsid w:val="041250F6"/>
    <w:rsid w:val="041D47D5"/>
    <w:rsid w:val="04242B26"/>
    <w:rsid w:val="043364B3"/>
    <w:rsid w:val="0433747E"/>
    <w:rsid w:val="043E7185"/>
    <w:rsid w:val="043F5719"/>
    <w:rsid w:val="044163B3"/>
    <w:rsid w:val="0442423B"/>
    <w:rsid w:val="044730A1"/>
    <w:rsid w:val="044C50BA"/>
    <w:rsid w:val="044D7514"/>
    <w:rsid w:val="04581CB1"/>
    <w:rsid w:val="04640655"/>
    <w:rsid w:val="04660AD8"/>
    <w:rsid w:val="04781A0B"/>
    <w:rsid w:val="04900898"/>
    <w:rsid w:val="04966B9F"/>
    <w:rsid w:val="04980BAF"/>
    <w:rsid w:val="049F51EA"/>
    <w:rsid w:val="04BF6BDD"/>
    <w:rsid w:val="04C16FEE"/>
    <w:rsid w:val="04CD61FB"/>
    <w:rsid w:val="04F55751"/>
    <w:rsid w:val="04F73278"/>
    <w:rsid w:val="05023F6F"/>
    <w:rsid w:val="054F4E8B"/>
    <w:rsid w:val="05526700"/>
    <w:rsid w:val="05544226"/>
    <w:rsid w:val="055549A5"/>
    <w:rsid w:val="056C2F4A"/>
    <w:rsid w:val="05840869"/>
    <w:rsid w:val="058E5104"/>
    <w:rsid w:val="0599432F"/>
    <w:rsid w:val="059A3859"/>
    <w:rsid w:val="059B1CE0"/>
    <w:rsid w:val="05B44CC5"/>
    <w:rsid w:val="05D118CC"/>
    <w:rsid w:val="05DA592E"/>
    <w:rsid w:val="05E938FB"/>
    <w:rsid w:val="05EA06E6"/>
    <w:rsid w:val="06085010"/>
    <w:rsid w:val="06091FCA"/>
    <w:rsid w:val="062D1E15"/>
    <w:rsid w:val="06312481"/>
    <w:rsid w:val="06357C5E"/>
    <w:rsid w:val="063B359C"/>
    <w:rsid w:val="0644429B"/>
    <w:rsid w:val="06691F53"/>
    <w:rsid w:val="066C1A43"/>
    <w:rsid w:val="06734B80"/>
    <w:rsid w:val="067D77AC"/>
    <w:rsid w:val="068B5376"/>
    <w:rsid w:val="06BE6881"/>
    <w:rsid w:val="06C54311"/>
    <w:rsid w:val="06C950BF"/>
    <w:rsid w:val="06CA3834"/>
    <w:rsid w:val="06CE625A"/>
    <w:rsid w:val="070B2F00"/>
    <w:rsid w:val="070D0A8B"/>
    <w:rsid w:val="071C5217"/>
    <w:rsid w:val="07322345"/>
    <w:rsid w:val="07346B0A"/>
    <w:rsid w:val="07516F96"/>
    <w:rsid w:val="075E75DE"/>
    <w:rsid w:val="07683FB9"/>
    <w:rsid w:val="0769059B"/>
    <w:rsid w:val="077034C1"/>
    <w:rsid w:val="07707311"/>
    <w:rsid w:val="07750484"/>
    <w:rsid w:val="0781507A"/>
    <w:rsid w:val="07830DF3"/>
    <w:rsid w:val="078D7EC3"/>
    <w:rsid w:val="07936671"/>
    <w:rsid w:val="079455C8"/>
    <w:rsid w:val="079F4BA3"/>
    <w:rsid w:val="07A5643B"/>
    <w:rsid w:val="07A67A3E"/>
    <w:rsid w:val="07AA57E9"/>
    <w:rsid w:val="07AD40C1"/>
    <w:rsid w:val="07C429D4"/>
    <w:rsid w:val="07D23B28"/>
    <w:rsid w:val="07D65F6C"/>
    <w:rsid w:val="07D84A09"/>
    <w:rsid w:val="07E8279A"/>
    <w:rsid w:val="07ED553A"/>
    <w:rsid w:val="080A78AC"/>
    <w:rsid w:val="080C18D1"/>
    <w:rsid w:val="080D17D9"/>
    <w:rsid w:val="080F5F0D"/>
    <w:rsid w:val="08207405"/>
    <w:rsid w:val="08263CEB"/>
    <w:rsid w:val="082918FF"/>
    <w:rsid w:val="082A18E9"/>
    <w:rsid w:val="0830269A"/>
    <w:rsid w:val="084560A8"/>
    <w:rsid w:val="084762C4"/>
    <w:rsid w:val="084A1910"/>
    <w:rsid w:val="084C38DA"/>
    <w:rsid w:val="085554C1"/>
    <w:rsid w:val="08585DDB"/>
    <w:rsid w:val="08595D4D"/>
    <w:rsid w:val="085F1943"/>
    <w:rsid w:val="086A3D60"/>
    <w:rsid w:val="087C525F"/>
    <w:rsid w:val="088B72CA"/>
    <w:rsid w:val="08931E78"/>
    <w:rsid w:val="08A73BA2"/>
    <w:rsid w:val="08AE764E"/>
    <w:rsid w:val="08AF79C5"/>
    <w:rsid w:val="08BD0334"/>
    <w:rsid w:val="08BF393E"/>
    <w:rsid w:val="08C32540"/>
    <w:rsid w:val="08CA70F3"/>
    <w:rsid w:val="08E104C7"/>
    <w:rsid w:val="08F67549"/>
    <w:rsid w:val="08FD0C71"/>
    <w:rsid w:val="09065540"/>
    <w:rsid w:val="09075A53"/>
    <w:rsid w:val="091A6AE6"/>
    <w:rsid w:val="091B2A28"/>
    <w:rsid w:val="091B59CE"/>
    <w:rsid w:val="09241A37"/>
    <w:rsid w:val="092E3A4F"/>
    <w:rsid w:val="09450156"/>
    <w:rsid w:val="095067AD"/>
    <w:rsid w:val="095567BF"/>
    <w:rsid w:val="09A80FE4"/>
    <w:rsid w:val="09AB2883"/>
    <w:rsid w:val="09B17EF5"/>
    <w:rsid w:val="09E84F7C"/>
    <w:rsid w:val="09ED2E9B"/>
    <w:rsid w:val="09F75C16"/>
    <w:rsid w:val="09FD4058"/>
    <w:rsid w:val="0A232419"/>
    <w:rsid w:val="0A3B7763"/>
    <w:rsid w:val="0A3D172D"/>
    <w:rsid w:val="0A4A6D32"/>
    <w:rsid w:val="0A4C418B"/>
    <w:rsid w:val="0A4E5BF0"/>
    <w:rsid w:val="0A56459C"/>
    <w:rsid w:val="0A5847B8"/>
    <w:rsid w:val="0A6A44EC"/>
    <w:rsid w:val="0A7333A0"/>
    <w:rsid w:val="0A78246D"/>
    <w:rsid w:val="0A7A5E11"/>
    <w:rsid w:val="0A7D5FCD"/>
    <w:rsid w:val="0A7E3AF3"/>
    <w:rsid w:val="0A870BFA"/>
    <w:rsid w:val="0AA411F3"/>
    <w:rsid w:val="0AA948DE"/>
    <w:rsid w:val="0AB614DF"/>
    <w:rsid w:val="0ABD3696"/>
    <w:rsid w:val="0AC30442"/>
    <w:rsid w:val="0AC41565"/>
    <w:rsid w:val="0B0C77AB"/>
    <w:rsid w:val="0B100BEF"/>
    <w:rsid w:val="0B1B1F4E"/>
    <w:rsid w:val="0B2551B0"/>
    <w:rsid w:val="0B291CB1"/>
    <w:rsid w:val="0B2D1E85"/>
    <w:rsid w:val="0B2D79F3"/>
    <w:rsid w:val="0B361C81"/>
    <w:rsid w:val="0B422D73"/>
    <w:rsid w:val="0B664CB3"/>
    <w:rsid w:val="0B703DB8"/>
    <w:rsid w:val="0B7D4B2B"/>
    <w:rsid w:val="0B8B2C37"/>
    <w:rsid w:val="0B8D21FE"/>
    <w:rsid w:val="0B996AA2"/>
    <w:rsid w:val="0BB17874"/>
    <w:rsid w:val="0BC2475E"/>
    <w:rsid w:val="0BCF6F70"/>
    <w:rsid w:val="0BD07885"/>
    <w:rsid w:val="0BD1086A"/>
    <w:rsid w:val="0BD34EB9"/>
    <w:rsid w:val="0BD7795F"/>
    <w:rsid w:val="0BE24068"/>
    <w:rsid w:val="0BEE4593"/>
    <w:rsid w:val="0BEF3EA6"/>
    <w:rsid w:val="0BF73B5D"/>
    <w:rsid w:val="0BFD72E4"/>
    <w:rsid w:val="0C00620B"/>
    <w:rsid w:val="0C0D512F"/>
    <w:rsid w:val="0C0E264F"/>
    <w:rsid w:val="0C112E71"/>
    <w:rsid w:val="0C1E733C"/>
    <w:rsid w:val="0C1F4FA3"/>
    <w:rsid w:val="0C2F7368"/>
    <w:rsid w:val="0C3732B6"/>
    <w:rsid w:val="0C3C2558"/>
    <w:rsid w:val="0C3F0030"/>
    <w:rsid w:val="0C405A13"/>
    <w:rsid w:val="0C417397"/>
    <w:rsid w:val="0C435B5C"/>
    <w:rsid w:val="0C58157A"/>
    <w:rsid w:val="0C5E22BB"/>
    <w:rsid w:val="0C62191E"/>
    <w:rsid w:val="0C6236CC"/>
    <w:rsid w:val="0C6A07D3"/>
    <w:rsid w:val="0C86380E"/>
    <w:rsid w:val="0C8A49D1"/>
    <w:rsid w:val="0C9238A7"/>
    <w:rsid w:val="0C965124"/>
    <w:rsid w:val="0CA044C3"/>
    <w:rsid w:val="0CA14E98"/>
    <w:rsid w:val="0CA737D5"/>
    <w:rsid w:val="0CAA6E21"/>
    <w:rsid w:val="0CAB03B7"/>
    <w:rsid w:val="0CC01CE4"/>
    <w:rsid w:val="0CC7352F"/>
    <w:rsid w:val="0CD65E68"/>
    <w:rsid w:val="0CDF029F"/>
    <w:rsid w:val="0CED7FB7"/>
    <w:rsid w:val="0D00123C"/>
    <w:rsid w:val="0D062877"/>
    <w:rsid w:val="0D0A21CD"/>
    <w:rsid w:val="0D1A5D55"/>
    <w:rsid w:val="0D1B79D6"/>
    <w:rsid w:val="0D206B40"/>
    <w:rsid w:val="0D222E5C"/>
    <w:rsid w:val="0D3316C2"/>
    <w:rsid w:val="0D331B7A"/>
    <w:rsid w:val="0D3652E6"/>
    <w:rsid w:val="0D3A3EE3"/>
    <w:rsid w:val="0D3B5CCB"/>
    <w:rsid w:val="0D4D7271"/>
    <w:rsid w:val="0D4E59FF"/>
    <w:rsid w:val="0D5A43A4"/>
    <w:rsid w:val="0D7235CB"/>
    <w:rsid w:val="0D827434"/>
    <w:rsid w:val="0D845C3B"/>
    <w:rsid w:val="0D86163D"/>
    <w:rsid w:val="0D964FD5"/>
    <w:rsid w:val="0D996F38"/>
    <w:rsid w:val="0DA02988"/>
    <w:rsid w:val="0DA6583B"/>
    <w:rsid w:val="0DAF622D"/>
    <w:rsid w:val="0DAF7D84"/>
    <w:rsid w:val="0DBA3094"/>
    <w:rsid w:val="0DBB7B04"/>
    <w:rsid w:val="0DBE1C14"/>
    <w:rsid w:val="0DC91EAE"/>
    <w:rsid w:val="0DD04666"/>
    <w:rsid w:val="0DD57ECE"/>
    <w:rsid w:val="0DD84FC2"/>
    <w:rsid w:val="0DD87454"/>
    <w:rsid w:val="0DE62BE4"/>
    <w:rsid w:val="0DE87232"/>
    <w:rsid w:val="0DFD396A"/>
    <w:rsid w:val="0E034A3B"/>
    <w:rsid w:val="0E055D2F"/>
    <w:rsid w:val="0E056A05"/>
    <w:rsid w:val="0E0A5DCA"/>
    <w:rsid w:val="0E244070"/>
    <w:rsid w:val="0E303356"/>
    <w:rsid w:val="0E3E745E"/>
    <w:rsid w:val="0E414FDB"/>
    <w:rsid w:val="0E4B0190"/>
    <w:rsid w:val="0E546366"/>
    <w:rsid w:val="0E56100F"/>
    <w:rsid w:val="0E577570"/>
    <w:rsid w:val="0E6454B7"/>
    <w:rsid w:val="0E664FCA"/>
    <w:rsid w:val="0E861DFE"/>
    <w:rsid w:val="0E9A544D"/>
    <w:rsid w:val="0E9A6E8A"/>
    <w:rsid w:val="0EA93835"/>
    <w:rsid w:val="0EAC50D3"/>
    <w:rsid w:val="0EC650AB"/>
    <w:rsid w:val="0ECC1761"/>
    <w:rsid w:val="0ECD6DF7"/>
    <w:rsid w:val="0ED463D8"/>
    <w:rsid w:val="0EE5343C"/>
    <w:rsid w:val="0EED0A31"/>
    <w:rsid w:val="0EFD148A"/>
    <w:rsid w:val="0F0254A7"/>
    <w:rsid w:val="0F1836B2"/>
    <w:rsid w:val="0F1C4BB6"/>
    <w:rsid w:val="0F362BEE"/>
    <w:rsid w:val="0F3A26DF"/>
    <w:rsid w:val="0F4D7377"/>
    <w:rsid w:val="0F586C59"/>
    <w:rsid w:val="0F5B4403"/>
    <w:rsid w:val="0F5C1C3F"/>
    <w:rsid w:val="0F616AA4"/>
    <w:rsid w:val="0F64150A"/>
    <w:rsid w:val="0F6553CE"/>
    <w:rsid w:val="0F6C03BE"/>
    <w:rsid w:val="0F7E2BDD"/>
    <w:rsid w:val="0F86342F"/>
    <w:rsid w:val="0F8D4EEF"/>
    <w:rsid w:val="0F9242C9"/>
    <w:rsid w:val="0F930041"/>
    <w:rsid w:val="0F934A7C"/>
    <w:rsid w:val="0F9350AB"/>
    <w:rsid w:val="0FA364D6"/>
    <w:rsid w:val="0FD635B3"/>
    <w:rsid w:val="0FEC43D6"/>
    <w:rsid w:val="0FF8387A"/>
    <w:rsid w:val="0FFC55F1"/>
    <w:rsid w:val="0FFD43DE"/>
    <w:rsid w:val="10014FAA"/>
    <w:rsid w:val="100A326B"/>
    <w:rsid w:val="100B33E0"/>
    <w:rsid w:val="100B7C07"/>
    <w:rsid w:val="10142F30"/>
    <w:rsid w:val="102222D4"/>
    <w:rsid w:val="10441D9E"/>
    <w:rsid w:val="104A4BA3"/>
    <w:rsid w:val="105B42AA"/>
    <w:rsid w:val="105C6685"/>
    <w:rsid w:val="10601A98"/>
    <w:rsid w:val="10667503"/>
    <w:rsid w:val="106F0166"/>
    <w:rsid w:val="10720635"/>
    <w:rsid w:val="107B4D5D"/>
    <w:rsid w:val="107C2C7E"/>
    <w:rsid w:val="107C5F88"/>
    <w:rsid w:val="108559FB"/>
    <w:rsid w:val="108D4A90"/>
    <w:rsid w:val="108F0808"/>
    <w:rsid w:val="10907E3C"/>
    <w:rsid w:val="10AA07E5"/>
    <w:rsid w:val="10B14C22"/>
    <w:rsid w:val="10B4201D"/>
    <w:rsid w:val="10D0112F"/>
    <w:rsid w:val="10E420E0"/>
    <w:rsid w:val="10E424BE"/>
    <w:rsid w:val="10F20D97"/>
    <w:rsid w:val="10F25D36"/>
    <w:rsid w:val="10F35863"/>
    <w:rsid w:val="110765F0"/>
    <w:rsid w:val="1113590B"/>
    <w:rsid w:val="111377DA"/>
    <w:rsid w:val="111679F1"/>
    <w:rsid w:val="111E393A"/>
    <w:rsid w:val="1122167C"/>
    <w:rsid w:val="112E6273"/>
    <w:rsid w:val="113373E5"/>
    <w:rsid w:val="11423ACC"/>
    <w:rsid w:val="11475A92"/>
    <w:rsid w:val="11504E62"/>
    <w:rsid w:val="115B06EA"/>
    <w:rsid w:val="116F12D7"/>
    <w:rsid w:val="1173012A"/>
    <w:rsid w:val="11A31A3B"/>
    <w:rsid w:val="11AC6987"/>
    <w:rsid w:val="11B0073A"/>
    <w:rsid w:val="11B304FD"/>
    <w:rsid w:val="11B51A43"/>
    <w:rsid w:val="11B85B3D"/>
    <w:rsid w:val="11BC4469"/>
    <w:rsid w:val="11CA1408"/>
    <w:rsid w:val="11EC75AB"/>
    <w:rsid w:val="11F27736"/>
    <w:rsid w:val="12135660"/>
    <w:rsid w:val="12386C7D"/>
    <w:rsid w:val="124453E1"/>
    <w:rsid w:val="12502219"/>
    <w:rsid w:val="12542EF2"/>
    <w:rsid w:val="125515DD"/>
    <w:rsid w:val="127F665A"/>
    <w:rsid w:val="12906B8C"/>
    <w:rsid w:val="12977E48"/>
    <w:rsid w:val="1299118C"/>
    <w:rsid w:val="129B16E6"/>
    <w:rsid w:val="12B502CE"/>
    <w:rsid w:val="12B5154F"/>
    <w:rsid w:val="12BC0C69"/>
    <w:rsid w:val="12D11BCF"/>
    <w:rsid w:val="12DD64C8"/>
    <w:rsid w:val="12F2272F"/>
    <w:rsid w:val="1300629D"/>
    <w:rsid w:val="13021765"/>
    <w:rsid w:val="13111966"/>
    <w:rsid w:val="13132E55"/>
    <w:rsid w:val="131331E5"/>
    <w:rsid w:val="131507D3"/>
    <w:rsid w:val="132F249D"/>
    <w:rsid w:val="13390EFF"/>
    <w:rsid w:val="133D2931"/>
    <w:rsid w:val="13421557"/>
    <w:rsid w:val="134F6C27"/>
    <w:rsid w:val="136829BB"/>
    <w:rsid w:val="136F041A"/>
    <w:rsid w:val="13750189"/>
    <w:rsid w:val="137804CD"/>
    <w:rsid w:val="137A1AFC"/>
    <w:rsid w:val="139247D8"/>
    <w:rsid w:val="139C4E27"/>
    <w:rsid w:val="13A60095"/>
    <w:rsid w:val="13BC1AD6"/>
    <w:rsid w:val="13D83BA7"/>
    <w:rsid w:val="13E21112"/>
    <w:rsid w:val="13F10D7B"/>
    <w:rsid w:val="140B402F"/>
    <w:rsid w:val="14221993"/>
    <w:rsid w:val="1424395D"/>
    <w:rsid w:val="14250D41"/>
    <w:rsid w:val="14354A90"/>
    <w:rsid w:val="144B713C"/>
    <w:rsid w:val="1453742F"/>
    <w:rsid w:val="14611D24"/>
    <w:rsid w:val="14672882"/>
    <w:rsid w:val="1468266B"/>
    <w:rsid w:val="14777F31"/>
    <w:rsid w:val="14A26437"/>
    <w:rsid w:val="14A64372"/>
    <w:rsid w:val="14AE30CA"/>
    <w:rsid w:val="14B06F9F"/>
    <w:rsid w:val="14B53058"/>
    <w:rsid w:val="14BC2ED5"/>
    <w:rsid w:val="14C330B7"/>
    <w:rsid w:val="14C64A14"/>
    <w:rsid w:val="14CA69E3"/>
    <w:rsid w:val="14D013EF"/>
    <w:rsid w:val="14E8498B"/>
    <w:rsid w:val="14EF1110"/>
    <w:rsid w:val="14F6647A"/>
    <w:rsid w:val="14FC7235"/>
    <w:rsid w:val="150A1545"/>
    <w:rsid w:val="150D2643"/>
    <w:rsid w:val="151F5205"/>
    <w:rsid w:val="153B2D0D"/>
    <w:rsid w:val="15571320"/>
    <w:rsid w:val="155B30B2"/>
    <w:rsid w:val="1568787A"/>
    <w:rsid w:val="157D677A"/>
    <w:rsid w:val="158B0E9B"/>
    <w:rsid w:val="15910B7E"/>
    <w:rsid w:val="15A46B04"/>
    <w:rsid w:val="15A703A2"/>
    <w:rsid w:val="15A85EC8"/>
    <w:rsid w:val="15A920FD"/>
    <w:rsid w:val="15B64A89"/>
    <w:rsid w:val="15B8435D"/>
    <w:rsid w:val="15C51757"/>
    <w:rsid w:val="15DA0FBB"/>
    <w:rsid w:val="15F3078D"/>
    <w:rsid w:val="161B7D54"/>
    <w:rsid w:val="162812C0"/>
    <w:rsid w:val="16297D49"/>
    <w:rsid w:val="162B657D"/>
    <w:rsid w:val="163A0EA2"/>
    <w:rsid w:val="163E3C97"/>
    <w:rsid w:val="1643659A"/>
    <w:rsid w:val="165A11C0"/>
    <w:rsid w:val="1665388A"/>
    <w:rsid w:val="16677B31"/>
    <w:rsid w:val="16730284"/>
    <w:rsid w:val="16827B5D"/>
    <w:rsid w:val="16924BAE"/>
    <w:rsid w:val="16933115"/>
    <w:rsid w:val="169505FE"/>
    <w:rsid w:val="1695469E"/>
    <w:rsid w:val="16A4567A"/>
    <w:rsid w:val="16A50D85"/>
    <w:rsid w:val="16AD43D6"/>
    <w:rsid w:val="16B234A2"/>
    <w:rsid w:val="16C13555"/>
    <w:rsid w:val="16DA1029"/>
    <w:rsid w:val="16F31E4E"/>
    <w:rsid w:val="16FC64D7"/>
    <w:rsid w:val="17355276"/>
    <w:rsid w:val="17401B2D"/>
    <w:rsid w:val="174D6D27"/>
    <w:rsid w:val="17603B2D"/>
    <w:rsid w:val="176E561B"/>
    <w:rsid w:val="177C760C"/>
    <w:rsid w:val="178817F7"/>
    <w:rsid w:val="17946704"/>
    <w:rsid w:val="179A69BC"/>
    <w:rsid w:val="17AB2B91"/>
    <w:rsid w:val="17B60D70"/>
    <w:rsid w:val="17B61D4D"/>
    <w:rsid w:val="17B61E80"/>
    <w:rsid w:val="17B86896"/>
    <w:rsid w:val="17BF5B65"/>
    <w:rsid w:val="17C4193C"/>
    <w:rsid w:val="18093A7C"/>
    <w:rsid w:val="180C273E"/>
    <w:rsid w:val="18216055"/>
    <w:rsid w:val="182540C5"/>
    <w:rsid w:val="183F1C78"/>
    <w:rsid w:val="184719C8"/>
    <w:rsid w:val="184A37E9"/>
    <w:rsid w:val="18552337"/>
    <w:rsid w:val="185C36C6"/>
    <w:rsid w:val="18636CAE"/>
    <w:rsid w:val="186F17A7"/>
    <w:rsid w:val="188744BB"/>
    <w:rsid w:val="18952734"/>
    <w:rsid w:val="189C385F"/>
    <w:rsid w:val="18BC4164"/>
    <w:rsid w:val="18BC5F12"/>
    <w:rsid w:val="18C13529"/>
    <w:rsid w:val="18C27567"/>
    <w:rsid w:val="18D17EE3"/>
    <w:rsid w:val="18E941FB"/>
    <w:rsid w:val="18EB4A4A"/>
    <w:rsid w:val="18F13426"/>
    <w:rsid w:val="18F21171"/>
    <w:rsid w:val="18FF6F9E"/>
    <w:rsid w:val="190B146E"/>
    <w:rsid w:val="1910625E"/>
    <w:rsid w:val="19120048"/>
    <w:rsid w:val="19120407"/>
    <w:rsid w:val="191915B7"/>
    <w:rsid w:val="192150AB"/>
    <w:rsid w:val="193957B5"/>
    <w:rsid w:val="193C56B5"/>
    <w:rsid w:val="193E0D50"/>
    <w:rsid w:val="193E2DCB"/>
    <w:rsid w:val="194123FA"/>
    <w:rsid w:val="194D300E"/>
    <w:rsid w:val="197463D5"/>
    <w:rsid w:val="198232D8"/>
    <w:rsid w:val="198E276E"/>
    <w:rsid w:val="199335AA"/>
    <w:rsid w:val="19A317CF"/>
    <w:rsid w:val="19A76BC3"/>
    <w:rsid w:val="19D228CA"/>
    <w:rsid w:val="19D91EBC"/>
    <w:rsid w:val="1A051B3B"/>
    <w:rsid w:val="1A057D8D"/>
    <w:rsid w:val="1A0E1D32"/>
    <w:rsid w:val="1A184E60"/>
    <w:rsid w:val="1A1A60A6"/>
    <w:rsid w:val="1A1B135F"/>
    <w:rsid w:val="1A1B7BA4"/>
    <w:rsid w:val="1A314307"/>
    <w:rsid w:val="1A39272A"/>
    <w:rsid w:val="1A472154"/>
    <w:rsid w:val="1A4D521D"/>
    <w:rsid w:val="1A50725A"/>
    <w:rsid w:val="1A5171B8"/>
    <w:rsid w:val="1A5328A6"/>
    <w:rsid w:val="1A687305"/>
    <w:rsid w:val="1A725422"/>
    <w:rsid w:val="1A726088"/>
    <w:rsid w:val="1A742B78"/>
    <w:rsid w:val="1A952EBF"/>
    <w:rsid w:val="1A9C3FDB"/>
    <w:rsid w:val="1AA57D41"/>
    <w:rsid w:val="1ABC2AE2"/>
    <w:rsid w:val="1ABE35D5"/>
    <w:rsid w:val="1AC92E03"/>
    <w:rsid w:val="1AE300CE"/>
    <w:rsid w:val="1AE916D9"/>
    <w:rsid w:val="1AEB0D31"/>
    <w:rsid w:val="1AF85457"/>
    <w:rsid w:val="1B08435B"/>
    <w:rsid w:val="1B1069E9"/>
    <w:rsid w:val="1B1816BB"/>
    <w:rsid w:val="1B210BF7"/>
    <w:rsid w:val="1B2316E6"/>
    <w:rsid w:val="1B2B55D1"/>
    <w:rsid w:val="1B2F3720"/>
    <w:rsid w:val="1B2F50C2"/>
    <w:rsid w:val="1B32070E"/>
    <w:rsid w:val="1B356531"/>
    <w:rsid w:val="1B3A5814"/>
    <w:rsid w:val="1B3F1CD3"/>
    <w:rsid w:val="1B3F2257"/>
    <w:rsid w:val="1B464E62"/>
    <w:rsid w:val="1B593000"/>
    <w:rsid w:val="1B6034CD"/>
    <w:rsid w:val="1B626239"/>
    <w:rsid w:val="1B6F5E9F"/>
    <w:rsid w:val="1B864140"/>
    <w:rsid w:val="1B9C1031"/>
    <w:rsid w:val="1BAB04C0"/>
    <w:rsid w:val="1BAD3ADC"/>
    <w:rsid w:val="1BB455C7"/>
    <w:rsid w:val="1BC34195"/>
    <w:rsid w:val="1BC670A8"/>
    <w:rsid w:val="1BD66CCC"/>
    <w:rsid w:val="1BDA490E"/>
    <w:rsid w:val="1BDD0947"/>
    <w:rsid w:val="1BE96189"/>
    <w:rsid w:val="1BF9122C"/>
    <w:rsid w:val="1BFF7657"/>
    <w:rsid w:val="1C0227D6"/>
    <w:rsid w:val="1C033E58"/>
    <w:rsid w:val="1C146102"/>
    <w:rsid w:val="1C2410B7"/>
    <w:rsid w:val="1C2C1B22"/>
    <w:rsid w:val="1C4F16D7"/>
    <w:rsid w:val="1C6413F5"/>
    <w:rsid w:val="1C673C6C"/>
    <w:rsid w:val="1C6E39C8"/>
    <w:rsid w:val="1C712DCC"/>
    <w:rsid w:val="1C7A5BA8"/>
    <w:rsid w:val="1C8B24A8"/>
    <w:rsid w:val="1C8F4DFF"/>
    <w:rsid w:val="1C9C2803"/>
    <w:rsid w:val="1C9D7C08"/>
    <w:rsid w:val="1CA25FBD"/>
    <w:rsid w:val="1CA36056"/>
    <w:rsid w:val="1CAF1B22"/>
    <w:rsid w:val="1CB10628"/>
    <w:rsid w:val="1CB6711D"/>
    <w:rsid w:val="1CB87339"/>
    <w:rsid w:val="1CC52D7C"/>
    <w:rsid w:val="1CCE6AC3"/>
    <w:rsid w:val="1CD44505"/>
    <w:rsid w:val="1CDF0421"/>
    <w:rsid w:val="1CF07AF6"/>
    <w:rsid w:val="1CF864FE"/>
    <w:rsid w:val="1D0936F0"/>
    <w:rsid w:val="1D174D78"/>
    <w:rsid w:val="1D2109B3"/>
    <w:rsid w:val="1D210D5D"/>
    <w:rsid w:val="1D211E5F"/>
    <w:rsid w:val="1D2B6FD6"/>
    <w:rsid w:val="1D2E61D3"/>
    <w:rsid w:val="1D3225EB"/>
    <w:rsid w:val="1D3F33D8"/>
    <w:rsid w:val="1D41732E"/>
    <w:rsid w:val="1D4C7A82"/>
    <w:rsid w:val="1D570CE2"/>
    <w:rsid w:val="1D65301C"/>
    <w:rsid w:val="1D747F29"/>
    <w:rsid w:val="1D772EB6"/>
    <w:rsid w:val="1D8E306B"/>
    <w:rsid w:val="1D9456B0"/>
    <w:rsid w:val="1D9751A0"/>
    <w:rsid w:val="1D976F4E"/>
    <w:rsid w:val="1D9A792D"/>
    <w:rsid w:val="1DA116BC"/>
    <w:rsid w:val="1DAA4ED3"/>
    <w:rsid w:val="1DC20993"/>
    <w:rsid w:val="1DC71040"/>
    <w:rsid w:val="1DCA10D2"/>
    <w:rsid w:val="1DCB6BF8"/>
    <w:rsid w:val="1DDC48D7"/>
    <w:rsid w:val="1DE204BB"/>
    <w:rsid w:val="1DED67AC"/>
    <w:rsid w:val="1DF254AD"/>
    <w:rsid w:val="1DF919B7"/>
    <w:rsid w:val="1E0F74D8"/>
    <w:rsid w:val="1E160E60"/>
    <w:rsid w:val="1E161D25"/>
    <w:rsid w:val="1E480248"/>
    <w:rsid w:val="1E682698"/>
    <w:rsid w:val="1E6A70C6"/>
    <w:rsid w:val="1E6C081B"/>
    <w:rsid w:val="1E787674"/>
    <w:rsid w:val="1E842F5B"/>
    <w:rsid w:val="1E9F430C"/>
    <w:rsid w:val="1EA14F09"/>
    <w:rsid w:val="1EA81F6E"/>
    <w:rsid w:val="1EB06519"/>
    <w:rsid w:val="1EB778A7"/>
    <w:rsid w:val="1EC21F76"/>
    <w:rsid w:val="1EC41FC5"/>
    <w:rsid w:val="1EC671DA"/>
    <w:rsid w:val="1EDE64B3"/>
    <w:rsid w:val="1EF74148"/>
    <w:rsid w:val="1EFA1543"/>
    <w:rsid w:val="1EFE61EA"/>
    <w:rsid w:val="1F040613"/>
    <w:rsid w:val="1F073C5F"/>
    <w:rsid w:val="1F226CEB"/>
    <w:rsid w:val="1F264229"/>
    <w:rsid w:val="1F595CA1"/>
    <w:rsid w:val="1F861590"/>
    <w:rsid w:val="1F9266E1"/>
    <w:rsid w:val="1F9538D6"/>
    <w:rsid w:val="1F97348D"/>
    <w:rsid w:val="1F99498E"/>
    <w:rsid w:val="1FA83694"/>
    <w:rsid w:val="1FAC2823"/>
    <w:rsid w:val="1FB5335F"/>
    <w:rsid w:val="1FBB33C8"/>
    <w:rsid w:val="1FC66798"/>
    <w:rsid w:val="1FD16A32"/>
    <w:rsid w:val="1FD56418"/>
    <w:rsid w:val="1FDC6E9A"/>
    <w:rsid w:val="1FDD2709"/>
    <w:rsid w:val="1FE16BA6"/>
    <w:rsid w:val="1FE30229"/>
    <w:rsid w:val="1FE82886"/>
    <w:rsid w:val="1FF02946"/>
    <w:rsid w:val="1FF520D1"/>
    <w:rsid w:val="1FFC4329"/>
    <w:rsid w:val="20191E9C"/>
    <w:rsid w:val="201B3A42"/>
    <w:rsid w:val="20261387"/>
    <w:rsid w:val="20337402"/>
    <w:rsid w:val="203942EC"/>
    <w:rsid w:val="204131A1"/>
    <w:rsid w:val="20415EEF"/>
    <w:rsid w:val="20551486"/>
    <w:rsid w:val="207840BD"/>
    <w:rsid w:val="207D242B"/>
    <w:rsid w:val="2089189D"/>
    <w:rsid w:val="208A0FEC"/>
    <w:rsid w:val="208C08C0"/>
    <w:rsid w:val="20915ED7"/>
    <w:rsid w:val="2092414C"/>
    <w:rsid w:val="20A57BD4"/>
    <w:rsid w:val="20AF6227"/>
    <w:rsid w:val="20B45481"/>
    <w:rsid w:val="20B56020"/>
    <w:rsid w:val="20CC33B3"/>
    <w:rsid w:val="20CE1175"/>
    <w:rsid w:val="20D300A8"/>
    <w:rsid w:val="20E56D6C"/>
    <w:rsid w:val="20EF2BFD"/>
    <w:rsid w:val="20F318D1"/>
    <w:rsid w:val="20FD356C"/>
    <w:rsid w:val="210E2329"/>
    <w:rsid w:val="21132D8F"/>
    <w:rsid w:val="211B7B5B"/>
    <w:rsid w:val="211F7986"/>
    <w:rsid w:val="21224D81"/>
    <w:rsid w:val="21333432"/>
    <w:rsid w:val="213A656E"/>
    <w:rsid w:val="214048BD"/>
    <w:rsid w:val="21472A39"/>
    <w:rsid w:val="214839A4"/>
    <w:rsid w:val="215D400B"/>
    <w:rsid w:val="217A696B"/>
    <w:rsid w:val="217B73F8"/>
    <w:rsid w:val="217F0425"/>
    <w:rsid w:val="217F2ACE"/>
    <w:rsid w:val="21821CC3"/>
    <w:rsid w:val="21845A3B"/>
    <w:rsid w:val="219536BB"/>
    <w:rsid w:val="219A1689"/>
    <w:rsid w:val="219E4D4F"/>
    <w:rsid w:val="21B10818"/>
    <w:rsid w:val="21B53E47"/>
    <w:rsid w:val="21EA1DCF"/>
    <w:rsid w:val="21EB7868"/>
    <w:rsid w:val="21F506E7"/>
    <w:rsid w:val="21F5640D"/>
    <w:rsid w:val="21F66939"/>
    <w:rsid w:val="21FF50C2"/>
    <w:rsid w:val="220821C8"/>
    <w:rsid w:val="221515FD"/>
    <w:rsid w:val="22350C23"/>
    <w:rsid w:val="224F7DF7"/>
    <w:rsid w:val="22643EA1"/>
    <w:rsid w:val="22723AE6"/>
    <w:rsid w:val="227351F1"/>
    <w:rsid w:val="227836BA"/>
    <w:rsid w:val="22784AE8"/>
    <w:rsid w:val="22873A35"/>
    <w:rsid w:val="228850B7"/>
    <w:rsid w:val="228E261C"/>
    <w:rsid w:val="229D5007"/>
    <w:rsid w:val="22A65E5D"/>
    <w:rsid w:val="22B365D8"/>
    <w:rsid w:val="22D707E4"/>
    <w:rsid w:val="22DC02ED"/>
    <w:rsid w:val="22DE316C"/>
    <w:rsid w:val="22EF3388"/>
    <w:rsid w:val="22F32E79"/>
    <w:rsid w:val="22F46F43"/>
    <w:rsid w:val="22FE6C78"/>
    <w:rsid w:val="23020B9F"/>
    <w:rsid w:val="230C7A96"/>
    <w:rsid w:val="232653A1"/>
    <w:rsid w:val="232752D5"/>
    <w:rsid w:val="23511668"/>
    <w:rsid w:val="235356C5"/>
    <w:rsid w:val="23563407"/>
    <w:rsid w:val="23720241"/>
    <w:rsid w:val="237B0CD6"/>
    <w:rsid w:val="237E20FF"/>
    <w:rsid w:val="238829AB"/>
    <w:rsid w:val="238D4597"/>
    <w:rsid w:val="23A67D15"/>
    <w:rsid w:val="23B24AE2"/>
    <w:rsid w:val="23B635A3"/>
    <w:rsid w:val="23E919F3"/>
    <w:rsid w:val="23F76998"/>
    <w:rsid w:val="23FE6C94"/>
    <w:rsid w:val="24003A9F"/>
    <w:rsid w:val="24024409"/>
    <w:rsid w:val="24065BAF"/>
    <w:rsid w:val="241131D2"/>
    <w:rsid w:val="241E063F"/>
    <w:rsid w:val="242B2707"/>
    <w:rsid w:val="242F6132"/>
    <w:rsid w:val="24392625"/>
    <w:rsid w:val="24480FA2"/>
    <w:rsid w:val="245057E3"/>
    <w:rsid w:val="2480698E"/>
    <w:rsid w:val="24BB79C6"/>
    <w:rsid w:val="24C62127"/>
    <w:rsid w:val="24CA7C09"/>
    <w:rsid w:val="24CD14A7"/>
    <w:rsid w:val="24DE541C"/>
    <w:rsid w:val="24E72569"/>
    <w:rsid w:val="24EE7D9B"/>
    <w:rsid w:val="24F15196"/>
    <w:rsid w:val="24F276AB"/>
    <w:rsid w:val="25113A8A"/>
    <w:rsid w:val="255D1DDA"/>
    <w:rsid w:val="25710085"/>
    <w:rsid w:val="25751D8B"/>
    <w:rsid w:val="259D70CC"/>
    <w:rsid w:val="259F2E44"/>
    <w:rsid w:val="25A62A7B"/>
    <w:rsid w:val="25BE2B87"/>
    <w:rsid w:val="25C60739"/>
    <w:rsid w:val="25D0124F"/>
    <w:rsid w:val="25E20F82"/>
    <w:rsid w:val="25EA7102"/>
    <w:rsid w:val="25EC38E4"/>
    <w:rsid w:val="25F807A6"/>
    <w:rsid w:val="26041176"/>
    <w:rsid w:val="26122097"/>
    <w:rsid w:val="261849A4"/>
    <w:rsid w:val="261C2A6B"/>
    <w:rsid w:val="262477ED"/>
    <w:rsid w:val="26393298"/>
    <w:rsid w:val="263B7010"/>
    <w:rsid w:val="264659B5"/>
    <w:rsid w:val="264F01E9"/>
    <w:rsid w:val="26742482"/>
    <w:rsid w:val="2677095E"/>
    <w:rsid w:val="26791177"/>
    <w:rsid w:val="268362C1"/>
    <w:rsid w:val="268B161A"/>
    <w:rsid w:val="26946721"/>
    <w:rsid w:val="2698751F"/>
    <w:rsid w:val="26A46964"/>
    <w:rsid w:val="26AD333E"/>
    <w:rsid w:val="26B02156"/>
    <w:rsid w:val="26B172D2"/>
    <w:rsid w:val="26B64C7B"/>
    <w:rsid w:val="26C433F1"/>
    <w:rsid w:val="26C9354A"/>
    <w:rsid w:val="26D833D7"/>
    <w:rsid w:val="26DB60FD"/>
    <w:rsid w:val="26E70461"/>
    <w:rsid w:val="26EA291C"/>
    <w:rsid w:val="26F466CC"/>
    <w:rsid w:val="26FB22FC"/>
    <w:rsid w:val="270201CC"/>
    <w:rsid w:val="27075144"/>
    <w:rsid w:val="27095487"/>
    <w:rsid w:val="270E2ABB"/>
    <w:rsid w:val="27221F7E"/>
    <w:rsid w:val="272E2E7E"/>
    <w:rsid w:val="27343A60"/>
    <w:rsid w:val="273A5EF1"/>
    <w:rsid w:val="273D46C2"/>
    <w:rsid w:val="273E6B53"/>
    <w:rsid w:val="274243CE"/>
    <w:rsid w:val="27541FF5"/>
    <w:rsid w:val="27583F9B"/>
    <w:rsid w:val="275C2056"/>
    <w:rsid w:val="27723B5D"/>
    <w:rsid w:val="277B51EB"/>
    <w:rsid w:val="27807BE0"/>
    <w:rsid w:val="2782356B"/>
    <w:rsid w:val="27833F3A"/>
    <w:rsid w:val="27871DB8"/>
    <w:rsid w:val="278C389C"/>
    <w:rsid w:val="278C51F6"/>
    <w:rsid w:val="27960276"/>
    <w:rsid w:val="279643EA"/>
    <w:rsid w:val="27992821"/>
    <w:rsid w:val="27A02EA3"/>
    <w:rsid w:val="27A55E44"/>
    <w:rsid w:val="27A73335"/>
    <w:rsid w:val="27A75FE0"/>
    <w:rsid w:val="27AF7212"/>
    <w:rsid w:val="27C8565A"/>
    <w:rsid w:val="27C92016"/>
    <w:rsid w:val="27E10412"/>
    <w:rsid w:val="27E61368"/>
    <w:rsid w:val="27EF40FF"/>
    <w:rsid w:val="27F33ED6"/>
    <w:rsid w:val="27F54F9D"/>
    <w:rsid w:val="27F605D4"/>
    <w:rsid w:val="27FD2876"/>
    <w:rsid w:val="281A6031"/>
    <w:rsid w:val="28221B0A"/>
    <w:rsid w:val="28235FAE"/>
    <w:rsid w:val="28250C42"/>
    <w:rsid w:val="282633A8"/>
    <w:rsid w:val="282835C4"/>
    <w:rsid w:val="28372B7F"/>
    <w:rsid w:val="283A50A6"/>
    <w:rsid w:val="283B74A3"/>
    <w:rsid w:val="283D155E"/>
    <w:rsid w:val="283E2D94"/>
    <w:rsid w:val="283F446A"/>
    <w:rsid w:val="28520641"/>
    <w:rsid w:val="28556C23"/>
    <w:rsid w:val="285B1B22"/>
    <w:rsid w:val="286640ED"/>
    <w:rsid w:val="286718B8"/>
    <w:rsid w:val="287700A8"/>
    <w:rsid w:val="287C746C"/>
    <w:rsid w:val="28844B85"/>
    <w:rsid w:val="288B76AF"/>
    <w:rsid w:val="2891771E"/>
    <w:rsid w:val="2899001E"/>
    <w:rsid w:val="28B60BD0"/>
    <w:rsid w:val="28B704A4"/>
    <w:rsid w:val="28E32A7C"/>
    <w:rsid w:val="28F05366"/>
    <w:rsid w:val="28F17296"/>
    <w:rsid w:val="28FD2A15"/>
    <w:rsid w:val="28FE79CA"/>
    <w:rsid w:val="29037B8D"/>
    <w:rsid w:val="29051210"/>
    <w:rsid w:val="29054FB3"/>
    <w:rsid w:val="290B259E"/>
    <w:rsid w:val="291678C1"/>
    <w:rsid w:val="291B4ED7"/>
    <w:rsid w:val="29295611"/>
    <w:rsid w:val="293B2E83"/>
    <w:rsid w:val="293C5589"/>
    <w:rsid w:val="2948615D"/>
    <w:rsid w:val="294B4AFF"/>
    <w:rsid w:val="294D18D1"/>
    <w:rsid w:val="29567CBD"/>
    <w:rsid w:val="2958341B"/>
    <w:rsid w:val="295C75F1"/>
    <w:rsid w:val="296F4E8F"/>
    <w:rsid w:val="296F74DA"/>
    <w:rsid w:val="297939AC"/>
    <w:rsid w:val="2984482A"/>
    <w:rsid w:val="29946A38"/>
    <w:rsid w:val="29AA1DB7"/>
    <w:rsid w:val="29AC3D81"/>
    <w:rsid w:val="29B669AE"/>
    <w:rsid w:val="29CF425E"/>
    <w:rsid w:val="29D76728"/>
    <w:rsid w:val="29F24E4F"/>
    <w:rsid w:val="29F91726"/>
    <w:rsid w:val="2A007C29"/>
    <w:rsid w:val="2A031537"/>
    <w:rsid w:val="2A063491"/>
    <w:rsid w:val="2A07545B"/>
    <w:rsid w:val="2A106F73"/>
    <w:rsid w:val="2A116F63"/>
    <w:rsid w:val="2A1F32A0"/>
    <w:rsid w:val="2A2878AC"/>
    <w:rsid w:val="2A33055B"/>
    <w:rsid w:val="2A385615"/>
    <w:rsid w:val="2A3C35C2"/>
    <w:rsid w:val="2A4C2BC8"/>
    <w:rsid w:val="2A5423D7"/>
    <w:rsid w:val="2A547CE5"/>
    <w:rsid w:val="2A580712"/>
    <w:rsid w:val="2A6B64C9"/>
    <w:rsid w:val="2A6C7C39"/>
    <w:rsid w:val="2A86286C"/>
    <w:rsid w:val="2A905451"/>
    <w:rsid w:val="2AA63281"/>
    <w:rsid w:val="2AA96082"/>
    <w:rsid w:val="2AAA4765"/>
    <w:rsid w:val="2AAD2C41"/>
    <w:rsid w:val="2AB0164F"/>
    <w:rsid w:val="2AB63109"/>
    <w:rsid w:val="2AC4587C"/>
    <w:rsid w:val="2ACB72AC"/>
    <w:rsid w:val="2B0B2D29"/>
    <w:rsid w:val="2B110340"/>
    <w:rsid w:val="2B1240B8"/>
    <w:rsid w:val="2B2378EE"/>
    <w:rsid w:val="2B3807A5"/>
    <w:rsid w:val="2B434271"/>
    <w:rsid w:val="2B4D3B01"/>
    <w:rsid w:val="2B4D50F0"/>
    <w:rsid w:val="2B5244B4"/>
    <w:rsid w:val="2B795EE5"/>
    <w:rsid w:val="2B7E34FB"/>
    <w:rsid w:val="2B904406"/>
    <w:rsid w:val="2BA26F2A"/>
    <w:rsid w:val="2BA73B72"/>
    <w:rsid w:val="2BC730F4"/>
    <w:rsid w:val="2BC929C8"/>
    <w:rsid w:val="2BD0444C"/>
    <w:rsid w:val="2BD96984"/>
    <w:rsid w:val="2BEE2474"/>
    <w:rsid w:val="2BFB1C20"/>
    <w:rsid w:val="2BFB4B4C"/>
    <w:rsid w:val="2BFD474A"/>
    <w:rsid w:val="2C0D21B1"/>
    <w:rsid w:val="2C2830B5"/>
    <w:rsid w:val="2C2E6CCF"/>
    <w:rsid w:val="2C380499"/>
    <w:rsid w:val="2C416A03"/>
    <w:rsid w:val="2C576597"/>
    <w:rsid w:val="2C5D5807"/>
    <w:rsid w:val="2C736F2C"/>
    <w:rsid w:val="2C756D98"/>
    <w:rsid w:val="2C78296C"/>
    <w:rsid w:val="2C7E7C57"/>
    <w:rsid w:val="2C7F752B"/>
    <w:rsid w:val="2C862667"/>
    <w:rsid w:val="2C90798A"/>
    <w:rsid w:val="2CA7770C"/>
    <w:rsid w:val="2CAD4098"/>
    <w:rsid w:val="2CB01DDA"/>
    <w:rsid w:val="2CB05936"/>
    <w:rsid w:val="2CB371D5"/>
    <w:rsid w:val="2CB663E1"/>
    <w:rsid w:val="2CCC6551"/>
    <w:rsid w:val="2CDF0BFE"/>
    <w:rsid w:val="2CE87EA8"/>
    <w:rsid w:val="2D12358F"/>
    <w:rsid w:val="2D130FEA"/>
    <w:rsid w:val="2D1C7E25"/>
    <w:rsid w:val="2D1F1D2D"/>
    <w:rsid w:val="2D241E80"/>
    <w:rsid w:val="2D263E4A"/>
    <w:rsid w:val="2D424EBF"/>
    <w:rsid w:val="2D4B38B1"/>
    <w:rsid w:val="2D4F15F3"/>
    <w:rsid w:val="2D5D063F"/>
    <w:rsid w:val="2D6D1A79"/>
    <w:rsid w:val="2D74105A"/>
    <w:rsid w:val="2D745BE9"/>
    <w:rsid w:val="2D7F006D"/>
    <w:rsid w:val="2D8079FF"/>
    <w:rsid w:val="2D875722"/>
    <w:rsid w:val="2D877507"/>
    <w:rsid w:val="2D930D3F"/>
    <w:rsid w:val="2D9E48F1"/>
    <w:rsid w:val="2DD24266"/>
    <w:rsid w:val="2DD361D2"/>
    <w:rsid w:val="2DEE50F8"/>
    <w:rsid w:val="2DF67E14"/>
    <w:rsid w:val="2E0C671B"/>
    <w:rsid w:val="2E5073D1"/>
    <w:rsid w:val="2E5900EF"/>
    <w:rsid w:val="2E653DD0"/>
    <w:rsid w:val="2E693FEF"/>
    <w:rsid w:val="2E777F6E"/>
    <w:rsid w:val="2E9A7ACB"/>
    <w:rsid w:val="2EA63495"/>
    <w:rsid w:val="2EB07E70"/>
    <w:rsid w:val="2EB45BB2"/>
    <w:rsid w:val="2EDC4DCA"/>
    <w:rsid w:val="2EFE5EBF"/>
    <w:rsid w:val="2F070BCC"/>
    <w:rsid w:val="2F0B754D"/>
    <w:rsid w:val="2F146650"/>
    <w:rsid w:val="2F2D3E72"/>
    <w:rsid w:val="2F48454C"/>
    <w:rsid w:val="2F4F1437"/>
    <w:rsid w:val="2F7470EF"/>
    <w:rsid w:val="2F750D73"/>
    <w:rsid w:val="2F831277"/>
    <w:rsid w:val="2F884949"/>
    <w:rsid w:val="2F9419F4"/>
    <w:rsid w:val="2F946461"/>
    <w:rsid w:val="2F9A2833"/>
    <w:rsid w:val="2F9D3877"/>
    <w:rsid w:val="2FA360C0"/>
    <w:rsid w:val="2FB72679"/>
    <w:rsid w:val="2FB854FE"/>
    <w:rsid w:val="2FBA0030"/>
    <w:rsid w:val="2FC516F9"/>
    <w:rsid w:val="2FCF6CB3"/>
    <w:rsid w:val="2FDF18A2"/>
    <w:rsid w:val="2FE36FA0"/>
    <w:rsid w:val="2FE64622"/>
    <w:rsid w:val="2FE778C1"/>
    <w:rsid w:val="2FED29FE"/>
    <w:rsid w:val="300D5AAA"/>
    <w:rsid w:val="301B2D20"/>
    <w:rsid w:val="301E221A"/>
    <w:rsid w:val="302026B1"/>
    <w:rsid w:val="30241C05"/>
    <w:rsid w:val="302D729E"/>
    <w:rsid w:val="30313232"/>
    <w:rsid w:val="30313679"/>
    <w:rsid w:val="303C4AC1"/>
    <w:rsid w:val="30417935"/>
    <w:rsid w:val="305B3E0B"/>
    <w:rsid w:val="306165F6"/>
    <w:rsid w:val="306760CC"/>
    <w:rsid w:val="306E71C1"/>
    <w:rsid w:val="30705B08"/>
    <w:rsid w:val="3080639F"/>
    <w:rsid w:val="308710A4"/>
    <w:rsid w:val="308E41E1"/>
    <w:rsid w:val="30A225F7"/>
    <w:rsid w:val="30A367E7"/>
    <w:rsid w:val="30A9726C"/>
    <w:rsid w:val="30BF439A"/>
    <w:rsid w:val="30C47C02"/>
    <w:rsid w:val="30CF5E52"/>
    <w:rsid w:val="30D836AE"/>
    <w:rsid w:val="30DB6CFA"/>
    <w:rsid w:val="30E50ED5"/>
    <w:rsid w:val="30EC5641"/>
    <w:rsid w:val="30EC57DA"/>
    <w:rsid w:val="30F170F7"/>
    <w:rsid w:val="30F92D01"/>
    <w:rsid w:val="31005946"/>
    <w:rsid w:val="31132938"/>
    <w:rsid w:val="312646A2"/>
    <w:rsid w:val="31304146"/>
    <w:rsid w:val="31467859"/>
    <w:rsid w:val="315057B7"/>
    <w:rsid w:val="316849D5"/>
    <w:rsid w:val="317819E9"/>
    <w:rsid w:val="31924638"/>
    <w:rsid w:val="31950BB2"/>
    <w:rsid w:val="31A5518B"/>
    <w:rsid w:val="31A65375"/>
    <w:rsid w:val="31AA0C3A"/>
    <w:rsid w:val="31CE41BF"/>
    <w:rsid w:val="31D125D7"/>
    <w:rsid w:val="31D252B9"/>
    <w:rsid w:val="31D7477A"/>
    <w:rsid w:val="320003DB"/>
    <w:rsid w:val="32046164"/>
    <w:rsid w:val="320A2BCE"/>
    <w:rsid w:val="32170BF7"/>
    <w:rsid w:val="321A7015"/>
    <w:rsid w:val="3233326A"/>
    <w:rsid w:val="3234700A"/>
    <w:rsid w:val="32397C1C"/>
    <w:rsid w:val="325A6A70"/>
    <w:rsid w:val="325B00D8"/>
    <w:rsid w:val="326A6587"/>
    <w:rsid w:val="32743AB5"/>
    <w:rsid w:val="327652E9"/>
    <w:rsid w:val="327A1535"/>
    <w:rsid w:val="328320A3"/>
    <w:rsid w:val="32853622"/>
    <w:rsid w:val="32892EB1"/>
    <w:rsid w:val="328B5D49"/>
    <w:rsid w:val="32915573"/>
    <w:rsid w:val="32A92E13"/>
    <w:rsid w:val="32AB45B8"/>
    <w:rsid w:val="32D74518"/>
    <w:rsid w:val="32D96F57"/>
    <w:rsid w:val="32F4200C"/>
    <w:rsid w:val="32F75733"/>
    <w:rsid w:val="33175AD8"/>
    <w:rsid w:val="331F55C4"/>
    <w:rsid w:val="33207934"/>
    <w:rsid w:val="33274478"/>
    <w:rsid w:val="33294694"/>
    <w:rsid w:val="33296443"/>
    <w:rsid w:val="333D3C9C"/>
    <w:rsid w:val="334B6398"/>
    <w:rsid w:val="335F1E64"/>
    <w:rsid w:val="33642AA5"/>
    <w:rsid w:val="337C2C42"/>
    <w:rsid w:val="33817380"/>
    <w:rsid w:val="339C6EBC"/>
    <w:rsid w:val="33A855B9"/>
    <w:rsid w:val="33AB50A9"/>
    <w:rsid w:val="33B1681F"/>
    <w:rsid w:val="33B540F5"/>
    <w:rsid w:val="33D24EC0"/>
    <w:rsid w:val="33EA3E24"/>
    <w:rsid w:val="33EC2EF0"/>
    <w:rsid w:val="33ED121E"/>
    <w:rsid w:val="33ED7470"/>
    <w:rsid w:val="33F42B8E"/>
    <w:rsid w:val="33F63D38"/>
    <w:rsid w:val="33FE42E4"/>
    <w:rsid w:val="340053F5"/>
    <w:rsid w:val="34077C34"/>
    <w:rsid w:val="340D10C3"/>
    <w:rsid w:val="340E12E0"/>
    <w:rsid w:val="34173BB9"/>
    <w:rsid w:val="34180991"/>
    <w:rsid w:val="342B49CA"/>
    <w:rsid w:val="34357460"/>
    <w:rsid w:val="344318FF"/>
    <w:rsid w:val="344352E2"/>
    <w:rsid w:val="345B7F5F"/>
    <w:rsid w:val="34613458"/>
    <w:rsid w:val="346E6803"/>
    <w:rsid w:val="34777F6D"/>
    <w:rsid w:val="3478592D"/>
    <w:rsid w:val="347E631A"/>
    <w:rsid w:val="348002E4"/>
    <w:rsid w:val="34880C04"/>
    <w:rsid w:val="348975CE"/>
    <w:rsid w:val="348F2B38"/>
    <w:rsid w:val="349D2C44"/>
    <w:rsid w:val="34B26BAF"/>
    <w:rsid w:val="34C44675"/>
    <w:rsid w:val="34CA1B99"/>
    <w:rsid w:val="34CF5F3E"/>
    <w:rsid w:val="34D55B85"/>
    <w:rsid w:val="34D80120"/>
    <w:rsid w:val="34DE1A80"/>
    <w:rsid w:val="34E72111"/>
    <w:rsid w:val="34F57DE4"/>
    <w:rsid w:val="34FC3E0F"/>
    <w:rsid w:val="35003BE0"/>
    <w:rsid w:val="350664BA"/>
    <w:rsid w:val="35321216"/>
    <w:rsid w:val="35487054"/>
    <w:rsid w:val="355377A7"/>
    <w:rsid w:val="35633E8E"/>
    <w:rsid w:val="356B105B"/>
    <w:rsid w:val="356D0868"/>
    <w:rsid w:val="35773495"/>
    <w:rsid w:val="357853FC"/>
    <w:rsid w:val="357F234A"/>
    <w:rsid w:val="35831E3A"/>
    <w:rsid w:val="35843E04"/>
    <w:rsid w:val="35870510"/>
    <w:rsid w:val="358D2CB9"/>
    <w:rsid w:val="359202CF"/>
    <w:rsid w:val="35932701"/>
    <w:rsid w:val="35AA72B8"/>
    <w:rsid w:val="35AD0995"/>
    <w:rsid w:val="35B069A7"/>
    <w:rsid w:val="35C44201"/>
    <w:rsid w:val="35D72186"/>
    <w:rsid w:val="35DF103A"/>
    <w:rsid w:val="36127662"/>
    <w:rsid w:val="361E6007"/>
    <w:rsid w:val="36286772"/>
    <w:rsid w:val="362C41B6"/>
    <w:rsid w:val="36372C24"/>
    <w:rsid w:val="363C7525"/>
    <w:rsid w:val="36401AD9"/>
    <w:rsid w:val="36407D2B"/>
    <w:rsid w:val="36557F38"/>
    <w:rsid w:val="36653CCF"/>
    <w:rsid w:val="367774C5"/>
    <w:rsid w:val="36935597"/>
    <w:rsid w:val="369C46EE"/>
    <w:rsid w:val="36A62065"/>
    <w:rsid w:val="36AF0414"/>
    <w:rsid w:val="36AF6C5F"/>
    <w:rsid w:val="36BB50CB"/>
    <w:rsid w:val="36D82C8C"/>
    <w:rsid w:val="36E903C3"/>
    <w:rsid w:val="36FC4068"/>
    <w:rsid w:val="37040FE6"/>
    <w:rsid w:val="370A244E"/>
    <w:rsid w:val="371D62BE"/>
    <w:rsid w:val="373148B0"/>
    <w:rsid w:val="373B6744"/>
    <w:rsid w:val="3740618E"/>
    <w:rsid w:val="3747333B"/>
    <w:rsid w:val="37537781"/>
    <w:rsid w:val="37616E51"/>
    <w:rsid w:val="3784633D"/>
    <w:rsid w:val="37892452"/>
    <w:rsid w:val="37B502A5"/>
    <w:rsid w:val="37C63DDE"/>
    <w:rsid w:val="37CD55EE"/>
    <w:rsid w:val="37D22C05"/>
    <w:rsid w:val="37D517BA"/>
    <w:rsid w:val="37D712BF"/>
    <w:rsid w:val="37D7179B"/>
    <w:rsid w:val="37FE3E84"/>
    <w:rsid w:val="381A0B2F"/>
    <w:rsid w:val="3824191A"/>
    <w:rsid w:val="382947EF"/>
    <w:rsid w:val="38341B11"/>
    <w:rsid w:val="38394529"/>
    <w:rsid w:val="383A69FC"/>
    <w:rsid w:val="384D0E80"/>
    <w:rsid w:val="38575800"/>
    <w:rsid w:val="385B0E4C"/>
    <w:rsid w:val="386E3B3A"/>
    <w:rsid w:val="38762532"/>
    <w:rsid w:val="389B4C19"/>
    <w:rsid w:val="389D76B7"/>
    <w:rsid w:val="38A74091"/>
    <w:rsid w:val="38AD5420"/>
    <w:rsid w:val="38BD38B5"/>
    <w:rsid w:val="38BF2126"/>
    <w:rsid w:val="38BF6A66"/>
    <w:rsid w:val="38C67B70"/>
    <w:rsid w:val="38CF3B09"/>
    <w:rsid w:val="38D86941"/>
    <w:rsid w:val="38DD7183"/>
    <w:rsid w:val="38DF7CCF"/>
    <w:rsid w:val="39047736"/>
    <w:rsid w:val="39061A23"/>
    <w:rsid w:val="39194863"/>
    <w:rsid w:val="391F631E"/>
    <w:rsid w:val="3929250D"/>
    <w:rsid w:val="392B35A8"/>
    <w:rsid w:val="39342598"/>
    <w:rsid w:val="39482EE1"/>
    <w:rsid w:val="394A0EC1"/>
    <w:rsid w:val="39A405D1"/>
    <w:rsid w:val="39A46823"/>
    <w:rsid w:val="39A700C1"/>
    <w:rsid w:val="39B02FE6"/>
    <w:rsid w:val="39B956BF"/>
    <w:rsid w:val="39BA4298"/>
    <w:rsid w:val="39BC268B"/>
    <w:rsid w:val="39BF18AF"/>
    <w:rsid w:val="39CD70B8"/>
    <w:rsid w:val="39E60BE9"/>
    <w:rsid w:val="3A231E3E"/>
    <w:rsid w:val="3A282BE0"/>
    <w:rsid w:val="3A3951BD"/>
    <w:rsid w:val="3A437DEA"/>
    <w:rsid w:val="3A5913BB"/>
    <w:rsid w:val="3A5F13ED"/>
    <w:rsid w:val="3A60140C"/>
    <w:rsid w:val="3A6E4D78"/>
    <w:rsid w:val="3A6F10DB"/>
    <w:rsid w:val="3A7307C3"/>
    <w:rsid w:val="3A775CE5"/>
    <w:rsid w:val="3A7B6D86"/>
    <w:rsid w:val="3A9416D3"/>
    <w:rsid w:val="3AA52853"/>
    <w:rsid w:val="3AB243EB"/>
    <w:rsid w:val="3AD77CDA"/>
    <w:rsid w:val="3AD924FC"/>
    <w:rsid w:val="3ADC19D4"/>
    <w:rsid w:val="3ADF7397"/>
    <w:rsid w:val="3AE07D71"/>
    <w:rsid w:val="3AE10A9C"/>
    <w:rsid w:val="3AE15E32"/>
    <w:rsid w:val="3AEA6930"/>
    <w:rsid w:val="3AEC5308"/>
    <w:rsid w:val="3B0357CB"/>
    <w:rsid w:val="3B17671A"/>
    <w:rsid w:val="3B257DF0"/>
    <w:rsid w:val="3B2E2848"/>
    <w:rsid w:val="3B414BC4"/>
    <w:rsid w:val="3B491430"/>
    <w:rsid w:val="3B521AA4"/>
    <w:rsid w:val="3B533939"/>
    <w:rsid w:val="3B5953EB"/>
    <w:rsid w:val="3B5A363D"/>
    <w:rsid w:val="3B5E3429"/>
    <w:rsid w:val="3B647AFF"/>
    <w:rsid w:val="3B660281"/>
    <w:rsid w:val="3B662D4E"/>
    <w:rsid w:val="3B9528C7"/>
    <w:rsid w:val="3B99678C"/>
    <w:rsid w:val="3B9B5A04"/>
    <w:rsid w:val="3BB32D4D"/>
    <w:rsid w:val="3BBA7B79"/>
    <w:rsid w:val="3BC740C5"/>
    <w:rsid w:val="3BDA7EE1"/>
    <w:rsid w:val="3BDC04F6"/>
    <w:rsid w:val="3BF1779A"/>
    <w:rsid w:val="3BF333F0"/>
    <w:rsid w:val="3BFC46F4"/>
    <w:rsid w:val="3C026760"/>
    <w:rsid w:val="3C1F1522"/>
    <w:rsid w:val="3C274470"/>
    <w:rsid w:val="3C3A6EB0"/>
    <w:rsid w:val="3C4B742A"/>
    <w:rsid w:val="3C6E45E2"/>
    <w:rsid w:val="3C8841DA"/>
    <w:rsid w:val="3C90587B"/>
    <w:rsid w:val="3C920BB5"/>
    <w:rsid w:val="3CBB635D"/>
    <w:rsid w:val="3CBE3272"/>
    <w:rsid w:val="3CC2066B"/>
    <w:rsid w:val="3CCD4009"/>
    <w:rsid w:val="3CE344EE"/>
    <w:rsid w:val="3CE97C43"/>
    <w:rsid w:val="3CEC4769"/>
    <w:rsid w:val="3CF2272D"/>
    <w:rsid w:val="3D2D2942"/>
    <w:rsid w:val="3D424389"/>
    <w:rsid w:val="3D5777E0"/>
    <w:rsid w:val="3D610A7C"/>
    <w:rsid w:val="3D69400B"/>
    <w:rsid w:val="3D762284"/>
    <w:rsid w:val="3D771BF4"/>
    <w:rsid w:val="3D890D6E"/>
    <w:rsid w:val="3D8F1598"/>
    <w:rsid w:val="3D913562"/>
    <w:rsid w:val="3DA70690"/>
    <w:rsid w:val="3DB02C22"/>
    <w:rsid w:val="3DCE3E6E"/>
    <w:rsid w:val="3DDF42CD"/>
    <w:rsid w:val="3DF00289"/>
    <w:rsid w:val="3DF6004F"/>
    <w:rsid w:val="3DFC6C2D"/>
    <w:rsid w:val="3E0077CE"/>
    <w:rsid w:val="3E1F46CA"/>
    <w:rsid w:val="3E23065E"/>
    <w:rsid w:val="3E500D27"/>
    <w:rsid w:val="3E5177F4"/>
    <w:rsid w:val="3E78464D"/>
    <w:rsid w:val="3E894239"/>
    <w:rsid w:val="3E9643D8"/>
    <w:rsid w:val="3EA2116E"/>
    <w:rsid w:val="3EA67461"/>
    <w:rsid w:val="3EA74B50"/>
    <w:rsid w:val="3EB72B54"/>
    <w:rsid w:val="3EC13D72"/>
    <w:rsid w:val="3ED2074B"/>
    <w:rsid w:val="3ED519F4"/>
    <w:rsid w:val="3ED677B9"/>
    <w:rsid w:val="3EF76BEA"/>
    <w:rsid w:val="3EF9316D"/>
    <w:rsid w:val="3F0B2BD3"/>
    <w:rsid w:val="3F0C6898"/>
    <w:rsid w:val="3F12422F"/>
    <w:rsid w:val="3F285383"/>
    <w:rsid w:val="3F3E5024"/>
    <w:rsid w:val="3F49270E"/>
    <w:rsid w:val="3F4D3175"/>
    <w:rsid w:val="3F544ECB"/>
    <w:rsid w:val="3F592ECA"/>
    <w:rsid w:val="3F737906"/>
    <w:rsid w:val="3F7D5B4C"/>
    <w:rsid w:val="3F9240AD"/>
    <w:rsid w:val="3F9A4950"/>
    <w:rsid w:val="3F9C730E"/>
    <w:rsid w:val="3FB21544"/>
    <w:rsid w:val="3FBD23EC"/>
    <w:rsid w:val="3FBF6165"/>
    <w:rsid w:val="3FC53EC8"/>
    <w:rsid w:val="3FC71272"/>
    <w:rsid w:val="3FC7326B"/>
    <w:rsid w:val="3FD15E98"/>
    <w:rsid w:val="3FD90485"/>
    <w:rsid w:val="3FE21D0E"/>
    <w:rsid w:val="3FEF25B5"/>
    <w:rsid w:val="40282A01"/>
    <w:rsid w:val="40302BBE"/>
    <w:rsid w:val="403772E0"/>
    <w:rsid w:val="40405327"/>
    <w:rsid w:val="406263F8"/>
    <w:rsid w:val="40630396"/>
    <w:rsid w:val="40691DB7"/>
    <w:rsid w:val="407231D7"/>
    <w:rsid w:val="40754A75"/>
    <w:rsid w:val="407978E4"/>
    <w:rsid w:val="407F1EB3"/>
    <w:rsid w:val="408350AC"/>
    <w:rsid w:val="4095054D"/>
    <w:rsid w:val="40A37834"/>
    <w:rsid w:val="40B82BB4"/>
    <w:rsid w:val="40B83CC3"/>
    <w:rsid w:val="40C062A8"/>
    <w:rsid w:val="40C41E8A"/>
    <w:rsid w:val="40C90468"/>
    <w:rsid w:val="40CB31D8"/>
    <w:rsid w:val="40E22DD9"/>
    <w:rsid w:val="40E650EA"/>
    <w:rsid w:val="40F77B80"/>
    <w:rsid w:val="40FC6F44"/>
    <w:rsid w:val="411A0EC4"/>
    <w:rsid w:val="41232723"/>
    <w:rsid w:val="41286718"/>
    <w:rsid w:val="41381318"/>
    <w:rsid w:val="41401527"/>
    <w:rsid w:val="415E7FA3"/>
    <w:rsid w:val="41662610"/>
    <w:rsid w:val="41682ADD"/>
    <w:rsid w:val="416D36EB"/>
    <w:rsid w:val="416E1E0D"/>
    <w:rsid w:val="416F5968"/>
    <w:rsid w:val="41736037"/>
    <w:rsid w:val="41872CB2"/>
    <w:rsid w:val="41886A2A"/>
    <w:rsid w:val="418F01CA"/>
    <w:rsid w:val="4195765A"/>
    <w:rsid w:val="41962717"/>
    <w:rsid w:val="41A01FC6"/>
    <w:rsid w:val="41A37780"/>
    <w:rsid w:val="41BE41FA"/>
    <w:rsid w:val="41D67795"/>
    <w:rsid w:val="41E2438C"/>
    <w:rsid w:val="41EF7F81"/>
    <w:rsid w:val="41F61AED"/>
    <w:rsid w:val="41FF0A9A"/>
    <w:rsid w:val="421107CE"/>
    <w:rsid w:val="42162BD2"/>
    <w:rsid w:val="42227B4D"/>
    <w:rsid w:val="422A7C36"/>
    <w:rsid w:val="423535B8"/>
    <w:rsid w:val="42375E52"/>
    <w:rsid w:val="423B3A9C"/>
    <w:rsid w:val="423C0E4B"/>
    <w:rsid w:val="4242307D"/>
    <w:rsid w:val="42426BD9"/>
    <w:rsid w:val="42431093"/>
    <w:rsid w:val="42446DF5"/>
    <w:rsid w:val="42517CE6"/>
    <w:rsid w:val="42573732"/>
    <w:rsid w:val="42697754"/>
    <w:rsid w:val="426B25D4"/>
    <w:rsid w:val="428D4F02"/>
    <w:rsid w:val="42BC31D1"/>
    <w:rsid w:val="42C12BC0"/>
    <w:rsid w:val="42C270E7"/>
    <w:rsid w:val="42C35F6C"/>
    <w:rsid w:val="42C65A5C"/>
    <w:rsid w:val="42D12843"/>
    <w:rsid w:val="42E91FDB"/>
    <w:rsid w:val="42FE546C"/>
    <w:rsid w:val="43122A4F"/>
    <w:rsid w:val="431C0C27"/>
    <w:rsid w:val="431D059A"/>
    <w:rsid w:val="432E13DE"/>
    <w:rsid w:val="433C1CAF"/>
    <w:rsid w:val="433D7E80"/>
    <w:rsid w:val="433E369F"/>
    <w:rsid w:val="436D4B21"/>
    <w:rsid w:val="437F2011"/>
    <w:rsid w:val="43800213"/>
    <w:rsid w:val="43AF1189"/>
    <w:rsid w:val="43AF44C4"/>
    <w:rsid w:val="43B104BA"/>
    <w:rsid w:val="43FB3821"/>
    <w:rsid w:val="44062F24"/>
    <w:rsid w:val="44112D07"/>
    <w:rsid w:val="441F4EA8"/>
    <w:rsid w:val="44204B3C"/>
    <w:rsid w:val="44213429"/>
    <w:rsid w:val="44265A45"/>
    <w:rsid w:val="442F0163"/>
    <w:rsid w:val="443A04B0"/>
    <w:rsid w:val="44472BCC"/>
    <w:rsid w:val="44586B88"/>
    <w:rsid w:val="445C44CE"/>
    <w:rsid w:val="44795922"/>
    <w:rsid w:val="449776B0"/>
    <w:rsid w:val="449851D6"/>
    <w:rsid w:val="44AF5D78"/>
    <w:rsid w:val="44B36FBF"/>
    <w:rsid w:val="44C322C0"/>
    <w:rsid w:val="44F00B6E"/>
    <w:rsid w:val="44F52628"/>
    <w:rsid w:val="44F61421"/>
    <w:rsid w:val="44F73F97"/>
    <w:rsid w:val="44F87A23"/>
    <w:rsid w:val="44FA7C3F"/>
    <w:rsid w:val="45056CE8"/>
    <w:rsid w:val="45090FCA"/>
    <w:rsid w:val="450A086B"/>
    <w:rsid w:val="453942C3"/>
    <w:rsid w:val="453F180C"/>
    <w:rsid w:val="45554E75"/>
    <w:rsid w:val="45592053"/>
    <w:rsid w:val="45684BA8"/>
    <w:rsid w:val="457E261E"/>
    <w:rsid w:val="4598230A"/>
    <w:rsid w:val="459F2F62"/>
    <w:rsid w:val="45A2210C"/>
    <w:rsid w:val="45B85462"/>
    <w:rsid w:val="45C5024D"/>
    <w:rsid w:val="45CA7611"/>
    <w:rsid w:val="45DB537A"/>
    <w:rsid w:val="45E232FF"/>
    <w:rsid w:val="45E809A3"/>
    <w:rsid w:val="460743C1"/>
    <w:rsid w:val="461A5919"/>
    <w:rsid w:val="46317909"/>
    <w:rsid w:val="4632744B"/>
    <w:rsid w:val="463F1278"/>
    <w:rsid w:val="463F19D5"/>
    <w:rsid w:val="464822E6"/>
    <w:rsid w:val="4654337F"/>
    <w:rsid w:val="46583F3F"/>
    <w:rsid w:val="466510E8"/>
    <w:rsid w:val="4665558C"/>
    <w:rsid w:val="466967AA"/>
    <w:rsid w:val="4671456A"/>
    <w:rsid w:val="467712BA"/>
    <w:rsid w:val="467A1D00"/>
    <w:rsid w:val="4692682D"/>
    <w:rsid w:val="469320F9"/>
    <w:rsid w:val="46A377BC"/>
    <w:rsid w:val="46AD6644"/>
    <w:rsid w:val="46B775F7"/>
    <w:rsid w:val="46B804C6"/>
    <w:rsid w:val="46C41432"/>
    <w:rsid w:val="46CA5099"/>
    <w:rsid w:val="46CC1183"/>
    <w:rsid w:val="46D12A90"/>
    <w:rsid w:val="46DC75FC"/>
    <w:rsid w:val="46DD54BB"/>
    <w:rsid w:val="46DF5A52"/>
    <w:rsid w:val="46F22731"/>
    <w:rsid w:val="46F25071"/>
    <w:rsid w:val="46F54B62"/>
    <w:rsid w:val="46FE186A"/>
    <w:rsid w:val="46FF02A1"/>
    <w:rsid w:val="47095F17"/>
    <w:rsid w:val="470D543B"/>
    <w:rsid w:val="47117D5E"/>
    <w:rsid w:val="47217705"/>
    <w:rsid w:val="47303CC4"/>
    <w:rsid w:val="473E0204"/>
    <w:rsid w:val="473F5CD9"/>
    <w:rsid w:val="47431429"/>
    <w:rsid w:val="476060E7"/>
    <w:rsid w:val="476127ED"/>
    <w:rsid w:val="476D2855"/>
    <w:rsid w:val="476D46F8"/>
    <w:rsid w:val="478221AF"/>
    <w:rsid w:val="47834296"/>
    <w:rsid w:val="47A81166"/>
    <w:rsid w:val="47B75973"/>
    <w:rsid w:val="47C60050"/>
    <w:rsid w:val="47D27207"/>
    <w:rsid w:val="47DA6A06"/>
    <w:rsid w:val="47E264BB"/>
    <w:rsid w:val="47E349BA"/>
    <w:rsid w:val="47E50144"/>
    <w:rsid w:val="47EF1AEB"/>
    <w:rsid w:val="480037BE"/>
    <w:rsid w:val="48160652"/>
    <w:rsid w:val="482A03A8"/>
    <w:rsid w:val="482C6963"/>
    <w:rsid w:val="482D748B"/>
    <w:rsid w:val="48474F49"/>
    <w:rsid w:val="48505074"/>
    <w:rsid w:val="48520731"/>
    <w:rsid w:val="485F1641"/>
    <w:rsid w:val="48657AC5"/>
    <w:rsid w:val="48873598"/>
    <w:rsid w:val="48B12D0A"/>
    <w:rsid w:val="48B55CD9"/>
    <w:rsid w:val="48BA1BBF"/>
    <w:rsid w:val="48C06AA9"/>
    <w:rsid w:val="48C42A3E"/>
    <w:rsid w:val="48ED13E3"/>
    <w:rsid w:val="490057E2"/>
    <w:rsid w:val="490201AF"/>
    <w:rsid w:val="490E6F34"/>
    <w:rsid w:val="490F6733"/>
    <w:rsid w:val="49177F5B"/>
    <w:rsid w:val="492434DC"/>
    <w:rsid w:val="49296D45"/>
    <w:rsid w:val="493556E9"/>
    <w:rsid w:val="494476DB"/>
    <w:rsid w:val="494603CA"/>
    <w:rsid w:val="494616A5"/>
    <w:rsid w:val="49465201"/>
    <w:rsid w:val="495175DC"/>
    <w:rsid w:val="49535B70"/>
    <w:rsid w:val="497343F1"/>
    <w:rsid w:val="49787384"/>
    <w:rsid w:val="49804CF1"/>
    <w:rsid w:val="498C0EAD"/>
    <w:rsid w:val="49947439"/>
    <w:rsid w:val="49A40179"/>
    <w:rsid w:val="49B06B1E"/>
    <w:rsid w:val="49B33B9A"/>
    <w:rsid w:val="49BA2580"/>
    <w:rsid w:val="49C56A6D"/>
    <w:rsid w:val="49D21D17"/>
    <w:rsid w:val="49E0543B"/>
    <w:rsid w:val="49ED15A2"/>
    <w:rsid w:val="49FD6207"/>
    <w:rsid w:val="49FF44E4"/>
    <w:rsid w:val="4A0550BC"/>
    <w:rsid w:val="4A092C1B"/>
    <w:rsid w:val="4A0A0924"/>
    <w:rsid w:val="4A121587"/>
    <w:rsid w:val="4A1A079F"/>
    <w:rsid w:val="4A1D18AC"/>
    <w:rsid w:val="4A2F3EE7"/>
    <w:rsid w:val="4A4721C6"/>
    <w:rsid w:val="4A484FA8"/>
    <w:rsid w:val="4A4B0BE8"/>
    <w:rsid w:val="4A563B69"/>
    <w:rsid w:val="4A5E47CC"/>
    <w:rsid w:val="4A762BFC"/>
    <w:rsid w:val="4A91694F"/>
    <w:rsid w:val="4AAA7A11"/>
    <w:rsid w:val="4AC62A9D"/>
    <w:rsid w:val="4ACC4754"/>
    <w:rsid w:val="4ACC5BD9"/>
    <w:rsid w:val="4AD64BDE"/>
    <w:rsid w:val="4AF3130C"/>
    <w:rsid w:val="4AFA44F5"/>
    <w:rsid w:val="4AFD52FD"/>
    <w:rsid w:val="4B050A17"/>
    <w:rsid w:val="4B0B04B0"/>
    <w:rsid w:val="4B1D01E3"/>
    <w:rsid w:val="4B2D2673"/>
    <w:rsid w:val="4B311E3C"/>
    <w:rsid w:val="4B371BDD"/>
    <w:rsid w:val="4B4340EE"/>
    <w:rsid w:val="4B4535A4"/>
    <w:rsid w:val="4B49722A"/>
    <w:rsid w:val="4B566FA8"/>
    <w:rsid w:val="4B59745A"/>
    <w:rsid w:val="4B5E7D38"/>
    <w:rsid w:val="4B6A7C20"/>
    <w:rsid w:val="4B791F08"/>
    <w:rsid w:val="4B920F18"/>
    <w:rsid w:val="4B944949"/>
    <w:rsid w:val="4BB9229E"/>
    <w:rsid w:val="4BBA439C"/>
    <w:rsid w:val="4BDB2578"/>
    <w:rsid w:val="4BE928B1"/>
    <w:rsid w:val="4BF278C2"/>
    <w:rsid w:val="4BF47196"/>
    <w:rsid w:val="4C003D8D"/>
    <w:rsid w:val="4C070285"/>
    <w:rsid w:val="4C0849EF"/>
    <w:rsid w:val="4C0A4C0B"/>
    <w:rsid w:val="4C0F629B"/>
    <w:rsid w:val="4C1B72BC"/>
    <w:rsid w:val="4C2061DD"/>
    <w:rsid w:val="4C302DE4"/>
    <w:rsid w:val="4C480191"/>
    <w:rsid w:val="4C510DD5"/>
    <w:rsid w:val="4C52622F"/>
    <w:rsid w:val="4C593040"/>
    <w:rsid w:val="4C5B411D"/>
    <w:rsid w:val="4C6562E6"/>
    <w:rsid w:val="4C737357"/>
    <w:rsid w:val="4C7402D7"/>
    <w:rsid w:val="4C7B78B7"/>
    <w:rsid w:val="4C892180"/>
    <w:rsid w:val="4C9015CF"/>
    <w:rsid w:val="4C940529"/>
    <w:rsid w:val="4C995F8F"/>
    <w:rsid w:val="4C9E58BB"/>
    <w:rsid w:val="4CA63FAC"/>
    <w:rsid w:val="4CB87937"/>
    <w:rsid w:val="4CBC4049"/>
    <w:rsid w:val="4CC14A01"/>
    <w:rsid w:val="4CC36B68"/>
    <w:rsid w:val="4CCD1CE7"/>
    <w:rsid w:val="4CD52D76"/>
    <w:rsid w:val="4CE8267C"/>
    <w:rsid w:val="4CF015BB"/>
    <w:rsid w:val="4CF65190"/>
    <w:rsid w:val="4CFB1476"/>
    <w:rsid w:val="4CFB43F7"/>
    <w:rsid w:val="4D0478AD"/>
    <w:rsid w:val="4D0774F0"/>
    <w:rsid w:val="4D1A0E7E"/>
    <w:rsid w:val="4D2C2537"/>
    <w:rsid w:val="4D301A8F"/>
    <w:rsid w:val="4D41465D"/>
    <w:rsid w:val="4D44070A"/>
    <w:rsid w:val="4D44478D"/>
    <w:rsid w:val="4D5554F7"/>
    <w:rsid w:val="4D565C2E"/>
    <w:rsid w:val="4D6640C3"/>
    <w:rsid w:val="4D6A000E"/>
    <w:rsid w:val="4D6C7200"/>
    <w:rsid w:val="4D83114A"/>
    <w:rsid w:val="4D85183B"/>
    <w:rsid w:val="4D9649BD"/>
    <w:rsid w:val="4DA25214"/>
    <w:rsid w:val="4DAC1D64"/>
    <w:rsid w:val="4DAD44B7"/>
    <w:rsid w:val="4DAF745E"/>
    <w:rsid w:val="4DB12E65"/>
    <w:rsid w:val="4DB947E8"/>
    <w:rsid w:val="4DBF5582"/>
    <w:rsid w:val="4DCD5378"/>
    <w:rsid w:val="4DDA685F"/>
    <w:rsid w:val="4DE2784F"/>
    <w:rsid w:val="4E0B3EC7"/>
    <w:rsid w:val="4E1C6E78"/>
    <w:rsid w:val="4E201D76"/>
    <w:rsid w:val="4E217FEA"/>
    <w:rsid w:val="4E320449"/>
    <w:rsid w:val="4E377624"/>
    <w:rsid w:val="4E4D2D2D"/>
    <w:rsid w:val="4E50267E"/>
    <w:rsid w:val="4E523525"/>
    <w:rsid w:val="4E671F63"/>
    <w:rsid w:val="4E6C36D8"/>
    <w:rsid w:val="4E740A62"/>
    <w:rsid w:val="4E791BD4"/>
    <w:rsid w:val="4E7C16C5"/>
    <w:rsid w:val="4E834801"/>
    <w:rsid w:val="4E8862BB"/>
    <w:rsid w:val="4E8A1ADD"/>
    <w:rsid w:val="4E8E3802"/>
    <w:rsid w:val="4EA76709"/>
    <w:rsid w:val="4EBD3AF2"/>
    <w:rsid w:val="4EC52245"/>
    <w:rsid w:val="4ECB02EE"/>
    <w:rsid w:val="4ED3353F"/>
    <w:rsid w:val="4EDB463D"/>
    <w:rsid w:val="4EE5668E"/>
    <w:rsid w:val="4EFA08DA"/>
    <w:rsid w:val="4F0177CA"/>
    <w:rsid w:val="4F0911AA"/>
    <w:rsid w:val="4F0F2539"/>
    <w:rsid w:val="4F190D64"/>
    <w:rsid w:val="4F275982"/>
    <w:rsid w:val="4F380341"/>
    <w:rsid w:val="4F437C01"/>
    <w:rsid w:val="4F45133E"/>
    <w:rsid w:val="4F4B3E7C"/>
    <w:rsid w:val="4F4F0BFE"/>
    <w:rsid w:val="4F552B7E"/>
    <w:rsid w:val="4F55619D"/>
    <w:rsid w:val="4F602D94"/>
    <w:rsid w:val="4F697E9B"/>
    <w:rsid w:val="4F7554E6"/>
    <w:rsid w:val="4F7C6D36"/>
    <w:rsid w:val="4F7D5C8F"/>
    <w:rsid w:val="4F7E12F4"/>
    <w:rsid w:val="4F9111A0"/>
    <w:rsid w:val="4FAB7CE6"/>
    <w:rsid w:val="4FAC4590"/>
    <w:rsid w:val="4FB20236"/>
    <w:rsid w:val="4FB530E0"/>
    <w:rsid w:val="4FC7713D"/>
    <w:rsid w:val="4FCE5077"/>
    <w:rsid w:val="4FDD5AF2"/>
    <w:rsid w:val="4FDF015D"/>
    <w:rsid w:val="4FE90FDC"/>
    <w:rsid w:val="4FED4628"/>
    <w:rsid w:val="50011E81"/>
    <w:rsid w:val="500D280C"/>
    <w:rsid w:val="501052BA"/>
    <w:rsid w:val="50163AD7"/>
    <w:rsid w:val="50171C7B"/>
    <w:rsid w:val="5028776D"/>
    <w:rsid w:val="502D0EC8"/>
    <w:rsid w:val="50302767"/>
    <w:rsid w:val="50324859"/>
    <w:rsid w:val="5036414A"/>
    <w:rsid w:val="5039786D"/>
    <w:rsid w:val="503C2333"/>
    <w:rsid w:val="504B1ABD"/>
    <w:rsid w:val="505B1B68"/>
    <w:rsid w:val="505C355C"/>
    <w:rsid w:val="505E4CC8"/>
    <w:rsid w:val="506348EA"/>
    <w:rsid w:val="50635401"/>
    <w:rsid w:val="506A1A77"/>
    <w:rsid w:val="506D5769"/>
    <w:rsid w:val="5076223F"/>
    <w:rsid w:val="50854CBB"/>
    <w:rsid w:val="509A5F5B"/>
    <w:rsid w:val="50A46306"/>
    <w:rsid w:val="50A50592"/>
    <w:rsid w:val="50A6278B"/>
    <w:rsid w:val="50AA42C7"/>
    <w:rsid w:val="50D84CA3"/>
    <w:rsid w:val="50DF4CBB"/>
    <w:rsid w:val="50EB3F82"/>
    <w:rsid w:val="50F00F7B"/>
    <w:rsid w:val="50F10307"/>
    <w:rsid w:val="50F82537"/>
    <w:rsid w:val="50FE5957"/>
    <w:rsid w:val="510D30B3"/>
    <w:rsid w:val="51167BAE"/>
    <w:rsid w:val="512562C1"/>
    <w:rsid w:val="51360730"/>
    <w:rsid w:val="515E090B"/>
    <w:rsid w:val="515E35EA"/>
    <w:rsid w:val="515F7417"/>
    <w:rsid w:val="5163192F"/>
    <w:rsid w:val="516C5A20"/>
    <w:rsid w:val="51771BA6"/>
    <w:rsid w:val="51991216"/>
    <w:rsid w:val="519A258E"/>
    <w:rsid w:val="519C7D45"/>
    <w:rsid w:val="51A3244E"/>
    <w:rsid w:val="51AE70B7"/>
    <w:rsid w:val="51C72A55"/>
    <w:rsid w:val="51D07D5D"/>
    <w:rsid w:val="51D412F6"/>
    <w:rsid w:val="51D532E6"/>
    <w:rsid w:val="51DD29A7"/>
    <w:rsid w:val="51EF7B88"/>
    <w:rsid w:val="52020133"/>
    <w:rsid w:val="5209326F"/>
    <w:rsid w:val="520C23CF"/>
    <w:rsid w:val="52152CF9"/>
    <w:rsid w:val="521823DC"/>
    <w:rsid w:val="521B222F"/>
    <w:rsid w:val="52397FF8"/>
    <w:rsid w:val="525E180D"/>
    <w:rsid w:val="52642B9B"/>
    <w:rsid w:val="52727C7C"/>
    <w:rsid w:val="527B1DEB"/>
    <w:rsid w:val="5281374D"/>
    <w:rsid w:val="5284050C"/>
    <w:rsid w:val="528D5C4E"/>
    <w:rsid w:val="528F19C6"/>
    <w:rsid w:val="52993AC9"/>
    <w:rsid w:val="529C65FA"/>
    <w:rsid w:val="52A1794C"/>
    <w:rsid w:val="52AE1A94"/>
    <w:rsid w:val="52B25948"/>
    <w:rsid w:val="52B40B86"/>
    <w:rsid w:val="52B4767F"/>
    <w:rsid w:val="52C35B14"/>
    <w:rsid w:val="52C638CF"/>
    <w:rsid w:val="52E00BFF"/>
    <w:rsid w:val="52E220B4"/>
    <w:rsid w:val="52E33AC0"/>
    <w:rsid w:val="52ED2B91"/>
    <w:rsid w:val="52F43F1F"/>
    <w:rsid w:val="53120490"/>
    <w:rsid w:val="53191BD8"/>
    <w:rsid w:val="53200AD6"/>
    <w:rsid w:val="532A7D0B"/>
    <w:rsid w:val="533E519B"/>
    <w:rsid w:val="53413030"/>
    <w:rsid w:val="5358625C"/>
    <w:rsid w:val="535B3F9E"/>
    <w:rsid w:val="535B7AFB"/>
    <w:rsid w:val="53692CAC"/>
    <w:rsid w:val="536E6B22"/>
    <w:rsid w:val="537503E3"/>
    <w:rsid w:val="537868FE"/>
    <w:rsid w:val="5380751E"/>
    <w:rsid w:val="53911318"/>
    <w:rsid w:val="539B439B"/>
    <w:rsid w:val="53C57947"/>
    <w:rsid w:val="53D23FC4"/>
    <w:rsid w:val="53D27DD7"/>
    <w:rsid w:val="53E2533E"/>
    <w:rsid w:val="53F52AEC"/>
    <w:rsid w:val="5402266C"/>
    <w:rsid w:val="540E4FC0"/>
    <w:rsid w:val="54116A3B"/>
    <w:rsid w:val="54134879"/>
    <w:rsid w:val="5415414D"/>
    <w:rsid w:val="541768FD"/>
    <w:rsid w:val="543B7420"/>
    <w:rsid w:val="54534BA3"/>
    <w:rsid w:val="54752A66"/>
    <w:rsid w:val="547F7CAB"/>
    <w:rsid w:val="548E3F00"/>
    <w:rsid w:val="548F1E8F"/>
    <w:rsid w:val="54931516"/>
    <w:rsid w:val="54994FD7"/>
    <w:rsid w:val="54A11E85"/>
    <w:rsid w:val="54A35BFD"/>
    <w:rsid w:val="54AB4BB5"/>
    <w:rsid w:val="54B25E40"/>
    <w:rsid w:val="54C01085"/>
    <w:rsid w:val="54C87412"/>
    <w:rsid w:val="54D45DB6"/>
    <w:rsid w:val="54D9161F"/>
    <w:rsid w:val="54D96F40"/>
    <w:rsid w:val="54E16725"/>
    <w:rsid w:val="54E63D3C"/>
    <w:rsid w:val="54FA3343"/>
    <w:rsid w:val="5503044A"/>
    <w:rsid w:val="5507618C"/>
    <w:rsid w:val="55110DB9"/>
    <w:rsid w:val="551760C5"/>
    <w:rsid w:val="551E5284"/>
    <w:rsid w:val="551F053D"/>
    <w:rsid w:val="551F1C27"/>
    <w:rsid w:val="552000A3"/>
    <w:rsid w:val="55286102"/>
    <w:rsid w:val="552A58DF"/>
    <w:rsid w:val="55311752"/>
    <w:rsid w:val="5534643C"/>
    <w:rsid w:val="55383935"/>
    <w:rsid w:val="555251D5"/>
    <w:rsid w:val="555962BC"/>
    <w:rsid w:val="55642E03"/>
    <w:rsid w:val="556829A3"/>
    <w:rsid w:val="55692554"/>
    <w:rsid w:val="556B7A96"/>
    <w:rsid w:val="556D100F"/>
    <w:rsid w:val="557F19FE"/>
    <w:rsid w:val="5587107B"/>
    <w:rsid w:val="558F6E36"/>
    <w:rsid w:val="55940FCC"/>
    <w:rsid w:val="55943798"/>
    <w:rsid w:val="559B6E33"/>
    <w:rsid w:val="559E755B"/>
    <w:rsid w:val="55A97E6D"/>
    <w:rsid w:val="55B26DA9"/>
    <w:rsid w:val="55C6220C"/>
    <w:rsid w:val="55DD159E"/>
    <w:rsid w:val="55E458E7"/>
    <w:rsid w:val="56065E61"/>
    <w:rsid w:val="56110DC0"/>
    <w:rsid w:val="56187F1F"/>
    <w:rsid w:val="562071CB"/>
    <w:rsid w:val="56255815"/>
    <w:rsid w:val="56332FB1"/>
    <w:rsid w:val="563D5BDD"/>
    <w:rsid w:val="564A6B55"/>
    <w:rsid w:val="564B02FA"/>
    <w:rsid w:val="56586651"/>
    <w:rsid w:val="565D1DDC"/>
    <w:rsid w:val="56641057"/>
    <w:rsid w:val="567E6D70"/>
    <w:rsid w:val="5680054C"/>
    <w:rsid w:val="568F6454"/>
    <w:rsid w:val="569A6B8C"/>
    <w:rsid w:val="569C6AB2"/>
    <w:rsid w:val="56B86068"/>
    <w:rsid w:val="56C257A4"/>
    <w:rsid w:val="56CF76BF"/>
    <w:rsid w:val="56D503F0"/>
    <w:rsid w:val="56E04EE6"/>
    <w:rsid w:val="56E06C48"/>
    <w:rsid w:val="56E12B60"/>
    <w:rsid w:val="56F91B04"/>
    <w:rsid w:val="57000118"/>
    <w:rsid w:val="570A3D11"/>
    <w:rsid w:val="57201787"/>
    <w:rsid w:val="57236B81"/>
    <w:rsid w:val="572959A2"/>
    <w:rsid w:val="573B76AA"/>
    <w:rsid w:val="57672F12"/>
    <w:rsid w:val="576A70F2"/>
    <w:rsid w:val="57711FE2"/>
    <w:rsid w:val="57877110"/>
    <w:rsid w:val="578A3156"/>
    <w:rsid w:val="578B522D"/>
    <w:rsid w:val="57BB14B0"/>
    <w:rsid w:val="57BD6FD6"/>
    <w:rsid w:val="57CA0634"/>
    <w:rsid w:val="57E24C8E"/>
    <w:rsid w:val="57E44562"/>
    <w:rsid w:val="57EE4A6A"/>
    <w:rsid w:val="57F30098"/>
    <w:rsid w:val="57F34F04"/>
    <w:rsid w:val="57F66044"/>
    <w:rsid w:val="580F4197"/>
    <w:rsid w:val="58103AD3"/>
    <w:rsid w:val="581A6CC7"/>
    <w:rsid w:val="581F37ED"/>
    <w:rsid w:val="58200779"/>
    <w:rsid w:val="582735C9"/>
    <w:rsid w:val="58274FEF"/>
    <w:rsid w:val="5850492C"/>
    <w:rsid w:val="586C637E"/>
    <w:rsid w:val="587753D7"/>
    <w:rsid w:val="589113DD"/>
    <w:rsid w:val="58AD0DF8"/>
    <w:rsid w:val="58B73C1F"/>
    <w:rsid w:val="58BA52C3"/>
    <w:rsid w:val="58BE3005"/>
    <w:rsid w:val="58CB5722"/>
    <w:rsid w:val="58CE6410"/>
    <w:rsid w:val="58D9667A"/>
    <w:rsid w:val="58E14A4D"/>
    <w:rsid w:val="58E20E12"/>
    <w:rsid w:val="58EE2160"/>
    <w:rsid w:val="58FB6BAD"/>
    <w:rsid w:val="5902026F"/>
    <w:rsid w:val="59053E1C"/>
    <w:rsid w:val="5906169D"/>
    <w:rsid w:val="59091DA7"/>
    <w:rsid w:val="59094598"/>
    <w:rsid w:val="5914310D"/>
    <w:rsid w:val="5924182C"/>
    <w:rsid w:val="5966544B"/>
    <w:rsid w:val="596B304E"/>
    <w:rsid w:val="597A4A53"/>
    <w:rsid w:val="59964FEA"/>
    <w:rsid w:val="59970F6D"/>
    <w:rsid w:val="5999137D"/>
    <w:rsid w:val="59BB7545"/>
    <w:rsid w:val="59E53D17"/>
    <w:rsid w:val="59ED4D7B"/>
    <w:rsid w:val="5A040EEC"/>
    <w:rsid w:val="5A04661E"/>
    <w:rsid w:val="5A2249D0"/>
    <w:rsid w:val="5A2E7D17"/>
    <w:rsid w:val="5A484022"/>
    <w:rsid w:val="5A5A0B0C"/>
    <w:rsid w:val="5A5A35D1"/>
    <w:rsid w:val="5A647BDD"/>
    <w:rsid w:val="5A65222F"/>
    <w:rsid w:val="5A673229"/>
    <w:rsid w:val="5A683964"/>
    <w:rsid w:val="5A706581"/>
    <w:rsid w:val="5A783658"/>
    <w:rsid w:val="5A7F2242"/>
    <w:rsid w:val="5A8913F1"/>
    <w:rsid w:val="5A9949BD"/>
    <w:rsid w:val="5A9A35FE"/>
    <w:rsid w:val="5AAE1835"/>
    <w:rsid w:val="5ACE5056"/>
    <w:rsid w:val="5AE121D1"/>
    <w:rsid w:val="5AF0321E"/>
    <w:rsid w:val="5AFE1E47"/>
    <w:rsid w:val="5B00317E"/>
    <w:rsid w:val="5B0E1A3C"/>
    <w:rsid w:val="5B0F10E2"/>
    <w:rsid w:val="5B326282"/>
    <w:rsid w:val="5B33450B"/>
    <w:rsid w:val="5B374B73"/>
    <w:rsid w:val="5B5A4B3C"/>
    <w:rsid w:val="5B7F45A2"/>
    <w:rsid w:val="5B9A70D9"/>
    <w:rsid w:val="5B9D52A8"/>
    <w:rsid w:val="5BA54E7E"/>
    <w:rsid w:val="5BA60885"/>
    <w:rsid w:val="5BA749CA"/>
    <w:rsid w:val="5BAD7361"/>
    <w:rsid w:val="5BB46942"/>
    <w:rsid w:val="5BB91D5D"/>
    <w:rsid w:val="5BBB1A7E"/>
    <w:rsid w:val="5BBC4AF3"/>
    <w:rsid w:val="5BBD57F6"/>
    <w:rsid w:val="5BC63380"/>
    <w:rsid w:val="5BD3501A"/>
    <w:rsid w:val="5BE865EB"/>
    <w:rsid w:val="5BF64864"/>
    <w:rsid w:val="5BF91C64"/>
    <w:rsid w:val="5C094F67"/>
    <w:rsid w:val="5C186ED1"/>
    <w:rsid w:val="5C1E448C"/>
    <w:rsid w:val="5C2E04A2"/>
    <w:rsid w:val="5C34538D"/>
    <w:rsid w:val="5C3A6E47"/>
    <w:rsid w:val="5C41506A"/>
    <w:rsid w:val="5C5D7968"/>
    <w:rsid w:val="5C71213D"/>
    <w:rsid w:val="5C7C5B04"/>
    <w:rsid w:val="5C8266CD"/>
    <w:rsid w:val="5C8E0236"/>
    <w:rsid w:val="5C914ED2"/>
    <w:rsid w:val="5CAD00FF"/>
    <w:rsid w:val="5CB170AA"/>
    <w:rsid w:val="5CB63FF4"/>
    <w:rsid w:val="5CD86660"/>
    <w:rsid w:val="5CD96E3F"/>
    <w:rsid w:val="5CDC1CAC"/>
    <w:rsid w:val="5CDC6150"/>
    <w:rsid w:val="5CF21DE9"/>
    <w:rsid w:val="5CF2674B"/>
    <w:rsid w:val="5CF834E9"/>
    <w:rsid w:val="5D101956"/>
    <w:rsid w:val="5D170F36"/>
    <w:rsid w:val="5D36793E"/>
    <w:rsid w:val="5D4E4DE1"/>
    <w:rsid w:val="5D7E2FBA"/>
    <w:rsid w:val="5DA0717E"/>
    <w:rsid w:val="5DA622BA"/>
    <w:rsid w:val="5DA65D35"/>
    <w:rsid w:val="5DB1138B"/>
    <w:rsid w:val="5DB22A0D"/>
    <w:rsid w:val="5DB524FD"/>
    <w:rsid w:val="5DC32E6C"/>
    <w:rsid w:val="5DC935D7"/>
    <w:rsid w:val="5DCF2C81"/>
    <w:rsid w:val="5DD21301"/>
    <w:rsid w:val="5DD23127"/>
    <w:rsid w:val="5DD9006B"/>
    <w:rsid w:val="5DE105A2"/>
    <w:rsid w:val="5DE52DE2"/>
    <w:rsid w:val="5DF66D9E"/>
    <w:rsid w:val="5DFD43A2"/>
    <w:rsid w:val="5E1035C6"/>
    <w:rsid w:val="5E172C0F"/>
    <w:rsid w:val="5E1822E9"/>
    <w:rsid w:val="5E323B5B"/>
    <w:rsid w:val="5E3F2E16"/>
    <w:rsid w:val="5E402332"/>
    <w:rsid w:val="5E475DAF"/>
    <w:rsid w:val="5E5140DC"/>
    <w:rsid w:val="5E6C09E9"/>
    <w:rsid w:val="5E6F29A8"/>
    <w:rsid w:val="5E7D126D"/>
    <w:rsid w:val="5E873E9A"/>
    <w:rsid w:val="5E8C045B"/>
    <w:rsid w:val="5E95013E"/>
    <w:rsid w:val="5E9D546B"/>
    <w:rsid w:val="5EA91B8D"/>
    <w:rsid w:val="5EA92062"/>
    <w:rsid w:val="5EB1067D"/>
    <w:rsid w:val="5EBE53E1"/>
    <w:rsid w:val="5ED368C7"/>
    <w:rsid w:val="5EE02B86"/>
    <w:rsid w:val="5EEB2E89"/>
    <w:rsid w:val="5EF446BC"/>
    <w:rsid w:val="5F0A6E4B"/>
    <w:rsid w:val="5F0C25F1"/>
    <w:rsid w:val="5F1073D0"/>
    <w:rsid w:val="5F3250F6"/>
    <w:rsid w:val="5F4E26F5"/>
    <w:rsid w:val="5F4E75BF"/>
    <w:rsid w:val="5F58743C"/>
    <w:rsid w:val="5F950838"/>
    <w:rsid w:val="5FA82319"/>
    <w:rsid w:val="5FAB2D5A"/>
    <w:rsid w:val="5FBC7B73"/>
    <w:rsid w:val="5FC54118"/>
    <w:rsid w:val="5FC86518"/>
    <w:rsid w:val="5FE223C9"/>
    <w:rsid w:val="5FF612D7"/>
    <w:rsid w:val="5FFB358C"/>
    <w:rsid w:val="60041803"/>
    <w:rsid w:val="600B2485"/>
    <w:rsid w:val="601C109A"/>
    <w:rsid w:val="602F2A3B"/>
    <w:rsid w:val="603E09CA"/>
    <w:rsid w:val="605B55DE"/>
    <w:rsid w:val="6062696C"/>
    <w:rsid w:val="607466A0"/>
    <w:rsid w:val="60795A64"/>
    <w:rsid w:val="608D150F"/>
    <w:rsid w:val="608D3C42"/>
    <w:rsid w:val="609D2585"/>
    <w:rsid w:val="60A24FBB"/>
    <w:rsid w:val="60AE1082"/>
    <w:rsid w:val="60BB607C"/>
    <w:rsid w:val="60BC48BA"/>
    <w:rsid w:val="60C11DF7"/>
    <w:rsid w:val="60C50CA9"/>
    <w:rsid w:val="60C63ADF"/>
    <w:rsid w:val="610F079A"/>
    <w:rsid w:val="61265434"/>
    <w:rsid w:val="612A3DC7"/>
    <w:rsid w:val="613550E5"/>
    <w:rsid w:val="6143046F"/>
    <w:rsid w:val="61446072"/>
    <w:rsid w:val="61550D9D"/>
    <w:rsid w:val="617701F5"/>
    <w:rsid w:val="617F52FC"/>
    <w:rsid w:val="61970898"/>
    <w:rsid w:val="61972646"/>
    <w:rsid w:val="61A15272"/>
    <w:rsid w:val="61A557B6"/>
    <w:rsid w:val="61AF3E33"/>
    <w:rsid w:val="61B045FA"/>
    <w:rsid w:val="61BA37AB"/>
    <w:rsid w:val="61C226B2"/>
    <w:rsid w:val="61C251E9"/>
    <w:rsid w:val="61C4510D"/>
    <w:rsid w:val="61D141F4"/>
    <w:rsid w:val="61E6537B"/>
    <w:rsid w:val="620121B5"/>
    <w:rsid w:val="620B4916"/>
    <w:rsid w:val="620E461B"/>
    <w:rsid w:val="623B247B"/>
    <w:rsid w:val="623E0D13"/>
    <w:rsid w:val="624002F3"/>
    <w:rsid w:val="624553B9"/>
    <w:rsid w:val="62494B34"/>
    <w:rsid w:val="62586680"/>
    <w:rsid w:val="62586B90"/>
    <w:rsid w:val="625E45F8"/>
    <w:rsid w:val="626E124C"/>
    <w:rsid w:val="627B3D15"/>
    <w:rsid w:val="62842DA9"/>
    <w:rsid w:val="62864468"/>
    <w:rsid w:val="628726BA"/>
    <w:rsid w:val="629E7A04"/>
    <w:rsid w:val="62AA45FB"/>
    <w:rsid w:val="62AC186A"/>
    <w:rsid w:val="62C84A81"/>
    <w:rsid w:val="62CA6A4B"/>
    <w:rsid w:val="62D86E74"/>
    <w:rsid w:val="62EB11BC"/>
    <w:rsid w:val="62F30C71"/>
    <w:rsid w:val="62FD472A"/>
    <w:rsid w:val="630540BC"/>
    <w:rsid w:val="63072F03"/>
    <w:rsid w:val="63147CC6"/>
    <w:rsid w:val="631F28F3"/>
    <w:rsid w:val="63251ED3"/>
    <w:rsid w:val="63310878"/>
    <w:rsid w:val="63426EA5"/>
    <w:rsid w:val="63477A4C"/>
    <w:rsid w:val="635A29F5"/>
    <w:rsid w:val="635B5F4F"/>
    <w:rsid w:val="63660521"/>
    <w:rsid w:val="636C18B0"/>
    <w:rsid w:val="636E2187"/>
    <w:rsid w:val="63732C3E"/>
    <w:rsid w:val="637F3391"/>
    <w:rsid w:val="6384276F"/>
    <w:rsid w:val="63957059"/>
    <w:rsid w:val="639D5F0D"/>
    <w:rsid w:val="63B219B9"/>
    <w:rsid w:val="63B23767"/>
    <w:rsid w:val="63C8321B"/>
    <w:rsid w:val="63D5361B"/>
    <w:rsid w:val="63F024E1"/>
    <w:rsid w:val="64061D04"/>
    <w:rsid w:val="64084086"/>
    <w:rsid w:val="64122457"/>
    <w:rsid w:val="64192C91"/>
    <w:rsid w:val="642503DD"/>
    <w:rsid w:val="642B3519"/>
    <w:rsid w:val="642D54E3"/>
    <w:rsid w:val="642F017B"/>
    <w:rsid w:val="644150B6"/>
    <w:rsid w:val="64493FD3"/>
    <w:rsid w:val="644A1BF1"/>
    <w:rsid w:val="64532CD8"/>
    <w:rsid w:val="645667E8"/>
    <w:rsid w:val="645E38EF"/>
    <w:rsid w:val="64610CE9"/>
    <w:rsid w:val="64681938"/>
    <w:rsid w:val="64712868"/>
    <w:rsid w:val="648C719F"/>
    <w:rsid w:val="649153C5"/>
    <w:rsid w:val="64917820"/>
    <w:rsid w:val="64942835"/>
    <w:rsid w:val="649B251D"/>
    <w:rsid w:val="64B82FFF"/>
    <w:rsid w:val="64C03034"/>
    <w:rsid w:val="64C71494"/>
    <w:rsid w:val="64E21E2A"/>
    <w:rsid w:val="64EB5E18"/>
    <w:rsid w:val="64ED3B52"/>
    <w:rsid w:val="64F15613"/>
    <w:rsid w:val="6502422D"/>
    <w:rsid w:val="65026841"/>
    <w:rsid w:val="65056B91"/>
    <w:rsid w:val="65130590"/>
    <w:rsid w:val="65165F77"/>
    <w:rsid w:val="652341F0"/>
    <w:rsid w:val="65271F32"/>
    <w:rsid w:val="652C579B"/>
    <w:rsid w:val="653268BC"/>
    <w:rsid w:val="65474351"/>
    <w:rsid w:val="6549634D"/>
    <w:rsid w:val="656C2F8E"/>
    <w:rsid w:val="657131AE"/>
    <w:rsid w:val="657C0DC9"/>
    <w:rsid w:val="65847385"/>
    <w:rsid w:val="65B17AC9"/>
    <w:rsid w:val="65B61172"/>
    <w:rsid w:val="65CE77B0"/>
    <w:rsid w:val="65D44020"/>
    <w:rsid w:val="65D47968"/>
    <w:rsid w:val="65D62D2C"/>
    <w:rsid w:val="65DD0843"/>
    <w:rsid w:val="65DD6A95"/>
    <w:rsid w:val="65E94253"/>
    <w:rsid w:val="65EB6DB4"/>
    <w:rsid w:val="65ED260C"/>
    <w:rsid w:val="65FE7137"/>
    <w:rsid w:val="65FF11C7"/>
    <w:rsid w:val="66026F3C"/>
    <w:rsid w:val="660303B6"/>
    <w:rsid w:val="660E4375"/>
    <w:rsid w:val="661A3845"/>
    <w:rsid w:val="661F2C0A"/>
    <w:rsid w:val="66294558"/>
    <w:rsid w:val="664B1C51"/>
    <w:rsid w:val="66807B4C"/>
    <w:rsid w:val="668C4743"/>
    <w:rsid w:val="668D074E"/>
    <w:rsid w:val="669E4476"/>
    <w:rsid w:val="66A411FE"/>
    <w:rsid w:val="66A82BFF"/>
    <w:rsid w:val="66BB0831"/>
    <w:rsid w:val="66D47E98"/>
    <w:rsid w:val="66DA2D87"/>
    <w:rsid w:val="66DC6D4D"/>
    <w:rsid w:val="66E16111"/>
    <w:rsid w:val="66EF082E"/>
    <w:rsid w:val="66F43C63"/>
    <w:rsid w:val="66FB71D3"/>
    <w:rsid w:val="66FE0D39"/>
    <w:rsid w:val="6708699C"/>
    <w:rsid w:val="670A5668"/>
    <w:rsid w:val="670A6C48"/>
    <w:rsid w:val="670C7632"/>
    <w:rsid w:val="67332AD1"/>
    <w:rsid w:val="676D51D7"/>
    <w:rsid w:val="677E1BB2"/>
    <w:rsid w:val="6781055F"/>
    <w:rsid w:val="678C0773"/>
    <w:rsid w:val="678C6CA3"/>
    <w:rsid w:val="67921BBE"/>
    <w:rsid w:val="679D64DC"/>
    <w:rsid w:val="679F18F9"/>
    <w:rsid w:val="67B376F7"/>
    <w:rsid w:val="67CD6582"/>
    <w:rsid w:val="67DA0714"/>
    <w:rsid w:val="67DB0CD2"/>
    <w:rsid w:val="67E461F3"/>
    <w:rsid w:val="68112893"/>
    <w:rsid w:val="681662CF"/>
    <w:rsid w:val="681A5D7E"/>
    <w:rsid w:val="683011DC"/>
    <w:rsid w:val="683F62A1"/>
    <w:rsid w:val="68465A22"/>
    <w:rsid w:val="685272C6"/>
    <w:rsid w:val="68633281"/>
    <w:rsid w:val="687C6B4A"/>
    <w:rsid w:val="687E1E40"/>
    <w:rsid w:val="68874402"/>
    <w:rsid w:val="688A32CD"/>
    <w:rsid w:val="689D02BC"/>
    <w:rsid w:val="68AD09A1"/>
    <w:rsid w:val="68AF2A7E"/>
    <w:rsid w:val="68B43ADD"/>
    <w:rsid w:val="68BF2482"/>
    <w:rsid w:val="68CB4A00"/>
    <w:rsid w:val="68D66149"/>
    <w:rsid w:val="68DC4DE2"/>
    <w:rsid w:val="68F55EA4"/>
    <w:rsid w:val="68F87780"/>
    <w:rsid w:val="69015C29"/>
    <w:rsid w:val="690F3409"/>
    <w:rsid w:val="69112C56"/>
    <w:rsid w:val="691B1DAE"/>
    <w:rsid w:val="691C4AAB"/>
    <w:rsid w:val="69205616"/>
    <w:rsid w:val="69416EAD"/>
    <w:rsid w:val="69884B3C"/>
    <w:rsid w:val="698B05BD"/>
    <w:rsid w:val="699B532D"/>
    <w:rsid w:val="69A51678"/>
    <w:rsid w:val="69A664E4"/>
    <w:rsid w:val="69DA7573"/>
    <w:rsid w:val="69F05818"/>
    <w:rsid w:val="69F8719C"/>
    <w:rsid w:val="69FD3262"/>
    <w:rsid w:val="6A010FA4"/>
    <w:rsid w:val="6A0C7949"/>
    <w:rsid w:val="6A1C5DDE"/>
    <w:rsid w:val="6A1E3926"/>
    <w:rsid w:val="6A274783"/>
    <w:rsid w:val="6A331612"/>
    <w:rsid w:val="6A3C022E"/>
    <w:rsid w:val="6A3C5739"/>
    <w:rsid w:val="6A3D00DC"/>
    <w:rsid w:val="6A423DD4"/>
    <w:rsid w:val="6A440DF2"/>
    <w:rsid w:val="6A4814BC"/>
    <w:rsid w:val="6A4D4401"/>
    <w:rsid w:val="6A616FA0"/>
    <w:rsid w:val="6A653172"/>
    <w:rsid w:val="6A763BAE"/>
    <w:rsid w:val="6A7D478E"/>
    <w:rsid w:val="6A8A218E"/>
    <w:rsid w:val="6A8B6AC0"/>
    <w:rsid w:val="6AA14535"/>
    <w:rsid w:val="6AA6578E"/>
    <w:rsid w:val="6AB310ED"/>
    <w:rsid w:val="6AC92DE9"/>
    <w:rsid w:val="6ACA68DA"/>
    <w:rsid w:val="6AD541DF"/>
    <w:rsid w:val="6AD71764"/>
    <w:rsid w:val="6B025340"/>
    <w:rsid w:val="6B102F89"/>
    <w:rsid w:val="6B113469"/>
    <w:rsid w:val="6B2B3DFF"/>
    <w:rsid w:val="6B3709F5"/>
    <w:rsid w:val="6B3C0466"/>
    <w:rsid w:val="6B4A7C33"/>
    <w:rsid w:val="6B575B9E"/>
    <w:rsid w:val="6B607F4C"/>
    <w:rsid w:val="6B6A20B8"/>
    <w:rsid w:val="6B735ED1"/>
    <w:rsid w:val="6B7D526B"/>
    <w:rsid w:val="6B7D6F7B"/>
    <w:rsid w:val="6B9D486E"/>
    <w:rsid w:val="6BBA3B00"/>
    <w:rsid w:val="6BBC1605"/>
    <w:rsid w:val="6BBE69A8"/>
    <w:rsid w:val="6BCA3618"/>
    <w:rsid w:val="6BD01714"/>
    <w:rsid w:val="6BE20B19"/>
    <w:rsid w:val="6BE566A3"/>
    <w:rsid w:val="6BF17AAE"/>
    <w:rsid w:val="6BF9601A"/>
    <w:rsid w:val="6C067120"/>
    <w:rsid w:val="6C0905E4"/>
    <w:rsid w:val="6C136D6D"/>
    <w:rsid w:val="6C283CFA"/>
    <w:rsid w:val="6C327B3B"/>
    <w:rsid w:val="6C3E3165"/>
    <w:rsid w:val="6C465AF4"/>
    <w:rsid w:val="6C580C23"/>
    <w:rsid w:val="6C5D448C"/>
    <w:rsid w:val="6C661592"/>
    <w:rsid w:val="6C78748D"/>
    <w:rsid w:val="6C97174C"/>
    <w:rsid w:val="6C971A75"/>
    <w:rsid w:val="6C9D2607"/>
    <w:rsid w:val="6C9D51B2"/>
    <w:rsid w:val="6CBC798B"/>
    <w:rsid w:val="6CBF6EF4"/>
    <w:rsid w:val="6CC12C6C"/>
    <w:rsid w:val="6CCD5705"/>
    <w:rsid w:val="6CEF4445"/>
    <w:rsid w:val="6D1A6BB4"/>
    <w:rsid w:val="6D1C60F5"/>
    <w:rsid w:val="6D2D1B3B"/>
    <w:rsid w:val="6D325BC5"/>
    <w:rsid w:val="6D341690"/>
    <w:rsid w:val="6D42270A"/>
    <w:rsid w:val="6D4D2A2A"/>
    <w:rsid w:val="6D51565A"/>
    <w:rsid w:val="6D52745A"/>
    <w:rsid w:val="6D5835D1"/>
    <w:rsid w:val="6D5E670D"/>
    <w:rsid w:val="6D6B0740"/>
    <w:rsid w:val="6D820A07"/>
    <w:rsid w:val="6D875C64"/>
    <w:rsid w:val="6D8C78DA"/>
    <w:rsid w:val="6D8D0DA1"/>
    <w:rsid w:val="6D9024E7"/>
    <w:rsid w:val="6D9569C3"/>
    <w:rsid w:val="6DA86DDA"/>
    <w:rsid w:val="6DB02D7D"/>
    <w:rsid w:val="6DB620A5"/>
    <w:rsid w:val="6DB77BCC"/>
    <w:rsid w:val="6DB95B3D"/>
    <w:rsid w:val="6DBE673B"/>
    <w:rsid w:val="6DC01050"/>
    <w:rsid w:val="6DC100FC"/>
    <w:rsid w:val="6DC1102D"/>
    <w:rsid w:val="6DC20647"/>
    <w:rsid w:val="6DCD73EF"/>
    <w:rsid w:val="6DD365F4"/>
    <w:rsid w:val="6DD8201C"/>
    <w:rsid w:val="6DD864C0"/>
    <w:rsid w:val="6DE76703"/>
    <w:rsid w:val="6DFD52FC"/>
    <w:rsid w:val="6E0E0E53"/>
    <w:rsid w:val="6E1374F8"/>
    <w:rsid w:val="6E192634"/>
    <w:rsid w:val="6E274D51"/>
    <w:rsid w:val="6E3A4A84"/>
    <w:rsid w:val="6E437BB5"/>
    <w:rsid w:val="6E5042A8"/>
    <w:rsid w:val="6E630C5A"/>
    <w:rsid w:val="6E657628"/>
    <w:rsid w:val="6E6935BC"/>
    <w:rsid w:val="6E6F6301"/>
    <w:rsid w:val="6E7759D9"/>
    <w:rsid w:val="6EBF142E"/>
    <w:rsid w:val="6ED0518A"/>
    <w:rsid w:val="6ED21161"/>
    <w:rsid w:val="6ED70525"/>
    <w:rsid w:val="6EE352C5"/>
    <w:rsid w:val="6EE43454"/>
    <w:rsid w:val="6EF31F83"/>
    <w:rsid w:val="6F1572A0"/>
    <w:rsid w:val="6F283E13"/>
    <w:rsid w:val="6F2B2073"/>
    <w:rsid w:val="6F2C1224"/>
    <w:rsid w:val="6F3D3782"/>
    <w:rsid w:val="6F5173A9"/>
    <w:rsid w:val="6F55769C"/>
    <w:rsid w:val="6F667AFB"/>
    <w:rsid w:val="6F7265AD"/>
    <w:rsid w:val="6F733EFE"/>
    <w:rsid w:val="6F8A10CB"/>
    <w:rsid w:val="6FA55E32"/>
    <w:rsid w:val="6FAD5963"/>
    <w:rsid w:val="6FB645DF"/>
    <w:rsid w:val="6FBE2A03"/>
    <w:rsid w:val="6FC211D5"/>
    <w:rsid w:val="6FC24913"/>
    <w:rsid w:val="6FC7164F"/>
    <w:rsid w:val="6FCC03C9"/>
    <w:rsid w:val="6FCC795E"/>
    <w:rsid w:val="6FD256EB"/>
    <w:rsid w:val="6FE741A1"/>
    <w:rsid w:val="6FE938A9"/>
    <w:rsid w:val="6FEB3C20"/>
    <w:rsid w:val="6FEF1EA9"/>
    <w:rsid w:val="6FF62544"/>
    <w:rsid w:val="70081CF8"/>
    <w:rsid w:val="702552C0"/>
    <w:rsid w:val="702C48A1"/>
    <w:rsid w:val="70464E7F"/>
    <w:rsid w:val="70853FB1"/>
    <w:rsid w:val="70887EA9"/>
    <w:rsid w:val="70900AF0"/>
    <w:rsid w:val="709027A3"/>
    <w:rsid w:val="709E41E8"/>
    <w:rsid w:val="70A028DB"/>
    <w:rsid w:val="70A772CE"/>
    <w:rsid w:val="70AB015D"/>
    <w:rsid w:val="70AD6312"/>
    <w:rsid w:val="70AF17C0"/>
    <w:rsid w:val="70B54813"/>
    <w:rsid w:val="70BB79D3"/>
    <w:rsid w:val="70D107D0"/>
    <w:rsid w:val="70D8620A"/>
    <w:rsid w:val="70DA4E39"/>
    <w:rsid w:val="70DF1913"/>
    <w:rsid w:val="70DF7982"/>
    <w:rsid w:val="70E81B34"/>
    <w:rsid w:val="70E971DF"/>
    <w:rsid w:val="70F129B7"/>
    <w:rsid w:val="70F86DD1"/>
    <w:rsid w:val="71017ADB"/>
    <w:rsid w:val="71031AA6"/>
    <w:rsid w:val="71150CA1"/>
    <w:rsid w:val="711F7F62"/>
    <w:rsid w:val="71257C6E"/>
    <w:rsid w:val="71276455"/>
    <w:rsid w:val="71345258"/>
    <w:rsid w:val="7137174F"/>
    <w:rsid w:val="713F415C"/>
    <w:rsid w:val="71423A9C"/>
    <w:rsid w:val="71431EA2"/>
    <w:rsid w:val="714F1F93"/>
    <w:rsid w:val="71560F55"/>
    <w:rsid w:val="715F2A54"/>
    <w:rsid w:val="717A67EB"/>
    <w:rsid w:val="71835435"/>
    <w:rsid w:val="719C7804"/>
    <w:rsid w:val="71A60683"/>
    <w:rsid w:val="71B20DD6"/>
    <w:rsid w:val="71B96608"/>
    <w:rsid w:val="71C74A2F"/>
    <w:rsid w:val="71DD0CB6"/>
    <w:rsid w:val="71E116BB"/>
    <w:rsid w:val="71E13469"/>
    <w:rsid w:val="71E87797"/>
    <w:rsid w:val="71ED5D5A"/>
    <w:rsid w:val="71F61CA8"/>
    <w:rsid w:val="72107C4E"/>
    <w:rsid w:val="721675B7"/>
    <w:rsid w:val="7218332F"/>
    <w:rsid w:val="721A3B1F"/>
    <w:rsid w:val="723930E6"/>
    <w:rsid w:val="723E67C1"/>
    <w:rsid w:val="723F4D5F"/>
    <w:rsid w:val="725A3947"/>
    <w:rsid w:val="725E1964"/>
    <w:rsid w:val="7270608C"/>
    <w:rsid w:val="727B1C21"/>
    <w:rsid w:val="728409C4"/>
    <w:rsid w:val="7291007C"/>
    <w:rsid w:val="72A921D9"/>
    <w:rsid w:val="72B43536"/>
    <w:rsid w:val="72BC4993"/>
    <w:rsid w:val="72BF43C3"/>
    <w:rsid w:val="72CF2F01"/>
    <w:rsid w:val="72D354A8"/>
    <w:rsid w:val="72D94035"/>
    <w:rsid w:val="72E13A60"/>
    <w:rsid w:val="72E158F4"/>
    <w:rsid w:val="72F01BB6"/>
    <w:rsid w:val="72F378F8"/>
    <w:rsid w:val="72F52079"/>
    <w:rsid w:val="72F80CB1"/>
    <w:rsid w:val="72F867DC"/>
    <w:rsid w:val="72FB6C32"/>
    <w:rsid w:val="72FE055B"/>
    <w:rsid w:val="73012015"/>
    <w:rsid w:val="731757B3"/>
    <w:rsid w:val="73297C92"/>
    <w:rsid w:val="732A31CF"/>
    <w:rsid w:val="733D2EB5"/>
    <w:rsid w:val="736600CA"/>
    <w:rsid w:val="737A60AA"/>
    <w:rsid w:val="738D09A2"/>
    <w:rsid w:val="73904ACB"/>
    <w:rsid w:val="73A433D4"/>
    <w:rsid w:val="73C82B32"/>
    <w:rsid w:val="73DC213A"/>
    <w:rsid w:val="73DC7A93"/>
    <w:rsid w:val="73E01C2A"/>
    <w:rsid w:val="73E86FB1"/>
    <w:rsid w:val="73EA656F"/>
    <w:rsid w:val="73FB4839"/>
    <w:rsid w:val="74024D72"/>
    <w:rsid w:val="740718AD"/>
    <w:rsid w:val="74073BCA"/>
    <w:rsid w:val="741C7CB7"/>
    <w:rsid w:val="74275AAB"/>
    <w:rsid w:val="74363F40"/>
    <w:rsid w:val="7439392B"/>
    <w:rsid w:val="74454183"/>
    <w:rsid w:val="744A0B48"/>
    <w:rsid w:val="74556815"/>
    <w:rsid w:val="74614E88"/>
    <w:rsid w:val="7461569F"/>
    <w:rsid w:val="746B22DF"/>
    <w:rsid w:val="746D040B"/>
    <w:rsid w:val="746D196C"/>
    <w:rsid w:val="746D7236"/>
    <w:rsid w:val="746E72F3"/>
    <w:rsid w:val="74795B53"/>
    <w:rsid w:val="74802FAF"/>
    <w:rsid w:val="74824B95"/>
    <w:rsid w:val="748E78D8"/>
    <w:rsid w:val="74997367"/>
    <w:rsid w:val="749D3FBF"/>
    <w:rsid w:val="74A662B1"/>
    <w:rsid w:val="74B3733F"/>
    <w:rsid w:val="74B60BDD"/>
    <w:rsid w:val="74D56578"/>
    <w:rsid w:val="74E474F8"/>
    <w:rsid w:val="74E653B4"/>
    <w:rsid w:val="74F00593"/>
    <w:rsid w:val="75095CCD"/>
    <w:rsid w:val="751F2C26"/>
    <w:rsid w:val="7537728D"/>
    <w:rsid w:val="753A73B5"/>
    <w:rsid w:val="753C37D8"/>
    <w:rsid w:val="7555324A"/>
    <w:rsid w:val="75583A65"/>
    <w:rsid w:val="756E3C24"/>
    <w:rsid w:val="75722D56"/>
    <w:rsid w:val="757258CD"/>
    <w:rsid w:val="75731C99"/>
    <w:rsid w:val="75822A56"/>
    <w:rsid w:val="7583263F"/>
    <w:rsid w:val="7587221B"/>
    <w:rsid w:val="75A373B3"/>
    <w:rsid w:val="75AB270C"/>
    <w:rsid w:val="75B25848"/>
    <w:rsid w:val="75BE36E4"/>
    <w:rsid w:val="75C06BB9"/>
    <w:rsid w:val="75CA0DE4"/>
    <w:rsid w:val="75D457BF"/>
    <w:rsid w:val="75EA3234"/>
    <w:rsid w:val="75EC17C6"/>
    <w:rsid w:val="75F00505"/>
    <w:rsid w:val="75FC4D15"/>
    <w:rsid w:val="76034BED"/>
    <w:rsid w:val="7606208F"/>
    <w:rsid w:val="76067942"/>
    <w:rsid w:val="76074DFE"/>
    <w:rsid w:val="760A11E0"/>
    <w:rsid w:val="761F01EE"/>
    <w:rsid w:val="763B1993"/>
    <w:rsid w:val="765606D8"/>
    <w:rsid w:val="765C7562"/>
    <w:rsid w:val="766C11CB"/>
    <w:rsid w:val="766F54E7"/>
    <w:rsid w:val="76780840"/>
    <w:rsid w:val="768E5BAC"/>
    <w:rsid w:val="769D3E02"/>
    <w:rsid w:val="76A72ED3"/>
    <w:rsid w:val="76AF3B36"/>
    <w:rsid w:val="76C22F8B"/>
    <w:rsid w:val="76C23869"/>
    <w:rsid w:val="76C32CD8"/>
    <w:rsid w:val="76C34542"/>
    <w:rsid w:val="76D91DD0"/>
    <w:rsid w:val="76E00193"/>
    <w:rsid w:val="77031BE9"/>
    <w:rsid w:val="7721621A"/>
    <w:rsid w:val="772F6524"/>
    <w:rsid w:val="77333690"/>
    <w:rsid w:val="77361E52"/>
    <w:rsid w:val="77383B2B"/>
    <w:rsid w:val="773A3D47"/>
    <w:rsid w:val="774626EC"/>
    <w:rsid w:val="77667007"/>
    <w:rsid w:val="77737259"/>
    <w:rsid w:val="77860D3A"/>
    <w:rsid w:val="778925CA"/>
    <w:rsid w:val="778C0D80"/>
    <w:rsid w:val="77935205"/>
    <w:rsid w:val="779E6351"/>
    <w:rsid w:val="77A26AC1"/>
    <w:rsid w:val="77D5273D"/>
    <w:rsid w:val="77E84592"/>
    <w:rsid w:val="77F739E6"/>
    <w:rsid w:val="78063C29"/>
    <w:rsid w:val="782744FC"/>
    <w:rsid w:val="782B3690"/>
    <w:rsid w:val="782F4F78"/>
    <w:rsid w:val="78300CA6"/>
    <w:rsid w:val="783C62F8"/>
    <w:rsid w:val="784365C6"/>
    <w:rsid w:val="78436C2C"/>
    <w:rsid w:val="78474694"/>
    <w:rsid w:val="784B19A6"/>
    <w:rsid w:val="78774B27"/>
    <w:rsid w:val="7886331C"/>
    <w:rsid w:val="78864B2C"/>
    <w:rsid w:val="78874D6A"/>
    <w:rsid w:val="789A0095"/>
    <w:rsid w:val="789B6B2A"/>
    <w:rsid w:val="789C0BD6"/>
    <w:rsid w:val="78A4110D"/>
    <w:rsid w:val="78AA6CAB"/>
    <w:rsid w:val="78AC52A2"/>
    <w:rsid w:val="78AE5470"/>
    <w:rsid w:val="78C1089A"/>
    <w:rsid w:val="78C935D5"/>
    <w:rsid w:val="78D14237"/>
    <w:rsid w:val="78D87374"/>
    <w:rsid w:val="78E5118E"/>
    <w:rsid w:val="78E8332F"/>
    <w:rsid w:val="78EA5948"/>
    <w:rsid w:val="78FA66D0"/>
    <w:rsid w:val="79062AD2"/>
    <w:rsid w:val="790A215F"/>
    <w:rsid w:val="79102FB2"/>
    <w:rsid w:val="7931117A"/>
    <w:rsid w:val="79314D2C"/>
    <w:rsid w:val="7933514F"/>
    <w:rsid w:val="793D7B1F"/>
    <w:rsid w:val="794D6C70"/>
    <w:rsid w:val="7956298E"/>
    <w:rsid w:val="797205C1"/>
    <w:rsid w:val="797A042B"/>
    <w:rsid w:val="798219D5"/>
    <w:rsid w:val="79882D39"/>
    <w:rsid w:val="798E3ED6"/>
    <w:rsid w:val="799C2A97"/>
    <w:rsid w:val="79A239FC"/>
    <w:rsid w:val="79A60A14"/>
    <w:rsid w:val="79A92324"/>
    <w:rsid w:val="79AC0800"/>
    <w:rsid w:val="79B853F7"/>
    <w:rsid w:val="79D138D8"/>
    <w:rsid w:val="79D62B99"/>
    <w:rsid w:val="79D97F75"/>
    <w:rsid w:val="79EC7331"/>
    <w:rsid w:val="79F05CBC"/>
    <w:rsid w:val="79F95E08"/>
    <w:rsid w:val="79FD2B2D"/>
    <w:rsid w:val="7A036672"/>
    <w:rsid w:val="7A342CD0"/>
    <w:rsid w:val="7A39200E"/>
    <w:rsid w:val="7A4D1FE3"/>
    <w:rsid w:val="7A57076C"/>
    <w:rsid w:val="7A580134"/>
    <w:rsid w:val="7A6E64E4"/>
    <w:rsid w:val="7A7B26AD"/>
    <w:rsid w:val="7A97325F"/>
    <w:rsid w:val="7AA86A41"/>
    <w:rsid w:val="7AB23BF5"/>
    <w:rsid w:val="7ACA3634"/>
    <w:rsid w:val="7AD718AD"/>
    <w:rsid w:val="7AD7365B"/>
    <w:rsid w:val="7ADB314B"/>
    <w:rsid w:val="7AFF100B"/>
    <w:rsid w:val="7B017EEF"/>
    <w:rsid w:val="7B0A57DF"/>
    <w:rsid w:val="7B1407C5"/>
    <w:rsid w:val="7B160627"/>
    <w:rsid w:val="7B2A5E81"/>
    <w:rsid w:val="7B441CD7"/>
    <w:rsid w:val="7B5B3EA0"/>
    <w:rsid w:val="7B6E0463"/>
    <w:rsid w:val="7B7A2964"/>
    <w:rsid w:val="7B851309"/>
    <w:rsid w:val="7B85170B"/>
    <w:rsid w:val="7BA45079"/>
    <w:rsid w:val="7BB00D1C"/>
    <w:rsid w:val="7BB265A2"/>
    <w:rsid w:val="7BBD00CA"/>
    <w:rsid w:val="7BCB13AD"/>
    <w:rsid w:val="7BD06079"/>
    <w:rsid w:val="7BD23788"/>
    <w:rsid w:val="7BD90672"/>
    <w:rsid w:val="7BE40725"/>
    <w:rsid w:val="7C070043"/>
    <w:rsid w:val="7C1F52BA"/>
    <w:rsid w:val="7C5172EF"/>
    <w:rsid w:val="7C5659D9"/>
    <w:rsid w:val="7C613B24"/>
    <w:rsid w:val="7C812D3F"/>
    <w:rsid w:val="7C9B5288"/>
    <w:rsid w:val="7CAC10BA"/>
    <w:rsid w:val="7CAD6D69"/>
    <w:rsid w:val="7CBB7198"/>
    <w:rsid w:val="7CD667B9"/>
    <w:rsid w:val="7CD75D91"/>
    <w:rsid w:val="7CDB518C"/>
    <w:rsid w:val="7CDE4496"/>
    <w:rsid w:val="7CEC1640"/>
    <w:rsid w:val="7CF20DF7"/>
    <w:rsid w:val="7CFA10AF"/>
    <w:rsid w:val="7D0B768B"/>
    <w:rsid w:val="7D113572"/>
    <w:rsid w:val="7D16724A"/>
    <w:rsid w:val="7D266FEA"/>
    <w:rsid w:val="7D2863F0"/>
    <w:rsid w:val="7D3360F2"/>
    <w:rsid w:val="7D526F89"/>
    <w:rsid w:val="7D760C6B"/>
    <w:rsid w:val="7D760F0D"/>
    <w:rsid w:val="7D955A0C"/>
    <w:rsid w:val="7D9615AC"/>
    <w:rsid w:val="7DAE0FEB"/>
    <w:rsid w:val="7DBF64D2"/>
    <w:rsid w:val="7DC1133C"/>
    <w:rsid w:val="7DCB56F9"/>
    <w:rsid w:val="7DD32800"/>
    <w:rsid w:val="7DD345AE"/>
    <w:rsid w:val="7DE15C43"/>
    <w:rsid w:val="7DE6123C"/>
    <w:rsid w:val="7DFF1D61"/>
    <w:rsid w:val="7E061F65"/>
    <w:rsid w:val="7E0E55E6"/>
    <w:rsid w:val="7E123328"/>
    <w:rsid w:val="7E176B90"/>
    <w:rsid w:val="7E2272E3"/>
    <w:rsid w:val="7E2748F9"/>
    <w:rsid w:val="7E31757B"/>
    <w:rsid w:val="7E3C62F5"/>
    <w:rsid w:val="7E50776C"/>
    <w:rsid w:val="7E611BB9"/>
    <w:rsid w:val="7E641EE2"/>
    <w:rsid w:val="7E7C59DD"/>
    <w:rsid w:val="7E7C7834"/>
    <w:rsid w:val="7E872B5B"/>
    <w:rsid w:val="7EAE4B1D"/>
    <w:rsid w:val="7EBB4E23"/>
    <w:rsid w:val="7EC108AA"/>
    <w:rsid w:val="7EC16AFC"/>
    <w:rsid w:val="7ECD4B25"/>
    <w:rsid w:val="7EE747B5"/>
    <w:rsid w:val="7EF621D7"/>
    <w:rsid w:val="7EF742CC"/>
    <w:rsid w:val="7EFC5AEF"/>
    <w:rsid w:val="7F00043A"/>
    <w:rsid w:val="7F0B7D77"/>
    <w:rsid w:val="7F144E7E"/>
    <w:rsid w:val="7F1E3FCD"/>
    <w:rsid w:val="7F2748B2"/>
    <w:rsid w:val="7F2F1CB8"/>
    <w:rsid w:val="7F387FAF"/>
    <w:rsid w:val="7F54791C"/>
    <w:rsid w:val="7F871AF4"/>
    <w:rsid w:val="7F8C2C66"/>
    <w:rsid w:val="7F920D6B"/>
    <w:rsid w:val="7F995383"/>
    <w:rsid w:val="7FA73CE8"/>
    <w:rsid w:val="7FC00B62"/>
    <w:rsid w:val="7FC27C35"/>
    <w:rsid w:val="7FC72C0D"/>
    <w:rsid w:val="7FCD7345"/>
    <w:rsid w:val="7FD76FB4"/>
    <w:rsid w:val="7FD845FB"/>
    <w:rsid w:val="7FE64A6C"/>
    <w:rsid w:val="7FF13411"/>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iPriority="99"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5" w:lineRule="auto"/>
      <w:outlineLvl w:val="1"/>
    </w:pPr>
    <w:rPr>
      <w:rFonts w:ascii="Arial" w:hAnsi="Arial" w:eastAsia="黑体"/>
      <w:b/>
      <w:sz w:val="32"/>
    </w:rPr>
  </w:style>
  <w:style w:type="paragraph" w:styleId="6">
    <w:name w:val="heading 3"/>
    <w:basedOn w:val="1"/>
    <w:next w:val="1"/>
    <w:autoRedefine/>
    <w:qFormat/>
    <w:uiPriority w:val="0"/>
    <w:pPr>
      <w:keepNext/>
      <w:keepLines/>
      <w:spacing w:before="20" w:beforeLines="20" w:after="20" w:afterLines="20"/>
      <w:ind w:left="100" w:leftChars="100"/>
      <w:outlineLvl w:val="2"/>
    </w:pPr>
    <w:rPr>
      <w:b/>
    </w:rPr>
  </w:style>
  <w:style w:type="paragraph" w:styleId="5">
    <w:name w:val="heading 4"/>
    <w:basedOn w:val="1"/>
    <w:next w:val="1"/>
    <w:autoRedefine/>
    <w:qFormat/>
    <w:uiPriority w:val="0"/>
    <w:pPr>
      <w:keepNext/>
      <w:keepLines/>
      <w:numPr>
        <w:ilvl w:val="3"/>
        <w:numId w:val="1"/>
      </w:numPr>
      <w:tabs>
        <w:tab w:val="left" w:pos="432"/>
      </w:tabs>
      <w:spacing w:line="360" w:lineRule="auto"/>
      <w:outlineLvl w:val="3"/>
    </w:pPr>
    <w:rPr>
      <w:bCs/>
      <w:sz w:val="24"/>
      <w:szCs w:val="28"/>
    </w:rPr>
  </w:style>
  <w:style w:type="character" w:default="1" w:styleId="39">
    <w:name w:val="Default Paragraph Font"/>
    <w:autoRedefine/>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pPr>
    <w:rPr>
      <w:rFonts w:ascii="Arial" w:hAnsi="Arial"/>
      <w:kern w:val="0"/>
      <w:sz w:val="24"/>
      <w:szCs w:val="20"/>
    </w:rPr>
  </w:style>
  <w:style w:type="paragraph" w:styleId="7">
    <w:name w:val="caption"/>
    <w:basedOn w:val="1"/>
    <w:next w:val="1"/>
    <w:autoRedefine/>
    <w:qFormat/>
    <w:uiPriority w:val="0"/>
    <w:pPr>
      <w:snapToGrid w:val="0"/>
      <w:spacing w:before="160" w:after="160" w:line="288" w:lineRule="auto"/>
      <w:ind w:firstLine="510" w:firstLineChars="200"/>
    </w:pPr>
    <w:rPr>
      <w:rFonts w:ascii="Arial" w:hAnsi="Arial" w:eastAsia="黑体" w:cs="Times New Roman"/>
      <w:sz w:val="24"/>
    </w:rPr>
  </w:style>
  <w:style w:type="paragraph" w:styleId="8">
    <w:name w:val="toa heading"/>
    <w:basedOn w:val="1"/>
    <w:next w:val="1"/>
    <w:autoRedefine/>
    <w:qFormat/>
    <w:uiPriority w:val="0"/>
    <w:pPr>
      <w:spacing w:before="120"/>
    </w:pPr>
    <w:rPr>
      <w:rFonts w:ascii="Arial" w:hAnsi="Arial"/>
      <w:sz w:val="24"/>
    </w:rPr>
  </w:style>
  <w:style w:type="paragraph" w:styleId="9">
    <w:name w:val="annotation text"/>
    <w:basedOn w:val="1"/>
    <w:link w:val="95"/>
    <w:autoRedefine/>
    <w:qFormat/>
    <w:uiPriority w:val="0"/>
    <w:pPr>
      <w:jc w:val="left"/>
    </w:pPr>
  </w:style>
  <w:style w:type="paragraph" w:styleId="10">
    <w:name w:val="Body Text 3"/>
    <w:basedOn w:val="1"/>
    <w:autoRedefine/>
    <w:semiHidden/>
    <w:unhideWhenUsed/>
    <w:qFormat/>
    <w:uiPriority w:val="99"/>
    <w:pPr>
      <w:spacing w:after="120"/>
    </w:pPr>
    <w:rPr>
      <w:sz w:val="16"/>
      <w:szCs w:val="16"/>
    </w:rPr>
  </w:style>
  <w:style w:type="paragraph" w:styleId="11">
    <w:name w:val="Closing"/>
    <w:basedOn w:val="1"/>
    <w:link w:val="139"/>
    <w:autoRedefine/>
    <w:qFormat/>
    <w:uiPriority w:val="0"/>
    <w:pPr>
      <w:ind w:left="100" w:leftChars="2100"/>
    </w:pPr>
    <w:rPr>
      <w:rFonts w:ascii="Times New Roman" w:hAnsi="Times New Roman" w:eastAsia="宋体" w:cs="Times New Roman"/>
      <w:szCs w:val="20"/>
    </w:rPr>
  </w:style>
  <w:style w:type="paragraph" w:styleId="12">
    <w:name w:val="Body Text"/>
    <w:basedOn w:val="1"/>
    <w:next w:val="1"/>
    <w:autoRedefine/>
    <w:qFormat/>
    <w:uiPriority w:val="0"/>
    <w:pPr>
      <w:widowControl/>
      <w:snapToGrid w:val="0"/>
      <w:spacing w:before="60" w:after="160" w:line="259" w:lineRule="auto"/>
      <w:ind w:right="113"/>
    </w:pPr>
    <w:rPr>
      <w:kern w:val="0"/>
      <w:sz w:val="18"/>
      <w:szCs w:val="20"/>
    </w:rPr>
  </w:style>
  <w:style w:type="paragraph" w:styleId="13">
    <w:name w:val="Body Text Indent"/>
    <w:basedOn w:val="1"/>
    <w:next w:val="7"/>
    <w:autoRedefine/>
    <w:qFormat/>
    <w:uiPriority w:val="0"/>
    <w:pPr>
      <w:ind w:firstLine="480"/>
    </w:pPr>
    <w:rPr>
      <w:rFonts w:ascii="仿宋_GB2312"/>
    </w:rPr>
  </w:style>
  <w:style w:type="paragraph" w:styleId="14">
    <w:name w:val="Block Text"/>
    <w:basedOn w:val="1"/>
    <w:next w:val="1"/>
    <w:autoRedefine/>
    <w:qFormat/>
    <w:uiPriority w:val="0"/>
    <w:pPr>
      <w:ind w:left="113" w:right="113" w:firstLine="555"/>
      <w:jc w:val="left"/>
    </w:pPr>
    <w:rPr>
      <w:sz w:val="28"/>
    </w:rPr>
  </w:style>
  <w:style w:type="paragraph" w:styleId="15">
    <w:name w:val="Plain Text"/>
    <w:basedOn w:val="1"/>
    <w:autoRedefine/>
    <w:qFormat/>
    <w:uiPriority w:val="0"/>
    <w:pPr>
      <w:spacing w:line="480" w:lineRule="exact"/>
    </w:pPr>
    <w:rPr>
      <w:rFonts w:ascii="宋体" w:hAnsi="Courier New"/>
    </w:rPr>
  </w:style>
  <w:style w:type="paragraph" w:styleId="16">
    <w:name w:val="List Bullet 5"/>
    <w:basedOn w:val="1"/>
    <w:autoRedefine/>
    <w:qFormat/>
    <w:uiPriority w:val="0"/>
    <w:pPr>
      <w:numPr>
        <w:ilvl w:val="0"/>
        <w:numId w:val="2"/>
      </w:numPr>
    </w:pPr>
  </w:style>
  <w:style w:type="paragraph" w:styleId="17">
    <w:name w:val="toc 8"/>
    <w:basedOn w:val="1"/>
    <w:next w:val="1"/>
    <w:autoRedefine/>
    <w:qFormat/>
    <w:uiPriority w:val="0"/>
    <w:pPr>
      <w:ind w:left="1470"/>
      <w:jc w:val="left"/>
    </w:pPr>
    <w:rPr>
      <w:sz w:val="18"/>
      <w:szCs w:val="18"/>
    </w:rPr>
  </w:style>
  <w:style w:type="paragraph" w:styleId="18">
    <w:name w:val="Body Text Indent 2"/>
    <w:basedOn w:val="1"/>
    <w:next w:val="8"/>
    <w:autoRedefine/>
    <w:qFormat/>
    <w:uiPriority w:val="0"/>
    <w:pPr>
      <w:spacing w:line="360" w:lineRule="exact"/>
      <w:ind w:firstLine="522" w:firstLineChars="200"/>
      <w:jc w:val="left"/>
    </w:pPr>
    <w:rPr>
      <w:rFonts w:ascii="宋体" w:hAnsi="宋体"/>
      <w:sz w:val="28"/>
    </w:rPr>
  </w:style>
  <w:style w:type="paragraph" w:styleId="19">
    <w:name w:val="Balloon Text"/>
    <w:basedOn w:val="1"/>
    <w:link w:val="89"/>
    <w:autoRedefine/>
    <w:qFormat/>
    <w:uiPriority w:val="0"/>
    <w:rPr>
      <w:sz w:val="18"/>
      <w:szCs w:val="18"/>
    </w:rPr>
  </w:style>
  <w:style w:type="paragraph" w:styleId="20">
    <w:name w:val="footer"/>
    <w:basedOn w:val="1"/>
    <w:link w:val="61"/>
    <w:autoRedefine/>
    <w:qFormat/>
    <w:uiPriority w:val="0"/>
    <w:pPr>
      <w:tabs>
        <w:tab w:val="center" w:pos="4153"/>
        <w:tab w:val="right" w:pos="8306"/>
      </w:tabs>
      <w:snapToGrid w:val="0"/>
      <w:jc w:val="left"/>
    </w:pPr>
    <w:rPr>
      <w:sz w:val="18"/>
    </w:rPr>
  </w:style>
  <w:style w:type="paragraph" w:styleId="21">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1"/>
    <w:basedOn w:val="1"/>
    <w:next w:val="1"/>
    <w:autoRedefine/>
    <w:qFormat/>
    <w:uiPriority w:val="0"/>
    <w:pPr>
      <w:spacing w:line="440" w:lineRule="exact"/>
      <w:jc w:val="center"/>
    </w:pPr>
    <w:rPr>
      <w:rFonts w:ascii="宋体" w:hAnsi="宋体"/>
      <w:sz w:val="24"/>
    </w:rPr>
  </w:style>
  <w:style w:type="paragraph" w:styleId="23">
    <w:name w:val="List"/>
    <w:basedOn w:val="1"/>
    <w:autoRedefine/>
    <w:qFormat/>
    <w:uiPriority w:val="0"/>
    <w:pPr>
      <w:ind w:left="200" w:hanging="200" w:hangingChars="200"/>
    </w:pPr>
    <w:rPr>
      <w:szCs w:val="20"/>
    </w:rPr>
  </w:style>
  <w:style w:type="paragraph" w:styleId="24">
    <w:name w:val="List 5"/>
    <w:basedOn w:val="1"/>
    <w:autoRedefine/>
    <w:qFormat/>
    <w:uiPriority w:val="0"/>
    <w:pPr>
      <w:ind w:left="2100" w:hanging="420"/>
    </w:pPr>
    <w:rPr>
      <w:rFonts w:ascii="Arial" w:hAnsi="Arial"/>
      <w:sz w:val="24"/>
    </w:rPr>
  </w:style>
  <w:style w:type="paragraph" w:styleId="25">
    <w:name w:val="toc 2"/>
    <w:basedOn w:val="1"/>
    <w:next w:val="1"/>
    <w:autoRedefine/>
    <w:qFormat/>
    <w:uiPriority w:val="0"/>
    <w:pPr>
      <w:ind w:left="210"/>
      <w:jc w:val="left"/>
    </w:pPr>
    <w:rPr>
      <w:rFonts w:ascii="Calibri" w:hAnsi="Calibri" w:eastAsia="宋体" w:cs="Times New Roman"/>
      <w:smallCaps/>
      <w:sz w:val="20"/>
      <w:szCs w:val="20"/>
    </w:rPr>
  </w:style>
  <w:style w:type="paragraph" w:styleId="26">
    <w:name w:val="Body Text 2"/>
    <w:basedOn w:val="1"/>
    <w:qFormat/>
    <w:uiPriority w:val="0"/>
    <w:pPr>
      <w:spacing w:line="320" w:lineRule="exact"/>
      <w:jc w:val="center"/>
    </w:pPr>
    <w:rPr>
      <w:szCs w:val="24"/>
    </w:rPr>
  </w:style>
  <w:style w:type="paragraph" w:styleId="27">
    <w:name w:val="Normal (Web)"/>
    <w:basedOn w:val="1"/>
    <w:link w:val="62"/>
    <w:autoRedefine/>
    <w:qFormat/>
    <w:uiPriority w:val="0"/>
    <w:pPr>
      <w:widowControl/>
      <w:spacing w:beforeAutospacing="1" w:afterAutospacing="1"/>
      <w:jc w:val="left"/>
    </w:pPr>
    <w:rPr>
      <w:rFonts w:hint="eastAsia" w:ascii="宋体" w:hAnsi="宋体" w:eastAsia="宋体" w:cs="Times New Roman"/>
      <w:kern w:val="0"/>
      <w:sz w:val="24"/>
      <w:szCs w:val="20"/>
    </w:rPr>
  </w:style>
  <w:style w:type="paragraph" w:styleId="28">
    <w:name w:val="annotation subject"/>
    <w:basedOn w:val="9"/>
    <w:next w:val="9"/>
    <w:link w:val="96"/>
    <w:autoRedefine/>
    <w:qFormat/>
    <w:uiPriority w:val="0"/>
    <w:rPr>
      <w:b/>
      <w:bCs/>
    </w:rPr>
  </w:style>
  <w:style w:type="paragraph" w:styleId="29">
    <w:name w:val="Body Text First Indent"/>
    <w:basedOn w:val="12"/>
    <w:next w:val="1"/>
    <w:autoRedefine/>
    <w:qFormat/>
    <w:uiPriority w:val="0"/>
    <w:pPr>
      <w:ind w:firstLine="420" w:firstLineChars="100"/>
    </w:pPr>
    <w:rPr>
      <w:rFonts w:ascii="Times New Roman" w:hAnsi="Times New Roman"/>
      <w:kern w:val="2"/>
      <w:sz w:val="21"/>
      <w:szCs w:val="24"/>
    </w:rPr>
  </w:style>
  <w:style w:type="paragraph" w:styleId="30">
    <w:name w:val="Body Text First Indent 2"/>
    <w:basedOn w:val="13"/>
    <w:next w:val="31"/>
    <w:autoRedefine/>
    <w:qFormat/>
    <w:uiPriority w:val="0"/>
    <w:pPr>
      <w:adjustRightInd w:val="0"/>
      <w:spacing w:after="120" w:line="360" w:lineRule="auto"/>
      <w:ind w:left="420" w:leftChars="200" w:firstLine="420"/>
      <w:textAlignment w:val="baseline"/>
    </w:pPr>
    <w:rPr>
      <w:rFonts w:ascii="Times New Roman" w:hAnsi="Times New Roman"/>
      <w:kern w:val="0"/>
      <w:sz w:val="24"/>
    </w:rPr>
  </w:style>
  <w:style w:type="paragraph" w:customStyle="1" w:styleId="31">
    <w:name w:val="Default"/>
    <w:basedOn w:val="32"/>
    <w:next w:val="33"/>
    <w:autoRedefine/>
    <w:qFormat/>
    <w:uiPriority w:val="0"/>
    <w:rPr>
      <w:rFonts w:hAnsi="Calibri" w:eastAsia="宋体" w:cs="宋体"/>
      <w:color w:val="000000"/>
      <w:sz w:val="24"/>
      <w:szCs w:val="24"/>
    </w:rPr>
  </w:style>
  <w:style w:type="paragraph" w:customStyle="1" w:styleId="32">
    <w:name w:val="批注文字1"/>
    <w:autoRedefine/>
    <w:qFormat/>
    <w:locked/>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33">
    <w:name w:val="Char Char Char Char Char Char Char Char Char Char Char Char Char"/>
    <w:basedOn w:val="1"/>
    <w:next w:val="34"/>
    <w:autoRedefine/>
    <w:qFormat/>
    <w:uiPriority w:val="0"/>
  </w:style>
  <w:style w:type="paragraph" w:customStyle="1" w:styleId="34">
    <w:name w:val="point101"/>
    <w:basedOn w:val="1"/>
    <w:next w:val="35"/>
    <w:autoRedefine/>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35">
    <w:name w:val="样式1"/>
    <w:basedOn w:val="21"/>
    <w:next w:val="36"/>
    <w:autoRedefine/>
    <w:qFormat/>
    <w:uiPriority w:val="0"/>
    <w:pPr>
      <w:ind w:firstLine="520"/>
    </w:pPr>
  </w:style>
  <w:style w:type="paragraph" w:customStyle="1" w:styleId="36">
    <w:name w:val="标题样式2"/>
    <w:basedOn w:val="3"/>
    <w:next w:val="27"/>
    <w:autoRedefine/>
    <w:qFormat/>
    <w:uiPriority w:val="0"/>
    <w:rPr>
      <w:rFonts w:ascii="黑体" w:cs="Times New Roman"/>
      <w:szCs w:val="28"/>
    </w:rPr>
  </w:style>
  <w:style w:type="table" w:styleId="38">
    <w:name w:val="Table Grid"/>
    <w:basedOn w:val="37"/>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40">
    <w:name w:val="Strong"/>
    <w:basedOn w:val="39"/>
    <w:autoRedefine/>
    <w:qFormat/>
    <w:uiPriority w:val="0"/>
    <w:rPr>
      <w:b/>
      <w:bCs/>
    </w:rPr>
  </w:style>
  <w:style w:type="character" w:styleId="41">
    <w:name w:val="FollowedHyperlink"/>
    <w:basedOn w:val="39"/>
    <w:autoRedefine/>
    <w:qFormat/>
    <w:uiPriority w:val="0"/>
    <w:rPr>
      <w:color w:val="2D64B3"/>
      <w:u w:val="none"/>
    </w:rPr>
  </w:style>
  <w:style w:type="character" w:styleId="42">
    <w:name w:val="Emphasis"/>
    <w:basedOn w:val="39"/>
    <w:autoRedefine/>
    <w:qFormat/>
    <w:uiPriority w:val="0"/>
  </w:style>
  <w:style w:type="character" w:styleId="43">
    <w:name w:val="HTML Definition"/>
    <w:basedOn w:val="39"/>
    <w:autoRedefine/>
    <w:qFormat/>
    <w:uiPriority w:val="0"/>
  </w:style>
  <w:style w:type="character" w:styleId="44">
    <w:name w:val="HTML Variable"/>
    <w:basedOn w:val="39"/>
    <w:autoRedefine/>
    <w:qFormat/>
    <w:uiPriority w:val="0"/>
  </w:style>
  <w:style w:type="character" w:styleId="45">
    <w:name w:val="Hyperlink"/>
    <w:basedOn w:val="39"/>
    <w:autoRedefine/>
    <w:qFormat/>
    <w:uiPriority w:val="0"/>
    <w:rPr>
      <w:color w:val="0000FF"/>
      <w:u w:val="single"/>
    </w:rPr>
  </w:style>
  <w:style w:type="character" w:styleId="46">
    <w:name w:val="HTML Code"/>
    <w:basedOn w:val="39"/>
    <w:autoRedefine/>
    <w:qFormat/>
    <w:uiPriority w:val="0"/>
    <w:rPr>
      <w:rFonts w:hint="default" w:ascii="Arial" w:hAnsi="Arial" w:cs="Arial"/>
      <w:sz w:val="20"/>
    </w:rPr>
  </w:style>
  <w:style w:type="character" w:styleId="47">
    <w:name w:val="annotation reference"/>
    <w:basedOn w:val="39"/>
    <w:autoRedefine/>
    <w:qFormat/>
    <w:uiPriority w:val="0"/>
    <w:rPr>
      <w:sz w:val="21"/>
      <w:szCs w:val="21"/>
    </w:rPr>
  </w:style>
  <w:style w:type="character" w:styleId="48">
    <w:name w:val="HTML Cite"/>
    <w:basedOn w:val="39"/>
    <w:autoRedefine/>
    <w:qFormat/>
    <w:uiPriority w:val="0"/>
  </w:style>
  <w:style w:type="character" w:styleId="49">
    <w:name w:val="HTML Keyboard"/>
    <w:basedOn w:val="39"/>
    <w:autoRedefine/>
    <w:qFormat/>
    <w:uiPriority w:val="0"/>
    <w:rPr>
      <w:rFonts w:hint="default" w:ascii="Arial" w:hAnsi="Arial" w:cs="Arial"/>
      <w:sz w:val="20"/>
    </w:rPr>
  </w:style>
  <w:style w:type="character" w:styleId="50">
    <w:name w:val="HTML Sample"/>
    <w:basedOn w:val="39"/>
    <w:autoRedefine/>
    <w:qFormat/>
    <w:uiPriority w:val="0"/>
    <w:rPr>
      <w:rFonts w:hint="eastAsia" w:ascii="Arial" w:hAnsi="Arial" w:cs="Arial"/>
    </w:rPr>
  </w:style>
  <w:style w:type="paragraph" w:customStyle="1" w:styleId="51">
    <w:name w:val="正文1"/>
    <w:basedOn w:val="1"/>
    <w:next w:val="1"/>
    <w:autoRedefine/>
    <w:qFormat/>
    <w:uiPriority w:val="0"/>
    <w:pPr>
      <w:adjustRightInd w:val="0"/>
      <w:snapToGrid w:val="0"/>
      <w:spacing w:line="480" w:lineRule="exact"/>
      <w:ind w:firstLine="200" w:firstLineChars="200"/>
    </w:pPr>
    <w:rPr>
      <w:sz w:val="24"/>
    </w:rPr>
  </w:style>
  <w:style w:type="paragraph" w:customStyle="1" w:styleId="52">
    <w:name w:val="样式 正文文本 + 首行缩进:  2 字符"/>
    <w:basedOn w:val="12"/>
    <w:autoRedefine/>
    <w:qFormat/>
    <w:uiPriority w:val="99"/>
    <w:pPr>
      <w:spacing w:after="200" w:line="480" w:lineRule="exact"/>
      <w:ind w:firstLine="480" w:firstLineChars="200"/>
    </w:pPr>
    <w:rPr>
      <w:rFonts w:ascii="宋体" w:hAnsi="宋体" w:eastAsia="宋体" w:cs="Times New Roman"/>
      <w:sz w:val="24"/>
    </w:rPr>
  </w:style>
  <w:style w:type="paragraph" w:customStyle="1" w:styleId="53">
    <w:name w:val="Default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4">
    <w:name w:val="样式5"/>
    <w:basedOn w:val="51"/>
    <w:next w:val="55"/>
    <w:autoRedefine/>
    <w:qFormat/>
    <w:uiPriority w:val="0"/>
    <w:pPr>
      <w:spacing w:beforeLines="20" w:afterLines="20"/>
      <w:ind w:firstLine="523" w:firstLineChars="218"/>
    </w:pPr>
    <w:rPr>
      <w:i/>
      <w:iCs/>
    </w:rPr>
  </w:style>
  <w:style w:type="paragraph" w:customStyle="1" w:styleId="55">
    <w:name w:val="样式2"/>
    <w:basedOn w:val="1"/>
    <w:autoRedefine/>
    <w:qFormat/>
    <w:uiPriority w:val="0"/>
    <w:pPr>
      <w:spacing w:line="440" w:lineRule="exact"/>
      <w:ind w:firstLine="454"/>
    </w:pPr>
    <w:rPr>
      <w:rFonts w:ascii="Arial" w:hAnsi="Arial" w:eastAsia="宋体"/>
      <w:sz w:val="24"/>
    </w:rPr>
  </w:style>
  <w:style w:type="paragraph" w:customStyle="1" w:styleId="56">
    <w:name w:val="纯文本1"/>
    <w:basedOn w:val="1"/>
    <w:autoRedefine/>
    <w:qFormat/>
    <w:uiPriority w:val="99"/>
    <w:pPr>
      <w:autoSpaceDE w:val="0"/>
      <w:autoSpaceDN w:val="0"/>
      <w:adjustRightInd w:val="0"/>
      <w:textAlignment w:val="baseline"/>
    </w:pPr>
    <w:rPr>
      <w:rFonts w:ascii="宋体"/>
      <w:szCs w:val="20"/>
    </w:rPr>
  </w:style>
  <w:style w:type="paragraph" w:customStyle="1" w:styleId="57">
    <w:name w:val=" Char Char Char Char Char Char Char Char Char Char Char Char Char"/>
    <w:basedOn w:val="1"/>
    <w:next w:val="34"/>
    <w:autoRedefine/>
    <w:qFormat/>
    <w:uiPriority w:val="0"/>
  </w:style>
  <w:style w:type="paragraph" w:customStyle="1" w:styleId="58">
    <w:name w:val="Char Char Char Char Char Char Char Char Char Char Char Char Char11"/>
    <w:basedOn w:val="1"/>
    <w:next w:val="34"/>
    <w:autoRedefine/>
    <w:qFormat/>
    <w:uiPriority w:val="0"/>
  </w:style>
  <w:style w:type="paragraph" w:customStyle="1" w:styleId="59">
    <w:name w:val="Char Char Char Char Char Char Char Char Char Char Char Char Char1"/>
    <w:basedOn w:val="1"/>
    <w:next w:val="34"/>
    <w:autoRedefine/>
    <w:qFormat/>
    <w:uiPriority w:val="0"/>
  </w:style>
  <w:style w:type="paragraph" w:customStyle="1" w:styleId="60">
    <w:name w:val="书正文"/>
    <w:basedOn w:val="1"/>
    <w:autoRedefine/>
    <w:qFormat/>
    <w:uiPriority w:val="0"/>
    <w:pPr>
      <w:spacing w:line="500" w:lineRule="exact"/>
      <w:ind w:firstLine="640" w:firstLineChars="200"/>
    </w:pPr>
    <w:rPr>
      <w:rFonts w:ascii="Times New Roman" w:hAnsi="Times New Roman" w:eastAsia="宋体" w:cs="Times New Roman"/>
    </w:rPr>
  </w:style>
  <w:style w:type="character" w:customStyle="1" w:styleId="61">
    <w:name w:val="页脚 字符"/>
    <w:basedOn w:val="39"/>
    <w:link w:val="20"/>
    <w:autoRedefine/>
    <w:qFormat/>
    <w:uiPriority w:val="0"/>
    <w:rPr>
      <w:sz w:val="18"/>
    </w:rPr>
  </w:style>
  <w:style w:type="character" w:customStyle="1" w:styleId="62">
    <w:name w:val="普通(网站) 字符"/>
    <w:basedOn w:val="39"/>
    <w:link w:val="27"/>
    <w:autoRedefine/>
    <w:qFormat/>
    <w:uiPriority w:val="0"/>
    <w:rPr>
      <w:rFonts w:hint="eastAsia" w:ascii="宋体" w:hAnsi="宋体" w:eastAsia="宋体" w:cs="宋体"/>
      <w:sz w:val="24"/>
    </w:rPr>
  </w:style>
  <w:style w:type="character" w:customStyle="1" w:styleId="63">
    <w:name w:val="表格 Char"/>
    <w:basedOn w:val="39"/>
    <w:link w:val="64"/>
    <w:autoRedefine/>
    <w:qFormat/>
    <w:uiPriority w:val="0"/>
    <w:rPr>
      <w:rFonts w:hint="eastAsia" w:ascii="宋体" w:hAnsi="宋体" w:eastAsia="宋体" w:cs="宋体"/>
      <w:sz w:val="21"/>
    </w:rPr>
  </w:style>
  <w:style w:type="paragraph" w:customStyle="1" w:styleId="64">
    <w:name w:val="表格"/>
    <w:basedOn w:val="12"/>
    <w:next w:val="1"/>
    <w:link w:val="63"/>
    <w:autoRedefine/>
    <w:qFormat/>
    <w:uiPriority w:val="0"/>
    <w:pPr>
      <w:adjustRightInd w:val="0"/>
      <w:snapToGrid w:val="0"/>
      <w:spacing w:beforeLines="10" w:line="256" w:lineRule="auto"/>
      <w:jc w:val="center"/>
    </w:pPr>
    <w:rPr>
      <w:rFonts w:hint="eastAsia" w:ascii="宋体" w:hAnsi="Times New Roman" w:eastAsia="宋体" w:cs="Times New Roman"/>
      <w:kern w:val="0"/>
      <w:szCs w:val="20"/>
    </w:rPr>
  </w:style>
  <w:style w:type="character" w:customStyle="1" w:styleId="65">
    <w:name w:val="页脚 Char1"/>
    <w:basedOn w:val="39"/>
    <w:autoRedefine/>
    <w:qFormat/>
    <w:uiPriority w:val="0"/>
    <w:rPr>
      <w:kern w:val="2"/>
      <w:sz w:val="18"/>
      <w:szCs w:val="18"/>
    </w:rPr>
  </w:style>
  <w:style w:type="paragraph" w:customStyle="1" w:styleId="66">
    <w:name w:val="BGB-正文"/>
    <w:basedOn w:val="1"/>
    <w:autoRedefine/>
    <w:qFormat/>
    <w:uiPriority w:val="0"/>
    <w:pPr>
      <w:spacing w:line="360" w:lineRule="auto"/>
      <w:ind w:firstLine="200" w:firstLineChars="200"/>
    </w:pPr>
    <w:rPr>
      <w:snapToGrid w:val="0"/>
      <w:kern w:val="0"/>
      <w:sz w:val="24"/>
      <w:szCs w:val="20"/>
    </w:rPr>
  </w:style>
  <w:style w:type="paragraph" w:customStyle="1" w:styleId="67">
    <w:name w:val="Table Paragraph"/>
    <w:basedOn w:val="1"/>
    <w:autoRedefine/>
    <w:qFormat/>
    <w:uiPriority w:val="1"/>
    <w:pPr>
      <w:jc w:val="center"/>
    </w:pPr>
    <w:rPr>
      <w:rFonts w:eastAsia="Times New Roman"/>
      <w:lang w:val="zh-CN" w:bidi="zh-CN"/>
    </w:rPr>
  </w:style>
  <w:style w:type="character" w:customStyle="1" w:styleId="68">
    <w:name w:val="新正文 Char"/>
    <w:link w:val="69"/>
    <w:autoRedefine/>
    <w:qFormat/>
    <w:uiPriority w:val="0"/>
    <w:rPr>
      <w:rFonts w:hAnsi="宋体" w:eastAsia="宋体"/>
      <w:sz w:val="24"/>
      <w:szCs w:val="24"/>
    </w:rPr>
  </w:style>
  <w:style w:type="paragraph" w:customStyle="1" w:styleId="69">
    <w:name w:val="新正文"/>
    <w:basedOn w:val="1"/>
    <w:link w:val="68"/>
    <w:autoRedefine/>
    <w:qFormat/>
    <w:uiPriority w:val="0"/>
    <w:pPr>
      <w:spacing w:line="360" w:lineRule="auto"/>
      <w:ind w:firstLine="200" w:firstLineChars="200"/>
    </w:pPr>
    <w:rPr>
      <w:rFonts w:hAnsi="宋体" w:eastAsia="宋体"/>
      <w:sz w:val="24"/>
    </w:rPr>
  </w:style>
  <w:style w:type="paragraph" w:customStyle="1" w:styleId="70">
    <w:name w:val="报告表正文"/>
    <w:basedOn w:val="71"/>
    <w:autoRedefine/>
    <w:qFormat/>
    <w:uiPriority w:val="0"/>
    <w:pPr>
      <w:adjustRightInd w:val="0"/>
      <w:spacing w:line="312" w:lineRule="auto"/>
      <w:ind w:left="113" w:right="113" w:firstLine="482"/>
      <w:jc w:val="left"/>
      <w:textAlignment w:val="baseline"/>
    </w:pPr>
    <w:rPr>
      <w:rFonts w:eastAsia="宋体"/>
      <w:kern w:val="0"/>
      <w:sz w:val="24"/>
    </w:rPr>
  </w:style>
  <w:style w:type="paragraph" w:customStyle="1" w:styleId="71">
    <w:name w:val="_Style 56"/>
    <w:basedOn w:val="1"/>
    <w:next w:val="1"/>
    <w:autoRedefine/>
    <w:qFormat/>
    <w:uiPriority w:val="0"/>
    <w:pPr>
      <w:spacing w:line="480" w:lineRule="exact"/>
      <w:ind w:firstLine="480" w:firstLineChars="200"/>
    </w:pPr>
    <w:rPr>
      <w:rFonts w:ascii="仿宋_GB2312" w:hAnsi="宋体" w:eastAsia="仿宋_GB2312"/>
      <w:sz w:val="28"/>
    </w:rPr>
  </w:style>
  <w:style w:type="paragraph" w:customStyle="1" w:styleId="72">
    <w:name w:val="表格内"/>
    <w:basedOn w:val="10"/>
    <w:autoRedefine/>
    <w:qFormat/>
    <w:uiPriority w:val="0"/>
    <w:pPr>
      <w:adjustRightInd w:val="0"/>
      <w:jc w:val="center"/>
      <w:textAlignment w:val="baseline"/>
    </w:pPr>
    <w:rPr>
      <w:rFonts w:eastAsia="宋体"/>
      <w:kern w:val="0"/>
      <w:sz w:val="20"/>
    </w:rPr>
  </w:style>
  <w:style w:type="paragraph" w:customStyle="1" w:styleId="73">
    <w:name w:val="表格正文"/>
    <w:basedOn w:val="1"/>
    <w:next w:val="1"/>
    <w:autoRedefine/>
    <w:qFormat/>
    <w:uiPriority w:val="0"/>
    <w:pPr>
      <w:widowControl/>
      <w:jc w:val="center"/>
    </w:pPr>
    <w:rPr>
      <w:rFonts w:eastAsia="宋体"/>
      <w:kern w:val="0"/>
      <w:sz w:val="24"/>
      <w:szCs w:val="22"/>
    </w:rPr>
  </w:style>
  <w:style w:type="paragraph" w:customStyle="1" w:styleId="74">
    <w:name w:val="样式 正文文字 + 首行缩进:  2 字符 行距: 最小值 24 磅"/>
    <w:basedOn w:val="1"/>
    <w:autoRedefine/>
    <w:qFormat/>
    <w:uiPriority w:val="0"/>
    <w:pPr>
      <w:adjustRightInd w:val="0"/>
      <w:snapToGrid w:val="0"/>
      <w:spacing w:line="480" w:lineRule="atLeast"/>
      <w:ind w:firstLine="480" w:firstLineChars="200"/>
    </w:pPr>
    <w:rPr>
      <w:rFonts w:cs="宋体"/>
      <w:sz w:val="24"/>
      <w:szCs w:val="20"/>
    </w:rPr>
  </w:style>
  <w:style w:type="paragraph" w:customStyle="1" w:styleId="75">
    <w:name w:val="中文报告书样式"/>
    <w:basedOn w:val="1"/>
    <w:autoRedefine/>
    <w:qFormat/>
    <w:uiPriority w:val="0"/>
    <w:pPr>
      <w:adjustRightInd w:val="0"/>
      <w:spacing w:line="480" w:lineRule="atLeast"/>
      <w:ind w:firstLine="482"/>
      <w:textAlignment w:val="baseline"/>
    </w:pPr>
    <w:rPr>
      <w:kern w:val="24"/>
      <w:sz w:val="24"/>
      <w:szCs w:val="20"/>
    </w:rPr>
  </w:style>
  <w:style w:type="paragraph" w:customStyle="1" w:styleId="76">
    <w:name w:val="表格标题"/>
    <w:basedOn w:val="1"/>
    <w:next w:val="1"/>
    <w:autoRedefine/>
    <w:qFormat/>
    <w:uiPriority w:val="0"/>
    <w:pPr>
      <w:spacing w:before="50" w:beforeLines="50"/>
      <w:jc w:val="center"/>
    </w:pPr>
    <w:rPr>
      <w:b/>
      <w:kern w:val="0"/>
      <w:sz w:val="24"/>
      <w:szCs w:val="21"/>
    </w:rPr>
  </w:style>
  <w:style w:type="paragraph" w:customStyle="1" w:styleId="77">
    <w:name w:val="0-5表格外"/>
    <w:basedOn w:val="78"/>
    <w:autoRedefine/>
    <w:qFormat/>
    <w:uiPriority w:val="1"/>
    <w:pPr>
      <w:adjustRightInd w:val="0"/>
      <w:snapToGrid w:val="0"/>
      <w:spacing w:before="50" w:beforeLines="50"/>
      <w:ind w:firstLine="0"/>
      <w:jc w:val="center"/>
    </w:pPr>
    <w:rPr>
      <w:b/>
      <w:sz w:val="20"/>
    </w:rPr>
  </w:style>
  <w:style w:type="paragraph" w:customStyle="1" w:styleId="78">
    <w:name w:val="正"/>
    <w:basedOn w:val="1"/>
    <w:autoRedefine/>
    <w:semiHidden/>
    <w:qFormat/>
    <w:uiPriority w:val="0"/>
    <w:pPr>
      <w:ind w:firstLine="200"/>
    </w:pPr>
    <w:rPr>
      <w:rFonts w:ascii="Arial" w:hAnsi="Arial"/>
      <w:sz w:val="24"/>
      <w:szCs w:val="20"/>
    </w:rPr>
  </w:style>
  <w:style w:type="paragraph" w:customStyle="1" w:styleId="79">
    <w:name w:val="0-6表格内"/>
    <w:basedOn w:val="78"/>
    <w:link w:val="142"/>
    <w:autoRedefine/>
    <w:qFormat/>
    <w:uiPriority w:val="0"/>
    <w:pPr>
      <w:adjustRightInd w:val="0"/>
      <w:ind w:firstLine="0"/>
      <w:jc w:val="center"/>
    </w:pPr>
    <w:rPr>
      <w:sz w:val="18"/>
      <w:szCs w:val="21"/>
    </w:rPr>
  </w:style>
  <w:style w:type="paragraph" w:customStyle="1" w:styleId="80">
    <w:name w:val="正文样式"/>
    <w:basedOn w:val="1"/>
    <w:autoRedefine/>
    <w:qFormat/>
    <w:uiPriority w:val="0"/>
    <w:pPr>
      <w:spacing w:line="360" w:lineRule="auto"/>
      <w:ind w:firstLine="480" w:firstLineChars="200"/>
    </w:pPr>
    <w:rPr>
      <w:rFonts w:ascii="宋体" w:hAnsi="宋体"/>
      <w:sz w:val="24"/>
    </w:rPr>
  </w:style>
  <w:style w:type="paragraph" w:customStyle="1" w:styleId="81">
    <w:name w:val="表格外"/>
    <w:autoRedefine/>
    <w:qFormat/>
    <w:uiPriority w:val="1"/>
    <w:pPr>
      <w:widowControl w:val="0"/>
      <w:tabs>
        <w:tab w:val="left" w:pos="3942"/>
      </w:tabs>
      <w:spacing w:before="23"/>
      <w:jc w:val="center"/>
    </w:pPr>
    <w:rPr>
      <w:rFonts w:ascii="Calibri" w:hAnsi="Calibri" w:eastAsia="宋体" w:cs="黑体"/>
      <w:b/>
      <w:sz w:val="24"/>
      <w:szCs w:val="22"/>
      <w:lang w:val="en-US" w:eastAsia="zh-CN" w:bidi="ar-SA"/>
    </w:rPr>
  </w:style>
  <w:style w:type="paragraph" w:customStyle="1" w:styleId="82">
    <w:name w:val="表1级"/>
    <w:basedOn w:val="1"/>
    <w:autoRedefine/>
    <w:qFormat/>
    <w:uiPriority w:val="0"/>
    <w:pPr>
      <w:spacing w:before="50" w:beforeLines="50" w:line="360" w:lineRule="auto"/>
      <w:ind w:firstLine="50" w:firstLineChars="50"/>
    </w:pPr>
    <w:rPr>
      <w:b/>
      <w:sz w:val="24"/>
    </w:rPr>
  </w:style>
  <w:style w:type="paragraph" w:customStyle="1" w:styleId="83">
    <w:name w:val="0-5新正文"/>
    <w:basedOn w:val="1"/>
    <w:autoRedefine/>
    <w:qFormat/>
    <w:uiPriority w:val="0"/>
    <w:pPr>
      <w:spacing w:line="360" w:lineRule="auto"/>
      <w:ind w:firstLine="200" w:firstLineChars="200"/>
    </w:pPr>
    <w:rPr>
      <w:sz w:val="24"/>
      <w:szCs w:val="20"/>
    </w:rPr>
  </w:style>
  <w:style w:type="paragraph" w:customStyle="1" w:styleId="84">
    <w:name w:val="S正文段落"/>
    <w:basedOn w:val="1"/>
    <w:autoRedefine/>
    <w:qFormat/>
    <w:uiPriority w:val="0"/>
    <w:pPr>
      <w:snapToGrid w:val="0"/>
      <w:spacing w:line="360" w:lineRule="auto"/>
      <w:ind w:firstLine="200" w:firstLineChars="200"/>
    </w:pPr>
    <w:rPr>
      <w:rFonts w:ascii="Times New Roman" w:hAnsi="Times New Roman" w:eastAsia="宋体" w:cs="Times New Roman"/>
      <w:kern w:val="0"/>
      <w:sz w:val="24"/>
      <w:szCs w:val="20"/>
    </w:rPr>
  </w:style>
  <w:style w:type="character" w:styleId="85">
    <w:name w:val="Placeholder Text"/>
    <w:basedOn w:val="39"/>
    <w:autoRedefine/>
    <w:semiHidden/>
    <w:qFormat/>
    <w:uiPriority w:val="99"/>
    <w:rPr>
      <w:color w:val="808080"/>
    </w:rPr>
  </w:style>
  <w:style w:type="paragraph" w:customStyle="1" w:styleId="86">
    <w:name w:val="正文正"/>
    <w:basedOn w:val="1"/>
    <w:autoRedefine/>
    <w:qFormat/>
    <w:uiPriority w:val="0"/>
    <w:pPr>
      <w:ind w:firstLine="560" w:firstLineChars="200"/>
    </w:pPr>
    <w:rPr>
      <w:rFonts w:ascii="Times New Roman" w:hAnsi="Times New Roman" w:eastAsia="宋体" w:cs="Times New Roman"/>
      <w:sz w:val="28"/>
    </w:rPr>
  </w:style>
  <w:style w:type="table" w:customStyle="1" w:styleId="87">
    <w:name w:val="Table Normal"/>
    <w:autoRedefine/>
    <w:unhideWhenUsed/>
    <w:qFormat/>
    <w:uiPriority w:val="2"/>
    <w:tblPr>
      <w:tblCellMar>
        <w:top w:w="0" w:type="dxa"/>
        <w:left w:w="0" w:type="dxa"/>
        <w:bottom w:w="0" w:type="dxa"/>
        <w:right w:w="0" w:type="dxa"/>
      </w:tblCellMar>
    </w:tblPr>
  </w:style>
  <w:style w:type="character" w:customStyle="1" w:styleId="88">
    <w:name w:val="标题 1 字符"/>
    <w:basedOn w:val="39"/>
    <w:link w:val="2"/>
    <w:autoRedefine/>
    <w:qFormat/>
    <w:uiPriority w:val="99"/>
    <w:rPr>
      <w:rFonts w:asciiTheme="minorHAnsi" w:hAnsiTheme="minorHAnsi" w:eastAsiaTheme="minorEastAsia" w:cstheme="minorBidi"/>
      <w:b/>
      <w:bCs/>
      <w:kern w:val="44"/>
      <w:sz w:val="44"/>
      <w:szCs w:val="44"/>
    </w:rPr>
  </w:style>
  <w:style w:type="character" w:customStyle="1" w:styleId="89">
    <w:name w:val="批注框文本 字符"/>
    <w:basedOn w:val="39"/>
    <w:link w:val="19"/>
    <w:autoRedefine/>
    <w:qFormat/>
    <w:uiPriority w:val="0"/>
    <w:rPr>
      <w:rFonts w:asciiTheme="minorHAnsi" w:hAnsiTheme="minorHAnsi" w:eastAsiaTheme="minorEastAsia" w:cstheme="minorBidi"/>
      <w:kern w:val="2"/>
      <w:sz w:val="18"/>
      <w:szCs w:val="18"/>
    </w:rPr>
  </w:style>
  <w:style w:type="paragraph" w:styleId="90">
    <w:name w:val="List Paragraph"/>
    <w:basedOn w:val="1"/>
    <w:autoRedefine/>
    <w:qFormat/>
    <w:uiPriority w:val="34"/>
    <w:pPr>
      <w:ind w:firstLine="420" w:firstLineChars="200"/>
    </w:pPr>
    <w:rPr>
      <w:rFonts w:ascii="Times New Roman" w:hAnsi="Times New Roman" w:eastAsia="宋体" w:cs="Times New Roman"/>
      <w:szCs w:val="20"/>
    </w:rPr>
  </w:style>
  <w:style w:type="paragraph" w:customStyle="1" w:styleId="91">
    <w:name w:val="X-W"/>
    <w:basedOn w:val="92"/>
    <w:autoRedefine/>
    <w:qFormat/>
    <w:uiPriority w:val="0"/>
    <w:pPr>
      <w:spacing w:before="120"/>
    </w:pPr>
    <w:rPr>
      <w:rFonts w:ascii="Times New Roman" w:hAnsi="Times New Roman" w:eastAsia="宋体" w:cs="Times New Roman"/>
      <w:sz w:val="24"/>
    </w:rPr>
  </w:style>
  <w:style w:type="paragraph" w:customStyle="1" w:styleId="92">
    <w:name w:val="0-2表外"/>
    <w:basedOn w:val="93"/>
    <w:autoRedefine/>
    <w:qFormat/>
    <w:uiPriority w:val="0"/>
    <w:rPr>
      <w:color w:val="000000"/>
      <w:sz w:val="21"/>
    </w:rPr>
  </w:style>
  <w:style w:type="paragraph" w:customStyle="1" w:styleId="93">
    <w:name w:val="03表格外"/>
    <w:basedOn w:val="1"/>
    <w:autoRedefine/>
    <w:qFormat/>
    <w:uiPriority w:val="0"/>
    <w:pPr>
      <w:adjustRightInd w:val="0"/>
      <w:snapToGrid w:val="0"/>
      <w:spacing w:before="50" w:beforeLines="50"/>
      <w:jc w:val="center"/>
    </w:pPr>
    <w:rPr>
      <w:b/>
      <w:sz w:val="24"/>
      <w:szCs w:val="20"/>
    </w:rPr>
  </w:style>
  <w:style w:type="paragraph" w:customStyle="1" w:styleId="94">
    <w:name w:val="X-N"/>
    <w:basedOn w:val="1"/>
    <w:link w:val="140"/>
    <w:autoRedefine/>
    <w:qFormat/>
    <w:uiPriority w:val="0"/>
    <w:pPr>
      <w:adjustRightInd w:val="0"/>
      <w:jc w:val="center"/>
    </w:pPr>
    <w:rPr>
      <w:rFonts w:ascii="Times New Roman" w:hAnsi="Times New Roman" w:eastAsia="宋体" w:cs="Times New Roman"/>
      <w:szCs w:val="21"/>
    </w:rPr>
  </w:style>
  <w:style w:type="character" w:customStyle="1" w:styleId="95">
    <w:name w:val="批注文字 字符"/>
    <w:basedOn w:val="39"/>
    <w:link w:val="9"/>
    <w:autoRedefine/>
    <w:qFormat/>
    <w:uiPriority w:val="0"/>
    <w:rPr>
      <w:rFonts w:asciiTheme="minorHAnsi" w:hAnsiTheme="minorHAnsi" w:eastAsiaTheme="minorEastAsia" w:cstheme="minorBidi"/>
      <w:kern w:val="2"/>
      <w:sz w:val="21"/>
      <w:szCs w:val="24"/>
    </w:rPr>
  </w:style>
  <w:style w:type="character" w:customStyle="1" w:styleId="96">
    <w:name w:val="批注主题 字符"/>
    <w:basedOn w:val="95"/>
    <w:link w:val="28"/>
    <w:autoRedefine/>
    <w:qFormat/>
    <w:uiPriority w:val="0"/>
    <w:rPr>
      <w:rFonts w:asciiTheme="minorHAnsi" w:hAnsiTheme="minorHAnsi" w:eastAsiaTheme="minorEastAsia" w:cstheme="minorBidi"/>
      <w:b/>
      <w:bCs/>
      <w:kern w:val="2"/>
      <w:sz w:val="21"/>
      <w:szCs w:val="24"/>
    </w:rPr>
  </w:style>
  <w:style w:type="paragraph" w:customStyle="1" w:styleId="97">
    <w:name w:val="04 正文"/>
    <w:basedOn w:val="1"/>
    <w:autoRedefine/>
    <w:qFormat/>
    <w:uiPriority w:val="0"/>
    <w:pPr>
      <w:spacing w:line="400" w:lineRule="exact"/>
      <w:ind w:firstLine="420" w:firstLineChars="200"/>
    </w:pPr>
    <w:rPr>
      <w:bCs/>
      <w:color w:val="000000"/>
      <w:sz w:val="24"/>
      <w:szCs w:val="21"/>
    </w:rPr>
  </w:style>
  <w:style w:type="paragraph" w:customStyle="1" w:styleId="98">
    <w:name w:val="05 表头"/>
    <w:basedOn w:val="97"/>
    <w:next w:val="97"/>
    <w:autoRedefine/>
    <w:qFormat/>
    <w:uiPriority w:val="0"/>
    <w:pPr>
      <w:tabs>
        <w:tab w:val="left" w:pos="851"/>
      </w:tabs>
      <w:ind w:firstLine="0" w:firstLineChars="0"/>
      <w:jc w:val="center"/>
    </w:pPr>
    <w:rPr>
      <w:b/>
      <w:sz w:val="21"/>
    </w:rPr>
  </w:style>
  <w:style w:type="paragraph" w:customStyle="1" w:styleId="99">
    <w:name w:val="06 表格内容"/>
    <w:basedOn w:val="1"/>
    <w:autoRedefine/>
    <w:qFormat/>
    <w:uiPriority w:val="0"/>
    <w:pPr>
      <w:spacing w:line="0" w:lineRule="atLeast"/>
    </w:pPr>
    <w:rPr>
      <w:szCs w:val="21"/>
    </w:rPr>
  </w:style>
  <w:style w:type="paragraph" w:customStyle="1" w:styleId="100">
    <w:name w:val="样式 四号 首行缩进:  2 字符"/>
    <w:basedOn w:val="1"/>
    <w:autoRedefine/>
    <w:qFormat/>
    <w:uiPriority w:val="0"/>
    <w:pPr>
      <w:spacing w:line="480" w:lineRule="atLeast"/>
      <w:ind w:firstLine="200" w:firstLineChars="200"/>
    </w:pPr>
    <w:rPr>
      <w:sz w:val="24"/>
    </w:rPr>
  </w:style>
  <w:style w:type="paragraph" w:customStyle="1" w:styleId="101">
    <w:name w:val="p17"/>
    <w:basedOn w:val="1"/>
    <w:autoRedefine/>
    <w:qFormat/>
    <w:uiPriority w:val="0"/>
    <w:pPr>
      <w:widowControl/>
    </w:pPr>
    <w:rPr>
      <w:rFonts w:ascii="宋体" w:hAnsi="宋体" w:cs="宋体"/>
      <w:kern w:val="0"/>
      <w:szCs w:val="21"/>
    </w:rPr>
  </w:style>
  <w:style w:type="paragraph" w:customStyle="1" w:styleId="102">
    <w:name w:val="正文001"/>
    <w:basedOn w:val="1"/>
    <w:autoRedefine/>
    <w:qFormat/>
    <w:uiPriority w:val="0"/>
    <w:pPr>
      <w:spacing w:before="60" w:line="460" w:lineRule="exact"/>
      <w:ind w:firstLine="482"/>
    </w:pPr>
    <w:rPr>
      <w:sz w:val="24"/>
      <w:szCs w:val="20"/>
    </w:rPr>
  </w:style>
  <w:style w:type="paragraph" w:customStyle="1" w:styleId="10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FF"/>
      <w:kern w:val="0"/>
      <w:sz w:val="18"/>
    </w:rPr>
  </w:style>
  <w:style w:type="paragraph" w:customStyle="1" w:styleId="104">
    <w:name w:val="正文(首行缩进)"/>
    <w:basedOn w:val="1"/>
    <w:autoRedefine/>
    <w:qFormat/>
    <w:uiPriority w:val="0"/>
    <w:pPr>
      <w:spacing w:line="360" w:lineRule="auto"/>
      <w:ind w:firstLine="510"/>
    </w:pPr>
    <w:rPr>
      <w:rFonts w:ascii="宋体" w:hAnsi="宋体"/>
      <w:snapToGrid w:val="0"/>
      <w:kern w:val="0"/>
      <w:sz w:val="24"/>
    </w:rPr>
  </w:style>
  <w:style w:type="paragraph" w:customStyle="1" w:styleId="105">
    <w:name w:val="报告书表格"/>
    <w:basedOn w:val="1"/>
    <w:autoRedefine/>
    <w:qFormat/>
    <w:uiPriority w:val="0"/>
    <w:pPr>
      <w:adjustRightInd w:val="0"/>
      <w:spacing w:before="60" w:after="60" w:line="240" w:lineRule="atLeast"/>
      <w:jc w:val="center"/>
      <w:textAlignment w:val="baseline"/>
    </w:pPr>
    <w:rPr>
      <w:kern w:val="0"/>
      <w:szCs w:val="20"/>
    </w:rPr>
  </w:style>
  <w:style w:type="paragraph" w:customStyle="1" w:styleId="106">
    <w:name w:val="表格1"/>
    <w:basedOn w:val="1"/>
    <w:autoRedefine/>
    <w:qFormat/>
    <w:uiPriority w:val="0"/>
    <w:pPr>
      <w:spacing w:line="480" w:lineRule="exact"/>
      <w:jc w:val="center"/>
      <w:textAlignment w:val="baseline"/>
    </w:pPr>
    <w:rPr>
      <w:rFonts w:ascii="楷体_GB2312"/>
      <w:kern w:val="0"/>
      <w:sz w:val="24"/>
      <w:szCs w:val="20"/>
    </w:rPr>
  </w:style>
  <w:style w:type="paragraph" w:customStyle="1" w:styleId="107">
    <w:name w:val="标准条文"/>
    <w:basedOn w:val="1"/>
    <w:next w:val="1"/>
    <w:autoRedefine/>
    <w:qFormat/>
    <w:uiPriority w:val="0"/>
    <w:pPr>
      <w:autoSpaceDE w:val="0"/>
      <w:autoSpaceDN w:val="0"/>
      <w:adjustRightInd w:val="0"/>
      <w:jc w:val="left"/>
    </w:pPr>
    <w:rPr>
      <w:rFonts w:ascii="Calibri" w:hAnsi="Calibri"/>
      <w:kern w:val="0"/>
      <w:sz w:val="24"/>
    </w:rPr>
  </w:style>
  <w:style w:type="paragraph" w:customStyle="1" w:styleId="108">
    <w:name w:val="X-0"/>
    <w:basedOn w:val="109"/>
    <w:autoRedefine/>
    <w:qFormat/>
    <w:uiPriority w:val="0"/>
    <w:rPr>
      <w:sz w:val="24"/>
    </w:rPr>
  </w:style>
  <w:style w:type="paragraph" w:customStyle="1" w:styleId="109">
    <w:name w:val="0-1正文"/>
    <w:basedOn w:val="1"/>
    <w:autoRedefine/>
    <w:qFormat/>
    <w:uiPriority w:val="0"/>
    <w:pPr>
      <w:autoSpaceDE w:val="0"/>
      <w:autoSpaceDN w:val="0"/>
      <w:adjustRightInd w:val="0"/>
      <w:snapToGrid w:val="0"/>
      <w:spacing w:line="360" w:lineRule="auto"/>
      <w:ind w:firstLine="200" w:firstLineChars="200"/>
    </w:pPr>
    <w:rPr>
      <w:rFonts w:cs="宋体"/>
      <w:kern w:val="0"/>
      <w:szCs w:val="21"/>
    </w:rPr>
  </w:style>
  <w:style w:type="paragraph" w:customStyle="1" w:styleId="110">
    <w:name w:val="武正文"/>
    <w:basedOn w:val="1"/>
    <w:autoRedefine/>
    <w:qFormat/>
    <w:uiPriority w:val="0"/>
    <w:pPr>
      <w:spacing w:line="360" w:lineRule="auto"/>
      <w:ind w:firstLine="200" w:firstLineChars="200"/>
    </w:pPr>
    <w:rPr>
      <w:color w:val="000000"/>
      <w:sz w:val="24"/>
    </w:rPr>
  </w:style>
  <w:style w:type="paragraph" w:customStyle="1" w:styleId="111">
    <w:name w:val="X-1"/>
    <w:basedOn w:val="112"/>
    <w:autoRedefine/>
    <w:qFormat/>
    <w:uiPriority w:val="0"/>
    <w:rPr>
      <w:sz w:val="24"/>
    </w:rPr>
  </w:style>
  <w:style w:type="paragraph" w:customStyle="1" w:styleId="112">
    <w:name w:val="表-2"/>
    <w:basedOn w:val="109"/>
    <w:autoRedefine/>
    <w:qFormat/>
    <w:uiPriority w:val="0"/>
    <w:pPr>
      <w:ind w:firstLine="0" w:firstLineChars="0"/>
    </w:pPr>
    <w:rPr>
      <w:b/>
      <w:bCs/>
    </w:rPr>
  </w:style>
  <w:style w:type="paragraph" w:customStyle="1" w:styleId="113">
    <w:name w:val="X-#"/>
    <w:basedOn w:val="109"/>
    <w:autoRedefine/>
    <w:qFormat/>
    <w:uiPriority w:val="0"/>
    <w:pPr>
      <w:spacing w:line="160" w:lineRule="exact"/>
      <w:ind w:firstLine="0" w:firstLineChars="0"/>
    </w:pPr>
    <w:rPr>
      <w:sz w:val="11"/>
    </w:rPr>
  </w:style>
  <w:style w:type="paragraph" w:customStyle="1" w:styleId="114">
    <w:name w:val="00间"/>
    <w:basedOn w:val="115"/>
    <w:autoRedefine/>
    <w:qFormat/>
    <w:uiPriority w:val="0"/>
    <w:pPr>
      <w:jc w:val="left"/>
    </w:pPr>
    <w:rPr>
      <w:b/>
      <w:sz w:val="10"/>
    </w:rPr>
  </w:style>
  <w:style w:type="paragraph" w:customStyle="1" w:styleId="115">
    <w:name w:val="A-表格文字"/>
    <w:basedOn w:val="1"/>
    <w:next w:val="1"/>
    <w:autoRedefine/>
    <w:qFormat/>
    <w:uiPriority w:val="0"/>
    <w:pPr>
      <w:autoSpaceDE w:val="0"/>
      <w:autoSpaceDN w:val="0"/>
      <w:adjustRightInd w:val="0"/>
      <w:jc w:val="center"/>
      <w:textAlignment w:val="center"/>
    </w:pPr>
    <w:rPr>
      <w:kern w:val="0"/>
      <w:szCs w:val="21"/>
    </w:rPr>
  </w:style>
  <w:style w:type="paragraph" w:customStyle="1" w:styleId="116">
    <w:name w:val="0正文"/>
    <w:basedOn w:val="1"/>
    <w:autoRedefine/>
    <w:qFormat/>
    <w:uiPriority w:val="0"/>
    <w:pPr>
      <w:spacing w:line="360" w:lineRule="auto"/>
      <w:ind w:firstLine="200" w:firstLineChars="200"/>
    </w:pPr>
    <w:rPr>
      <w:snapToGrid w:val="0"/>
      <w:kern w:val="0"/>
      <w:sz w:val="24"/>
    </w:rPr>
  </w:style>
  <w:style w:type="paragraph" w:customStyle="1" w:styleId="117">
    <w:name w:val="小罗文本"/>
    <w:basedOn w:val="1"/>
    <w:autoRedefine/>
    <w:qFormat/>
    <w:uiPriority w:val="0"/>
    <w:pPr>
      <w:spacing w:line="500" w:lineRule="exact"/>
      <w:ind w:firstLine="200" w:firstLineChars="200"/>
    </w:pPr>
    <w:rPr>
      <w:rFonts w:ascii="宋体" w:hAnsi="Times New Roman"/>
      <w:sz w:val="24"/>
    </w:rPr>
  </w:style>
  <w:style w:type="paragraph" w:customStyle="1" w:styleId="118">
    <w:name w:val="表头"/>
    <w:basedOn w:val="51"/>
    <w:next w:val="1"/>
    <w:autoRedefine/>
    <w:qFormat/>
    <w:uiPriority w:val="0"/>
    <w:pPr>
      <w:spacing w:line="240" w:lineRule="auto"/>
      <w:ind w:firstLine="0" w:firstLineChars="0"/>
      <w:jc w:val="center"/>
    </w:pPr>
    <w:rPr>
      <w:rFonts w:ascii="黑体" w:hAnsi="Arial" w:eastAsia="黑体"/>
    </w:rPr>
  </w:style>
  <w:style w:type="character" w:customStyle="1" w:styleId="119">
    <w:name w:val="trumbowyg-msg-error"/>
    <w:basedOn w:val="39"/>
    <w:autoRedefine/>
    <w:qFormat/>
    <w:uiPriority w:val="0"/>
    <w:rPr>
      <w:color w:val="E74C3C"/>
    </w:rPr>
  </w:style>
  <w:style w:type="character" w:customStyle="1" w:styleId="120">
    <w:name w:val="trumbowyg-msg-error1"/>
    <w:basedOn w:val="39"/>
    <w:autoRedefine/>
    <w:qFormat/>
    <w:uiPriority w:val="0"/>
    <w:rPr>
      <w:color w:val="E74C3C"/>
    </w:rPr>
  </w:style>
  <w:style w:type="character" w:customStyle="1" w:styleId="121">
    <w:name w:val="hidden4"/>
    <w:basedOn w:val="39"/>
    <w:autoRedefine/>
    <w:qFormat/>
    <w:uiPriority w:val="0"/>
    <w:rPr>
      <w:vanish/>
    </w:rPr>
  </w:style>
  <w:style w:type="character" w:customStyle="1" w:styleId="122">
    <w:name w:val="one-lines"/>
    <w:basedOn w:val="39"/>
    <w:autoRedefine/>
    <w:qFormat/>
    <w:uiPriority w:val="0"/>
  </w:style>
  <w:style w:type="character" w:customStyle="1" w:styleId="123">
    <w:name w:val="fontstrikethrough"/>
    <w:basedOn w:val="39"/>
    <w:autoRedefine/>
    <w:qFormat/>
    <w:uiPriority w:val="0"/>
    <w:rPr>
      <w:strike/>
    </w:rPr>
  </w:style>
  <w:style w:type="character" w:customStyle="1" w:styleId="124">
    <w:name w:val="two-lines"/>
    <w:basedOn w:val="39"/>
    <w:autoRedefine/>
    <w:qFormat/>
    <w:uiPriority w:val="0"/>
  </w:style>
  <w:style w:type="character" w:customStyle="1" w:styleId="125">
    <w:name w:val="fontborder"/>
    <w:basedOn w:val="39"/>
    <w:autoRedefine/>
    <w:qFormat/>
    <w:uiPriority w:val="0"/>
    <w:rPr>
      <w:bdr w:val="single" w:color="000000" w:sz="4" w:space="0"/>
    </w:rPr>
  </w:style>
  <w:style w:type="character" w:customStyle="1" w:styleId="126">
    <w:name w:val="normal1"/>
    <w:basedOn w:val="39"/>
    <w:autoRedefine/>
    <w:qFormat/>
    <w:uiPriority w:val="0"/>
    <w:rPr>
      <w:sz w:val="15"/>
      <w:szCs w:val="15"/>
    </w:rPr>
  </w:style>
  <w:style w:type="character" w:customStyle="1" w:styleId="127">
    <w:name w:val="nth-of-type(1)"/>
    <w:basedOn w:val="39"/>
    <w:autoRedefine/>
    <w:qFormat/>
    <w:uiPriority w:val="0"/>
  </w:style>
  <w:style w:type="character" w:customStyle="1" w:styleId="128">
    <w:name w:val="first-of-type"/>
    <w:basedOn w:val="39"/>
    <w:autoRedefine/>
    <w:qFormat/>
    <w:uiPriority w:val="0"/>
  </w:style>
  <w:style w:type="character" w:customStyle="1" w:styleId="129">
    <w:name w:val="first-of-type1"/>
    <w:basedOn w:val="39"/>
    <w:autoRedefine/>
    <w:qFormat/>
    <w:uiPriority w:val="0"/>
  </w:style>
  <w:style w:type="character" w:customStyle="1" w:styleId="130">
    <w:name w:val="nth-of-type(2)"/>
    <w:basedOn w:val="39"/>
    <w:autoRedefine/>
    <w:qFormat/>
    <w:uiPriority w:val="0"/>
  </w:style>
  <w:style w:type="character" w:customStyle="1" w:styleId="131">
    <w:name w:val="nth-of-type(2)1"/>
    <w:basedOn w:val="39"/>
    <w:autoRedefine/>
    <w:qFormat/>
    <w:uiPriority w:val="0"/>
  </w:style>
  <w:style w:type="character" w:customStyle="1" w:styleId="132">
    <w:name w:val="nth-of-type(2)2"/>
    <w:basedOn w:val="39"/>
    <w:autoRedefine/>
    <w:qFormat/>
    <w:uiPriority w:val="0"/>
  </w:style>
  <w:style w:type="character" w:customStyle="1" w:styleId="133">
    <w:name w:val="nth-of-type(2)3"/>
    <w:basedOn w:val="39"/>
    <w:autoRedefine/>
    <w:qFormat/>
    <w:uiPriority w:val="0"/>
  </w:style>
  <w:style w:type="character" w:customStyle="1" w:styleId="134">
    <w:name w:val="nth-of-type(2)4"/>
    <w:basedOn w:val="39"/>
    <w:autoRedefine/>
    <w:qFormat/>
    <w:uiPriority w:val="0"/>
  </w:style>
  <w:style w:type="paragraph" w:customStyle="1" w:styleId="135">
    <w:name w:val="0-3表格内"/>
    <w:basedOn w:val="1"/>
    <w:autoRedefine/>
    <w:qFormat/>
    <w:uiPriority w:val="0"/>
    <w:pPr>
      <w:adjustRightInd w:val="0"/>
      <w:jc w:val="center"/>
    </w:pPr>
    <w:rPr>
      <w:sz w:val="20"/>
      <w:szCs w:val="21"/>
    </w:rPr>
  </w:style>
  <w:style w:type="paragraph" w:customStyle="1" w:styleId="136">
    <w:name w:val="Char"/>
    <w:basedOn w:val="1"/>
    <w:autoRedefine/>
    <w:qFormat/>
    <w:uiPriority w:val="0"/>
    <w:rPr>
      <w:rFonts w:ascii="Times New Roman" w:hAnsi="Times New Roman" w:eastAsia="宋体" w:cs="Times New Roman"/>
      <w:sz w:val="24"/>
    </w:rPr>
  </w:style>
  <w:style w:type="paragraph" w:customStyle="1" w:styleId="137">
    <w:name w:val="J正文"/>
    <w:basedOn w:val="1"/>
    <w:autoRedefine/>
    <w:qFormat/>
    <w:uiPriority w:val="0"/>
    <w:pPr>
      <w:snapToGrid w:val="0"/>
      <w:spacing w:line="440" w:lineRule="exact"/>
      <w:ind w:firstLine="480" w:firstLineChars="200"/>
    </w:pPr>
    <w:rPr>
      <w:color w:val="000000"/>
      <w:sz w:val="24"/>
    </w:rPr>
  </w:style>
  <w:style w:type="paragraph" w:customStyle="1" w:styleId="138">
    <w:name w:val="02表格内"/>
    <w:basedOn w:val="1"/>
    <w:autoRedefine/>
    <w:qFormat/>
    <w:uiPriority w:val="0"/>
    <w:pPr>
      <w:adjustRightInd w:val="0"/>
      <w:jc w:val="center"/>
    </w:pPr>
    <w:rPr>
      <w:szCs w:val="21"/>
    </w:rPr>
  </w:style>
  <w:style w:type="character" w:customStyle="1" w:styleId="139">
    <w:name w:val="结束语 字符"/>
    <w:basedOn w:val="39"/>
    <w:link w:val="11"/>
    <w:autoRedefine/>
    <w:qFormat/>
    <w:uiPriority w:val="0"/>
    <w:rPr>
      <w:kern w:val="2"/>
      <w:sz w:val="21"/>
    </w:rPr>
  </w:style>
  <w:style w:type="character" w:customStyle="1" w:styleId="140">
    <w:name w:val="X-N Char"/>
    <w:link w:val="94"/>
    <w:autoRedefine/>
    <w:qFormat/>
    <w:uiPriority w:val="0"/>
    <w:rPr>
      <w:kern w:val="2"/>
      <w:sz w:val="21"/>
      <w:szCs w:val="21"/>
    </w:rPr>
  </w:style>
  <w:style w:type="paragraph" w:customStyle="1" w:styleId="141">
    <w:name w:val="正文_1"/>
    <w:autoRedefine/>
    <w:qFormat/>
    <w:uiPriority w:val="0"/>
    <w:pPr>
      <w:widowControl w:val="0"/>
      <w:jc w:val="both"/>
    </w:pPr>
    <w:rPr>
      <w:rFonts w:ascii="Calibri" w:hAnsi="Calibri" w:eastAsia="宋体" w:cs="Times New Roman"/>
      <w:kern w:val="2"/>
      <w:sz w:val="21"/>
      <w:lang w:val="en-US" w:eastAsia="zh-CN" w:bidi="ar-SA"/>
    </w:rPr>
  </w:style>
  <w:style w:type="character" w:customStyle="1" w:styleId="142">
    <w:name w:val="0-6表格内 字符"/>
    <w:link w:val="79"/>
    <w:autoRedefine/>
    <w:qFormat/>
    <w:uiPriority w:val="0"/>
    <w:rPr>
      <w:rFonts w:ascii="Arial" w:hAnsi="Arial" w:eastAsiaTheme="minorEastAsia" w:cstheme="minorBidi"/>
      <w:kern w:val="2"/>
      <w:sz w:val="18"/>
      <w:szCs w:val="21"/>
    </w:rPr>
  </w:style>
  <w:style w:type="paragraph" w:customStyle="1" w:styleId="143">
    <w:name w:val="表内正文"/>
    <w:autoRedefine/>
    <w:qFormat/>
    <w:uiPriority w:val="0"/>
    <w:pPr>
      <w:spacing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44">
    <w:name w:val="丰沐-正文"/>
    <w:basedOn w:val="145"/>
    <w:autoRedefine/>
    <w:qFormat/>
    <w:uiPriority w:val="0"/>
    <w:pPr>
      <w:spacing w:before="0" w:beforeLines="0"/>
      <w:ind w:firstLine="200" w:firstLineChars="200"/>
    </w:pPr>
    <w:rPr>
      <w:b w:val="0"/>
    </w:rPr>
  </w:style>
  <w:style w:type="paragraph" w:customStyle="1" w:styleId="145">
    <w:name w:val="丰沐标题2"/>
    <w:basedOn w:val="1"/>
    <w:autoRedefine/>
    <w:qFormat/>
    <w:uiPriority w:val="0"/>
    <w:pPr>
      <w:adjustRightInd w:val="0"/>
      <w:snapToGrid w:val="0"/>
      <w:spacing w:before="50" w:beforeLines="50" w:line="360" w:lineRule="auto"/>
    </w:pPr>
    <w:rPr>
      <w:b/>
      <w:sz w:val="24"/>
      <w:szCs w:val="24"/>
      <w:lang w:val="zh-CN"/>
    </w:rPr>
  </w:style>
  <w:style w:type="paragraph" w:customStyle="1" w:styleId="146">
    <w:name w:val="1-正文"/>
    <w:basedOn w:val="1"/>
    <w:autoRedefine/>
    <w:qFormat/>
    <w:uiPriority w:val="0"/>
    <w:pPr>
      <w:spacing w:line="360" w:lineRule="auto"/>
      <w:ind w:firstLine="480" w:firstLineChars="200"/>
    </w:pPr>
    <w:rPr>
      <w:sz w:val="24"/>
      <w:szCs w:val="24"/>
    </w:rPr>
  </w:style>
  <w:style w:type="paragraph" w:customStyle="1" w:styleId="147">
    <w:name w:val="科隆表格文字"/>
    <w:basedOn w:val="1"/>
    <w:autoRedefine/>
    <w:qFormat/>
    <w:uiPriority w:val="0"/>
    <w:pPr>
      <w:autoSpaceDE w:val="0"/>
      <w:autoSpaceDN w:val="0"/>
      <w:adjustRightInd w:val="0"/>
      <w:spacing w:line="440" w:lineRule="exact"/>
      <w:ind w:firstLine="883"/>
      <w:jc w:val="center"/>
    </w:pPr>
    <w:rPr>
      <w:rFonts w:ascii="Calibri" w:hAnsi="Calibri"/>
      <w:kern w:val="0"/>
      <w:sz w:val="34"/>
      <w:szCs w:val="20"/>
      <w:lang w:val="zh-CN"/>
    </w:rPr>
  </w:style>
  <w:style w:type="paragraph" w:customStyle="1" w:styleId="148">
    <w:name w:val="正文 首行缩进:  2 字符"/>
    <w:basedOn w:val="1"/>
    <w:autoRedefine/>
    <w:semiHidden/>
    <w:qFormat/>
    <w:uiPriority w:val="0"/>
    <w:pPr>
      <w:spacing w:line="520" w:lineRule="exact"/>
      <w:ind w:firstLine="480" w:firstLineChars="200"/>
    </w:pPr>
    <w:rPr>
      <w:kern w:val="44"/>
      <w:sz w:val="24"/>
      <w:szCs w:val="20"/>
    </w:rPr>
  </w:style>
  <w:style w:type="paragraph" w:customStyle="1" w:styleId="149">
    <w:name w:val="style4"/>
    <w:basedOn w:val="1"/>
    <w:next w:val="150"/>
    <w:autoRedefine/>
    <w:qFormat/>
    <w:uiPriority w:val="0"/>
    <w:pPr>
      <w:widowControl/>
      <w:spacing w:before="280" w:after="280"/>
    </w:pPr>
    <w:rPr>
      <w:rFonts w:ascii="宋体"/>
      <w:sz w:val="18"/>
    </w:rPr>
  </w:style>
  <w:style w:type="paragraph" w:customStyle="1" w:styleId="150">
    <w:name w:val="2"/>
    <w:next w:val="1"/>
    <w:autoRedefine/>
    <w:qFormat/>
    <w:uiPriority w:val="0"/>
    <w:pPr>
      <w:widowControl w:val="0"/>
      <w:jc w:val="both"/>
    </w:pPr>
    <w:rPr>
      <w:rFonts w:ascii="Calibri" w:hAnsi="Calibri" w:eastAsia="宋体" w:cs="Times New Roman"/>
      <w:sz w:val="21"/>
      <w:szCs w:val="22"/>
      <w:lang w:val="en-US" w:eastAsia="zh-CN" w:bidi="ar-SA"/>
    </w:rPr>
  </w:style>
  <w:style w:type="character" w:customStyle="1" w:styleId="151">
    <w:name w:val="font31"/>
    <w:basedOn w:val="39"/>
    <w:autoRedefine/>
    <w:qFormat/>
    <w:uiPriority w:val="0"/>
    <w:rPr>
      <w:rFonts w:ascii="Times New Roman" w:hAnsi="Times New Roman" w:cs="Times New Roman"/>
      <w:color w:val="000000"/>
      <w:sz w:val="21"/>
      <w:szCs w:val="21"/>
      <w:u w:val="none"/>
      <w:vertAlign w:val="subscript"/>
      <w:lang w:bidi="ar-SA"/>
    </w:rPr>
  </w:style>
  <w:style w:type="paragraph" w:customStyle="1" w:styleId="152">
    <w:name w:val="正文正1"/>
    <w:basedOn w:val="1"/>
    <w:autoRedefine/>
    <w:qFormat/>
    <w:uiPriority w:val="0"/>
    <w:pPr>
      <w:tabs>
        <w:tab w:val="left" w:pos="0"/>
      </w:tabs>
      <w:spacing w:line="300" w:lineRule="exact"/>
      <w:ind w:left="-105" w:leftChars="-50" w:right="-105" w:rightChars="-50"/>
      <w:jc w:val="center"/>
    </w:pPr>
    <w:rPr>
      <w:rFonts w:ascii="Times New Roman" w:hAnsi="Times New Roman" w:eastAsia="宋体" w:cs="Times New Roman"/>
      <w:bCs/>
      <w:kern w:val="0"/>
      <w:szCs w:val="21"/>
    </w:rPr>
  </w:style>
  <w:style w:type="character" w:customStyle="1" w:styleId="153">
    <w:name w:val="font01"/>
    <w:basedOn w:val="39"/>
    <w:autoRedefine/>
    <w:qFormat/>
    <w:uiPriority w:val="0"/>
    <w:rPr>
      <w:rFonts w:hint="default" w:ascii="Times New Roman" w:hAnsi="Times New Roman" w:cs="Times New Roman"/>
      <w:color w:val="000000"/>
      <w:sz w:val="21"/>
      <w:szCs w:val="21"/>
      <w:u w:val="none"/>
      <w:vertAlign w:val="superscript"/>
    </w:rPr>
  </w:style>
  <w:style w:type="character" w:customStyle="1" w:styleId="154">
    <w:name w:val="font21"/>
    <w:basedOn w:val="39"/>
    <w:autoRedefine/>
    <w:qFormat/>
    <w:uiPriority w:val="0"/>
    <w:rPr>
      <w:rFonts w:ascii="Times New Roman" w:hAnsi="Times New Roman" w:cs="Times New Roman"/>
      <w:color w:val="000000"/>
      <w:sz w:val="21"/>
      <w:szCs w:val="21"/>
      <w:u w:val="none"/>
      <w:lang w:bidi="ar-SA"/>
    </w:rPr>
  </w:style>
  <w:style w:type="paragraph" w:customStyle="1" w:styleId="155">
    <w:name w:val="正文内容"/>
    <w:basedOn w:val="1"/>
    <w:autoRedefine/>
    <w:qFormat/>
    <w:uiPriority w:val="0"/>
    <w:pPr>
      <w:spacing w:line="360" w:lineRule="auto"/>
      <w:ind w:firstLine="200" w:firstLineChars="200"/>
    </w:pPr>
    <w:rPr>
      <w:sz w:val="24"/>
      <w:szCs w:val="24"/>
    </w:rPr>
  </w:style>
  <w:style w:type="paragraph" w:customStyle="1" w:styleId="156">
    <w:name w:val="表表格正文"/>
    <w:basedOn w:val="1"/>
    <w:autoRedefine/>
    <w:qFormat/>
    <w:uiPriority w:val="0"/>
    <w:pPr>
      <w:spacing w:line="300" w:lineRule="exact"/>
      <w:jc w:val="center"/>
    </w:pPr>
    <w:rPr>
      <w:rFonts w:ascii="Times New Roman" w:hAnsi="Times New Roman" w:eastAsia="宋体"/>
      <w:bCs/>
      <w:color w:val="auto"/>
      <w:szCs w:val="21"/>
    </w:rPr>
  </w:style>
  <w:style w:type="paragraph" w:customStyle="1" w:styleId="157">
    <w:name w:val="样式 样式 样式 四号 左侧:  1.53 厘米 + 首行缩进:  2 字符 + 居中 左侧:  2 字符 首行缩进:  2..."/>
    <w:basedOn w:val="158"/>
    <w:qFormat/>
    <w:uiPriority w:val="0"/>
    <w:pPr>
      <w:ind w:firstLine="0" w:firstLineChars="0"/>
      <w:jc w:val="center"/>
    </w:pPr>
  </w:style>
  <w:style w:type="paragraph" w:customStyle="1" w:styleId="158">
    <w:name w:val="样式 样式 四号 左侧:  1.53 厘米 + 首行缩进:  2 字符"/>
    <w:basedOn w:val="159"/>
    <w:qFormat/>
    <w:uiPriority w:val="0"/>
    <w:pPr>
      <w:ind w:left="200" w:leftChars="200"/>
    </w:pPr>
    <w:rPr>
      <w:szCs w:val="20"/>
    </w:rPr>
  </w:style>
  <w:style w:type="paragraph" w:customStyle="1" w:styleId="159">
    <w:name w:val="样式 四号 左侧:  1.53 厘米"/>
    <w:basedOn w:val="1"/>
    <w:qFormat/>
    <w:uiPriority w:val="0"/>
    <w:pPr>
      <w:adjustRightInd w:val="0"/>
    </w:pPr>
    <w:rPr>
      <w:w w:val="90"/>
      <w:sz w:val="28"/>
      <w:szCs w:val="28"/>
    </w:rPr>
  </w:style>
  <w:style w:type="paragraph" w:customStyle="1" w:styleId="160">
    <w:name w:val="表格内容"/>
    <w:qFormat/>
    <w:uiPriority w:val="0"/>
    <w:pPr>
      <w:adjustRightInd w:val="0"/>
      <w:snapToGrid w:val="0"/>
      <w:spacing w:before="30" w:after="30"/>
      <w:jc w:val="center"/>
    </w:pPr>
    <w:rPr>
      <w:rFonts w:ascii="Times New Roman" w:hAnsi="Times New Roman" w:eastAsia="宋体" w:cs="Times New Roman"/>
      <w:kern w:val="2"/>
      <w:sz w:val="21"/>
      <w:szCs w:val="22"/>
      <w:lang w:val="en-US" w:eastAsia="zh-CN" w:bidi="ar-SA"/>
    </w:rPr>
  </w:style>
  <w:style w:type="table" w:customStyle="1" w:styleId="161">
    <w:name w:val="表格样式11"/>
    <w:basedOn w:val="37"/>
    <w:qFormat/>
    <w:uiPriority w:val="0"/>
    <w:pPr>
      <w:spacing w:line="240" w:lineRule="atLeast"/>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cPr>
      <w:vAlign w:val="center"/>
    </w:tcPr>
  </w:style>
  <w:style w:type="table" w:customStyle="1" w:styleId="162">
    <w:name w:val="表格样式1"/>
    <w:basedOn w:val="37"/>
    <w:qFormat/>
    <w:uiPriority w:val="0"/>
    <w:pPr>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57" w:type="dxa"/>
        <w:bottom w:w="0" w:type="dxa"/>
        <w:right w:w="57" w:type="dxa"/>
      </w:tblCellMar>
    </w:tblPr>
    <w:tcPr>
      <w:vAlign w:val="center"/>
    </w:tcPr>
  </w:style>
  <w:style w:type="character" w:customStyle="1" w:styleId="163">
    <w:name w:val="NormalCharacter"/>
    <w:semiHidden/>
    <w:qFormat/>
    <w:uiPriority w:val="0"/>
  </w:style>
  <w:style w:type="paragraph" w:customStyle="1" w:styleId="164">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color w:val="000000"/>
      <w:kern w:val="0"/>
      <w:sz w:val="24"/>
    </w:rPr>
  </w:style>
  <w:style w:type="paragraph" w:customStyle="1" w:styleId="165">
    <w:name w:val="表格内文字"/>
    <w:basedOn w:val="1"/>
    <w:qFormat/>
    <w:uiPriority w:val="0"/>
    <w:pPr>
      <w:autoSpaceDE w:val="0"/>
      <w:autoSpaceDN w:val="0"/>
      <w:spacing w:line="240" w:lineRule="auto"/>
      <w:ind w:firstLine="0" w:firstLineChars="0"/>
      <w:jc w:val="center"/>
    </w:pPr>
    <w:rPr>
      <w:rFonts w:cs="Times New Roman"/>
      <w:color w:val="auto"/>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0.png"/><Relationship Id="rId21" Type="http://schemas.openxmlformats.org/officeDocument/2006/relationships/image" Target="media/image9.jpe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hyperlink" Target="http://www.biaozhi.net/eNews/news/200602/0029_0000000909.shtml" TargetMode="External"/><Relationship Id="rId18" Type="http://schemas.openxmlformats.org/officeDocument/2006/relationships/image" Target="media/image7.png"/><Relationship Id="rId17" Type="http://schemas.openxmlformats.org/officeDocument/2006/relationships/hyperlink" Target="http://www.biaozhi.net/eNews/news/200602/0029_0000000907.shtml" TargetMode="External"/><Relationship Id="rId16" Type="http://schemas.openxmlformats.org/officeDocument/2006/relationships/image" Target="media/image6.wmf"/><Relationship Id="rId15" Type="http://schemas.openxmlformats.org/officeDocument/2006/relationships/oleObject" Target="embeddings/oleObject5.bin"/><Relationship Id="rId14" Type="http://schemas.openxmlformats.org/officeDocument/2006/relationships/image" Target="media/image5.wmf"/><Relationship Id="rId13" Type="http://schemas.openxmlformats.org/officeDocument/2006/relationships/oleObject" Target="embeddings/oleObject4.bin"/><Relationship Id="rId12" Type="http://schemas.openxmlformats.org/officeDocument/2006/relationships/image" Target="media/image4.wmf"/><Relationship Id="rId11" Type="http://schemas.openxmlformats.org/officeDocument/2006/relationships/oleObject" Target="embeddings/oleObject3.bin"/><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66</Pages>
  <Words>11538</Words>
  <Characters>12078</Characters>
  <Lines>342</Lines>
  <Paragraphs>96</Paragraphs>
  <TotalTime>44</TotalTime>
  <ScaleCrop>false</ScaleCrop>
  <LinksUpToDate>false</LinksUpToDate>
  <CharactersWithSpaces>12189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2022-12-12T04:28:00Z</dcterms:created>
  <dc:creator>Administrator</dc:creator>
  <cp:lastModifiedBy>Is、格调。</cp:lastModifiedBy>
  <cp:lastPrinted>2025-10-15T08:43:00Z</cp:lastPrinted>
  <dcterms:modified xsi:type="dcterms:W3CDTF">2025-11-06T01:53:11Z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162400E5BE734C878DEAC13D97441BAA</vt:lpwstr>
  </property>
  <property fmtid="{D5CDD505-2E9C-101B-9397-08002B2CF9AE}" pid="4" name="KSOTemplateDocerSaveRecord">
    <vt:lpwstr>eyJoZGlkIjoiMDJjYjExMDBlZGY0NGJkYTA1ZDM1MDllODIzOGEzMzYiLCJ1c2VySWQiOiI0NjgwMTAzNjUifQ==</vt:lpwstr>
  </property>
</Properties>
</file>